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color w:val="4F81BD" w:themeColor="accent1"/>
        </w:rPr>
        <w:id w:val="-615842239"/>
        <w:docPartObj>
          <w:docPartGallery w:val="Cover Pages"/>
          <w:docPartUnique/>
        </w:docPartObj>
      </w:sdtPr>
      <w:sdtEndPr>
        <w:rPr>
          <w:rFonts w:ascii="Arial" w:eastAsia="Arial" w:hAnsi="Arial" w:cs="Arial"/>
          <w:bCs/>
          <w:color w:val="auto"/>
          <w:sz w:val="20"/>
          <w:szCs w:val="24"/>
        </w:rPr>
      </w:sdtEndPr>
      <w:sdtContent>
        <w:p w14:paraId="0D490AA7" w14:textId="4E7A8AB9" w:rsidR="004F594F" w:rsidRDefault="004F594F">
          <w:pPr>
            <w:pStyle w:val="NoSpacing"/>
            <w:spacing w:before="1540" w:after="240"/>
            <w:jc w:val="center"/>
            <w:rPr>
              <w:color w:val="4F81BD" w:themeColor="accent1"/>
            </w:rPr>
          </w:pPr>
          <w:r w:rsidRPr="007A1DB2">
            <w:rPr>
              <w:rFonts w:ascii="Aptos" w:hAnsi="Aptos" w:cstheme="minorHAnsi"/>
              <w:noProof/>
              <w:color w:val="808080" w:themeColor="background1" w:themeShade="80"/>
              <w:sz w:val="18"/>
              <w:szCs w:val="18"/>
            </w:rPr>
            <w:drawing>
              <wp:anchor distT="0" distB="0" distL="114300" distR="114300" simplePos="0" relativeHeight="251660800" behindDoc="0" locked="0" layoutInCell="1" allowOverlap="1" wp14:anchorId="3CFDEBE6" wp14:editId="4B3C158A">
                <wp:simplePos x="0" y="0"/>
                <wp:positionH relativeFrom="margin">
                  <wp:posOffset>0</wp:posOffset>
                </wp:positionH>
                <wp:positionV relativeFrom="margin">
                  <wp:posOffset>1193585</wp:posOffset>
                </wp:positionV>
                <wp:extent cx="3401407" cy="666750"/>
                <wp:effectExtent l="0" t="0" r="8890" b="0"/>
                <wp:wrapSquare wrapText="bothSides"/>
                <wp:docPr id="276306947" name="Grafik 2" descr="Ein Bild, das Text, Schrift, Grafike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3649" name="Grafik 2" descr="Ein Bild, das Text, Schrift, Grafiken, Screenshot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01407" cy="666750"/>
                        </a:xfrm>
                        <a:prstGeom prst="rect">
                          <a:avLst/>
                        </a:prstGeom>
                      </pic:spPr>
                    </pic:pic>
                  </a:graphicData>
                </a:graphic>
                <wp14:sizeRelH relativeFrom="margin">
                  <wp14:pctWidth>0</wp14:pctWidth>
                </wp14:sizeRelH>
                <wp14:sizeRelV relativeFrom="margin">
                  <wp14:pctHeight>0</wp14:pctHeight>
                </wp14:sizeRelV>
              </wp:anchor>
            </w:drawing>
          </w:r>
          <w:r w:rsidRPr="007A1DB2">
            <w:rPr>
              <w:noProof/>
              <w:color w:val="808080" w:themeColor="background1" w:themeShade="80"/>
            </w:rPr>
            <w:drawing>
              <wp:anchor distT="0" distB="0" distL="114300" distR="114300" simplePos="0" relativeHeight="251658752" behindDoc="0" locked="0" layoutInCell="1" allowOverlap="1" wp14:anchorId="140228C1" wp14:editId="76FE56BF">
                <wp:simplePos x="0" y="0"/>
                <wp:positionH relativeFrom="margin">
                  <wp:posOffset>0</wp:posOffset>
                </wp:positionH>
                <wp:positionV relativeFrom="paragraph">
                  <wp:posOffset>362313</wp:posOffset>
                </wp:positionV>
                <wp:extent cx="3931721" cy="752488"/>
                <wp:effectExtent l="0" t="0" r="0" b="0"/>
                <wp:wrapThrough wrapText="bothSides">
                  <wp:wrapPolygon edited="0">
                    <wp:start x="0" y="0"/>
                    <wp:lineTo x="0" y="20780"/>
                    <wp:lineTo x="21457" y="20780"/>
                    <wp:lineTo x="21457" y="0"/>
                    <wp:lineTo x="0" y="0"/>
                  </wp:wrapPolygon>
                </wp:wrapThrough>
                <wp:docPr id="2132985721" name="Grafik 213298572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1721" cy="75248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CE67D7" w14:textId="77777777" w:rsidR="004F594F" w:rsidRPr="00AE22C4" w:rsidRDefault="004F594F" w:rsidP="004F594F">
          <w:pPr>
            <w:rPr>
              <w:rFonts w:ascii="Aptos" w:hAnsi="Aptos" w:cstheme="minorHAnsi"/>
              <w:b/>
              <w:bCs/>
              <w:spacing w:val="20"/>
              <w:lang w:val="en-US"/>
            </w:rPr>
          </w:pPr>
          <w:r w:rsidRPr="00AE22C4">
            <w:rPr>
              <w:rFonts w:ascii="Aptos" w:hAnsi="Aptos" w:cstheme="minorHAnsi"/>
              <w:b/>
              <w:bCs/>
              <w:spacing w:val="20"/>
              <w:lang w:val="en-US"/>
            </w:rPr>
            <w:t>Preparation for the</w:t>
          </w:r>
        </w:p>
        <w:p w14:paraId="34726FE8" w14:textId="77777777" w:rsidR="004F594F" w:rsidRPr="00AA0B05" w:rsidRDefault="004F594F" w:rsidP="004F594F">
          <w:pPr>
            <w:spacing w:before="120"/>
            <w:rPr>
              <w:rFonts w:ascii="Aptos" w:hAnsi="Aptos" w:cstheme="minorHAnsi"/>
              <w:b/>
              <w:bCs/>
              <w:color w:val="DC2A1B"/>
              <w:spacing w:val="60"/>
              <w:sz w:val="32"/>
              <w:szCs w:val="32"/>
              <w:lang w:val="en-US"/>
            </w:rPr>
          </w:pPr>
          <w:r>
            <w:rPr>
              <w:rFonts w:ascii="Aptos" w:hAnsi="Aptos" w:cstheme="minorHAnsi"/>
              <w:b/>
              <w:bCs/>
              <w:color w:val="DC2A1B"/>
              <w:spacing w:val="60"/>
              <w:sz w:val="32"/>
              <w:szCs w:val="32"/>
              <w:lang w:val="en-US"/>
            </w:rPr>
            <w:t>H</w:t>
          </w:r>
          <w:r w:rsidRPr="00AA0B05">
            <w:rPr>
              <w:rFonts w:ascii="Aptos" w:hAnsi="Aptos" w:cstheme="minorHAnsi"/>
              <w:b/>
              <w:bCs/>
              <w:color w:val="DC2A1B"/>
              <w:spacing w:val="60"/>
              <w:sz w:val="32"/>
              <w:szCs w:val="32"/>
              <w:lang w:val="en-US"/>
            </w:rPr>
            <w:t>earings of the Commissioner-designates after the EU elections in autumn</w:t>
          </w:r>
        </w:p>
        <w:p w14:paraId="253BF817" w14:textId="77777777" w:rsidR="004F594F" w:rsidRPr="00AA0B05" w:rsidRDefault="004F594F" w:rsidP="004F594F">
          <w:pPr>
            <w:rPr>
              <w:rFonts w:ascii="Aptos" w:hAnsi="Aptos"/>
              <w:lang w:val="en-US"/>
            </w:rPr>
          </w:pPr>
        </w:p>
        <w:p w14:paraId="08A957E9" w14:textId="041254F3" w:rsidR="004F594F" w:rsidRPr="00AA0B05" w:rsidRDefault="004F594F" w:rsidP="004F594F">
          <w:pPr>
            <w:rPr>
              <w:rFonts w:cstheme="minorHAnsi"/>
              <w:color w:val="A6A6A6" w:themeColor="background1" w:themeShade="A6"/>
              <w:spacing w:val="20"/>
              <w:lang w:val="en-US"/>
            </w:rPr>
          </w:pPr>
          <w:r w:rsidRPr="00AA0B05">
            <w:rPr>
              <w:rFonts w:ascii="Aptos" w:hAnsi="Aptos" w:cstheme="minorHAnsi"/>
              <w:color w:val="A6A6A6" w:themeColor="background1" w:themeShade="A6"/>
              <w:spacing w:val="20"/>
              <w:lang w:val="en-US"/>
            </w:rPr>
            <w:t xml:space="preserve">Elaboration of questions from the sector of </w:t>
          </w:r>
          <w:r>
            <w:rPr>
              <w:rFonts w:ascii="Aptos" w:hAnsi="Aptos" w:cstheme="minorHAnsi"/>
              <w:color w:val="A6A6A6" w:themeColor="background1" w:themeShade="A6"/>
              <w:spacing w:val="20"/>
              <w:lang w:val="en-US"/>
            </w:rPr>
            <w:t>economy</w:t>
          </w:r>
        </w:p>
        <w:p w14:paraId="639E390B" w14:textId="77777777" w:rsidR="004F594F" w:rsidRPr="00AA0B05" w:rsidRDefault="004F594F" w:rsidP="004F594F">
          <w:pPr>
            <w:rPr>
              <w:rFonts w:cstheme="minorHAnsi"/>
              <w:color w:val="A6A6A6" w:themeColor="background1" w:themeShade="A6"/>
              <w:spacing w:val="20"/>
              <w:lang w:val="en-US"/>
            </w:rPr>
          </w:pPr>
        </w:p>
        <w:p w14:paraId="47FF4C10" w14:textId="77777777" w:rsidR="004F594F" w:rsidRPr="00AA0B05" w:rsidRDefault="004F594F" w:rsidP="004F594F">
          <w:pPr>
            <w:rPr>
              <w:rFonts w:cstheme="minorHAnsi"/>
              <w:spacing w:val="20"/>
              <w:lang w:val="en-US"/>
            </w:rPr>
          </w:pPr>
        </w:p>
        <w:p w14:paraId="2815DF53" w14:textId="50C5DE47" w:rsidR="004F594F" w:rsidRPr="00155AAB" w:rsidRDefault="004F594F" w:rsidP="004F594F">
          <w:pPr>
            <w:rPr>
              <w:rFonts w:ascii="Aptos" w:hAnsi="Aptos" w:cstheme="minorHAnsi"/>
              <w:spacing w:val="20"/>
            </w:rPr>
          </w:pPr>
          <w:r w:rsidRPr="00155AAB">
            <w:rPr>
              <w:rFonts w:ascii="Aptos" w:hAnsi="Aptos" w:cstheme="minorHAnsi"/>
              <w:spacing w:val="20"/>
            </w:rPr>
            <w:t xml:space="preserve">Vienna, </w:t>
          </w:r>
          <w:r w:rsidR="00814963">
            <w:rPr>
              <w:rFonts w:ascii="Aptos" w:hAnsi="Aptos" w:cstheme="minorHAnsi"/>
              <w:spacing w:val="20"/>
            </w:rPr>
            <w:t>01</w:t>
          </w:r>
          <w:r w:rsidRPr="00155AAB">
            <w:rPr>
              <w:rFonts w:ascii="Aptos" w:hAnsi="Aptos" w:cstheme="minorHAnsi"/>
              <w:spacing w:val="20"/>
            </w:rPr>
            <w:t>.0</w:t>
          </w:r>
          <w:r w:rsidR="00814963">
            <w:rPr>
              <w:rFonts w:ascii="Aptos" w:hAnsi="Aptos" w:cstheme="minorHAnsi"/>
              <w:spacing w:val="20"/>
            </w:rPr>
            <w:t>7</w:t>
          </w:r>
          <w:r w:rsidRPr="00155AAB">
            <w:rPr>
              <w:rFonts w:ascii="Aptos" w:hAnsi="Aptos" w:cstheme="minorHAnsi"/>
              <w:spacing w:val="20"/>
            </w:rPr>
            <w:t>.2024</w:t>
          </w:r>
        </w:p>
        <w:p w14:paraId="6A254100" w14:textId="77777777" w:rsidR="004F594F" w:rsidRDefault="004F594F" w:rsidP="004F594F">
          <w:pPr>
            <w:rPr>
              <w:rFonts w:cstheme="minorHAnsi"/>
              <w:spacing w:val="20"/>
            </w:rPr>
          </w:pPr>
        </w:p>
        <w:p w14:paraId="323B92A3" w14:textId="77777777" w:rsidR="004F594F" w:rsidRDefault="004F594F" w:rsidP="004F594F">
          <w:pPr>
            <w:rPr>
              <w:rFonts w:cstheme="minorHAnsi"/>
              <w:spacing w:val="20"/>
            </w:rPr>
          </w:pPr>
        </w:p>
        <w:p w14:paraId="320E03F3" w14:textId="5086626B" w:rsidR="004F594F" w:rsidRDefault="004F594F" w:rsidP="004F594F">
          <w:pPr>
            <w:pStyle w:val="NoSpacing"/>
            <w:spacing w:before="1540" w:after="240"/>
            <w:rPr>
              <w:color w:val="4F81BD" w:themeColor="accent1"/>
            </w:rPr>
          </w:pPr>
        </w:p>
        <w:p w14:paraId="2DD364BF" w14:textId="77777777" w:rsidR="004F594F" w:rsidRDefault="004F594F">
          <w:pPr>
            <w:pStyle w:val="NoSpacing"/>
            <w:spacing w:before="1540" w:after="240"/>
            <w:jc w:val="center"/>
            <w:rPr>
              <w:color w:val="4F81BD" w:themeColor="accent1"/>
            </w:rPr>
          </w:pPr>
        </w:p>
        <w:p w14:paraId="5C4FA43F" w14:textId="6604BEA6" w:rsidR="004F594F" w:rsidRPr="004F594F" w:rsidRDefault="004F594F" w:rsidP="004F594F">
          <w:pPr>
            <w:pStyle w:val="NoSpacing"/>
            <w:tabs>
              <w:tab w:val="left" w:pos="1889"/>
            </w:tabs>
            <w:spacing w:before="1540" w:after="240"/>
            <w:rPr>
              <w:color w:val="4F81BD" w:themeColor="accent1"/>
            </w:rPr>
          </w:pPr>
          <w:r>
            <w:rPr>
              <w:color w:val="4F81BD" w:themeColor="accent1"/>
            </w:rPr>
            <w:tab/>
          </w:r>
        </w:p>
      </w:sdtContent>
    </w:sdt>
    <w:sdt>
      <w:sdtPr>
        <w:rPr>
          <w:rFonts w:ascii="Arial MT" w:eastAsia="Arial MT" w:hAnsi="Arial MT" w:cs="Arial MT"/>
          <w:color w:val="auto"/>
          <w:sz w:val="22"/>
          <w:szCs w:val="22"/>
          <w:lang w:val="de-DE" w:eastAsia="en-US"/>
        </w:rPr>
        <w:id w:val="1004009807"/>
        <w:docPartObj>
          <w:docPartGallery w:val="Table of Contents"/>
          <w:docPartUnique/>
        </w:docPartObj>
      </w:sdtPr>
      <w:sdtEndPr>
        <w:rPr>
          <w:rFonts w:ascii="Aptos" w:hAnsi="Aptos"/>
          <w:sz w:val="24"/>
          <w:szCs w:val="24"/>
        </w:rPr>
      </w:sdtEndPr>
      <w:sdtContent>
        <w:p w14:paraId="36AE9F2D" w14:textId="5162F4A1" w:rsidR="005F1575" w:rsidRDefault="005F1575">
          <w:pPr>
            <w:pStyle w:val="TOCHeading"/>
            <w:rPr>
              <w:rFonts w:ascii="Aptos" w:hAnsi="Aptos"/>
              <w:b/>
              <w:bCs/>
              <w:color w:val="FF0000"/>
              <w:lang w:val="de-DE"/>
            </w:rPr>
          </w:pPr>
          <w:r w:rsidRPr="008D32C6">
            <w:rPr>
              <w:rFonts w:ascii="Aptos" w:hAnsi="Aptos"/>
              <w:b/>
              <w:bCs/>
              <w:color w:val="FF0000"/>
              <w:lang w:val="de-DE"/>
            </w:rPr>
            <w:t>Content</w:t>
          </w:r>
        </w:p>
        <w:p w14:paraId="6495AC08" w14:textId="77777777" w:rsidR="00BC3576" w:rsidRPr="00BC3576" w:rsidRDefault="00BC3576" w:rsidP="00BC3576">
          <w:pPr>
            <w:rPr>
              <w:lang w:val="de-DE" w:eastAsia="de-AT"/>
            </w:rPr>
          </w:pPr>
        </w:p>
        <w:p w14:paraId="685AEBF1" w14:textId="6B006EA1" w:rsidR="006126D0" w:rsidRDefault="005F1575" w:rsidP="006126D0">
          <w:pPr>
            <w:pStyle w:val="TOC1"/>
            <w:tabs>
              <w:tab w:val="right" w:leader="dot" w:pos="9066"/>
            </w:tabs>
            <w:ind w:left="720"/>
            <w:rPr>
              <w:rFonts w:asciiTheme="minorHAnsi" w:eastAsiaTheme="minorEastAsia" w:hAnsiTheme="minorHAnsi" w:cstheme="minorBidi"/>
              <w:b w:val="0"/>
              <w:bCs w:val="0"/>
              <w:noProof/>
              <w:kern w:val="2"/>
              <w:lang w:val="de-AT" w:eastAsia="de-AT"/>
              <w14:ligatures w14:val="standardContextual"/>
            </w:rPr>
          </w:pPr>
          <w:r w:rsidRPr="005F1575">
            <w:rPr>
              <w:rFonts w:ascii="Aptos" w:hAnsi="Aptos"/>
              <w:b w:val="0"/>
              <w:bCs w:val="0"/>
              <w:lang w:val="en-US"/>
            </w:rPr>
            <w:fldChar w:fldCharType="begin"/>
          </w:r>
          <w:r w:rsidRPr="005F1575">
            <w:rPr>
              <w:rFonts w:ascii="Aptos" w:hAnsi="Aptos"/>
              <w:b w:val="0"/>
              <w:bCs w:val="0"/>
            </w:rPr>
            <w:instrText xml:space="preserve"> TOC \o "1-3" \h \z \u </w:instrText>
          </w:r>
          <w:r w:rsidRPr="005F1575">
            <w:rPr>
              <w:rFonts w:ascii="Aptos" w:hAnsi="Aptos"/>
              <w:b w:val="0"/>
              <w:bCs w:val="0"/>
              <w:lang w:val="en-US"/>
            </w:rPr>
            <w:fldChar w:fldCharType="separate"/>
          </w:r>
          <w:hyperlink w:anchor="_Toc168584186" w:history="1">
            <w:r w:rsidR="006126D0" w:rsidRPr="00FC3B76">
              <w:rPr>
                <w:rStyle w:val="Hyperlink"/>
                <w:noProof/>
              </w:rPr>
              <w:t>Subsection I - Economic governance</w:t>
            </w:r>
            <w:r w:rsidR="006126D0">
              <w:rPr>
                <w:noProof/>
                <w:webHidden/>
              </w:rPr>
              <w:tab/>
            </w:r>
            <w:r w:rsidR="006126D0">
              <w:rPr>
                <w:noProof/>
                <w:webHidden/>
              </w:rPr>
              <w:fldChar w:fldCharType="begin"/>
            </w:r>
            <w:r w:rsidR="006126D0">
              <w:rPr>
                <w:noProof/>
                <w:webHidden/>
              </w:rPr>
              <w:instrText xml:space="preserve"> PAGEREF _Toc168584186 \h </w:instrText>
            </w:r>
            <w:r w:rsidR="006126D0">
              <w:rPr>
                <w:noProof/>
                <w:webHidden/>
              </w:rPr>
            </w:r>
            <w:r w:rsidR="006126D0">
              <w:rPr>
                <w:noProof/>
                <w:webHidden/>
              </w:rPr>
              <w:fldChar w:fldCharType="separate"/>
            </w:r>
            <w:r w:rsidR="00E93915">
              <w:rPr>
                <w:noProof/>
                <w:webHidden/>
              </w:rPr>
              <w:t>3</w:t>
            </w:r>
            <w:r w:rsidR="006126D0">
              <w:rPr>
                <w:noProof/>
                <w:webHidden/>
              </w:rPr>
              <w:fldChar w:fldCharType="end"/>
            </w:r>
          </w:hyperlink>
        </w:p>
        <w:p w14:paraId="031A7617" w14:textId="096B7565" w:rsidR="006126D0" w:rsidRPr="006126D0" w:rsidRDefault="00000000" w:rsidP="006126D0">
          <w:pPr>
            <w:pStyle w:val="TOC2"/>
            <w:tabs>
              <w:tab w:val="right" w:leader="dot" w:pos="9066"/>
            </w:tabs>
            <w:ind w:left="1402"/>
            <w:rPr>
              <w:rFonts w:asciiTheme="minorHAnsi" w:eastAsiaTheme="minorEastAsia" w:hAnsiTheme="minorHAnsi" w:cstheme="minorBidi"/>
              <w:noProof/>
              <w:kern w:val="2"/>
              <w:lang w:val="de-AT" w:eastAsia="de-AT"/>
              <w14:ligatures w14:val="standardContextual"/>
            </w:rPr>
          </w:pPr>
          <w:hyperlink w:anchor="_Toc168584187" w:history="1">
            <w:r w:rsidR="006126D0" w:rsidRPr="006126D0">
              <w:rPr>
                <w:rStyle w:val="Hyperlink"/>
                <w:rFonts w:ascii="Aptos" w:hAnsi="Aptos"/>
                <w:noProof/>
              </w:rPr>
              <w:t>Public &amp; municipal actors as levers for EU socio-ecological goals</w:t>
            </w:r>
            <w:r w:rsidR="006126D0" w:rsidRPr="006126D0">
              <w:rPr>
                <w:noProof/>
                <w:webHidden/>
              </w:rPr>
              <w:tab/>
            </w:r>
            <w:r w:rsidR="006126D0" w:rsidRPr="006126D0">
              <w:rPr>
                <w:noProof/>
                <w:webHidden/>
              </w:rPr>
              <w:fldChar w:fldCharType="begin"/>
            </w:r>
            <w:r w:rsidR="006126D0" w:rsidRPr="006126D0">
              <w:rPr>
                <w:noProof/>
                <w:webHidden/>
              </w:rPr>
              <w:instrText xml:space="preserve"> PAGEREF _Toc168584187 \h </w:instrText>
            </w:r>
            <w:r w:rsidR="006126D0" w:rsidRPr="006126D0">
              <w:rPr>
                <w:noProof/>
                <w:webHidden/>
              </w:rPr>
            </w:r>
            <w:r w:rsidR="006126D0" w:rsidRPr="006126D0">
              <w:rPr>
                <w:noProof/>
                <w:webHidden/>
              </w:rPr>
              <w:fldChar w:fldCharType="separate"/>
            </w:r>
            <w:r w:rsidR="00E93915">
              <w:rPr>
                <w:noProof/>
                <w:webHidden/>
              </w:rPr>
              <w:t>3</w:t>
            </w:r>
            <w:r w:rsidR="006126D0" w:rsidRPr="006126D0">
              <w:rPr>
                <w:noProof/>
                <w:webHidden/>
              </w:rPr>
              <w:fldChar w:fldCharType="end"/>
            </w:r>
          </w:hyperlink>
        </w:p>
        <w:p w14:paraId="2930F54C" w14:textId="1CED3033" w:rsidR="006126D0" w:rsidRPr="006126D0" w:rsidRDefault="00000000" w:rsidP="006126D0">
          <w:pPr>
            <w:pStyle w:val="TOC2"/>
            <w:tabs>
              <w:tab w:val="right" w:leader="dot" w:pos="9066"/>
            </w:tabs>
            <w:ind w:left="1402"/>
            <w:rPr>
              <w:rFonts w:asciiTheme="minorHAnsi" w:eastAsiaTheme="minorEastAsia" w:hAnsiTheme="minorHAnsi" w:cstheme="minorBidi"/>
              <w:noProof/>
              <w:kern w:val="2"/>
              <w:lang w:val="de-AT" w:eastAsia="de-AT"/>
              <w14:ligatures w14:val="standardContextual"/>
            </w:rPr>
          </w:pPr>
          <w:hyperlink w:anchor="_Toc168584188" w:history="1">
            <w:r w:rsidR="006126D0" w:rsidRPr="006126D0">
              <w:rPr>
                <w:rStyle w:val="Hyperlink"/>
                <w:rFonts w:ascii="Aptos" w:hAnsi="Aptos"/>
                <w:noProof/>
              </w:rPr>
              <w:t>Ecological transformation of the single market</w:t>
            </w:r>
            <w:r w:rsidR="006126D0" w:rsidRPr="006126D0">
              <w:rPr>
                <w:noProof/>
                <w:webHidden/>
              </w:rPr>
              <w:tab/>
            </w:r>
            <w:r w:rsidR="006126D0" w:rsidRPr="006126D0">
              <w:rPr>
                <w:noProof/>
                <w:webHidden/>
              </w:rPr>
              <w:fldChar w:fldCharType="begin"/>
            </w:r>
            <w:r w:rsidR="006126D0" w:rsidRPr="006126D0">
              <w:rPr>
                <w:noProof/>
                <w:webHidden/>
              </w:rPr>
              <w:instrText xml:space="preserve"> PAGEREF _Toc168584188 \h </w:instrText>
            </w:r>
            <w:r w:rsidR="006126D0" w:rsidRPr="006126D0">
              <w:rPr>
                <w:noProof/>
                <w:webHidden/>
              </w:rPr>
            </w:r>
            <w:r w:rsidR="006126D0" w:rsidRPr="006126D0">
              <w:rPr>
                <w:noProof/>
                <w:webHidden/>
              </w:rPr>
              <w:fldChar w:fldCharType="separate"/>
            </w:r>
            <w:r w:rsidR="00E93915">
              <w:rPr>
                <w:noProof/>
                <w:webHidden/>
              </w:rPr>
              <w:t>4</w:t>
            </w:r>
            <w:r w:rsidR="006126D0" w:rsidRPr="006126D0">
              <w:rPr>
                <w:noProof/>
                <w:webHidden/>
              </w:rPr>
              <w:fldChar w:fldCharType="end"/>
            </w:r>
          </w:hyperlink>
        </w:p>
        <w:p w14:paraId="563F2D24" w14:textId="1AC98D6A" w:rsidR="006126D0" w:rsidRPr="006126D0" w:rsidRDefault="00000000" w:rsidP="006126D0">
          <w:pPr>
            <w:pStyle w:val="TOC2"/>
            <w:tabs>
              <w:tab w:val="right" w:leader="dot" w:pos="9066"/>
            </w:tabs>
            <w:ind w:left="1402"/>
            <w:rPr>
              <w:rFonts w:asciiTheme="minorHAnsi" w:eastAsiaTheme="minorEastAsia" w:hAnsiTheme="minorHAnsi" w:cstheme="minorBidi"/>
              <w:noProof/>
              <w:kern w:val="2"/>
              <w:lang w:val="de-AT" w:eastAsia="de-AT"/>
              <w14:ligatures w14:val="standardContextual"/>
            </w:rPr>
          </w:pPr>
          <w:hyperlink w:anchor="_Toc168584189" w:history="1">
            <w:r w:rsidR="006126D0" w:rsidRPr="006126D0">
              <w:rPr>
                <w:rStyle w:val="Hyperlink"/>
                <w:rFonts w:ascii="Aptos" w:hAnsi="Aptos"/>
                <w:noProof/>
              </w:rPr>
              <w:t>Comparable indicators and data basis for decision-making processes</w:t>
            </w:r>
            <w:r w:rsidR="006126D0" w:rsidRPr="006126D0">
              <w:rPr>
                <w:noProof/>
                <w:webHidden/>
              </w:rPr>
              <w:tab/>
            </w:r>
            <w:r w:rsidR="006126D0" w:rsidRPr="006126D0">
              <w:rPr>
                <w:noProof/>
                <w:webHidden/>
              </w:rPr>
              <w:fldChar w:fldCharType="begin"/>
            </w:r>
            <w:r w:rsidR="006126D0" w:rsidRPr="006126D0">
              <w:rPr>
                <w:noProof/>
                <w:webHidden/>
              </w:rPr>
              <w:instrText xml:space="preserve"> PAGEREF _Toc168584189 \h </w:instrText>
            </w:r>
            <w:r w:rsidR="006126D0" w:rsidRPr="006126D0">
              <w:rPr>
                <w:noProof/>
                <w:webHidden/>
              </w:rPr>
            </w:r>
            <w:r w:rsidR="006126D0" w:rsidRPr="006126D0">
              <w:rPr>
                <w:noProof/>
                <w:webHidden/>
              </w:rPr>
              <w:fldChar w:fldCharType="separate"/>
            </w:r>
            <w:r w:rsidR="00E93915">
              <w:rPr>
                <w:noProof/>
                <w:webHidden/>
              </w:rPr>
              <w:t>5</w:t>
            </w:r>
            <w:r w:rsidR="006126D0" w:rsidRPr="006126D0">
              <w:rPr>
                <w:noProof/>
                <w:webHidden/>
              </w:rPr>
              <w:fldChar w:fldCharType="end"/>
            </w:r>
          </w:hyperlink>
        </w:p>
        <w:p w14:paraId="50B3A853" w14:textId="3E0808D2" w:rsidR="006126D0" w:rsidRPr="006126D0" w:rsidRDefault="00000000" w:rsidP="006126D0">
          <w:pPr>
            <w:pStyle w:val="TOC2"/>
            <w:tabs>
              <w:tab w:val="right" w:leader="dot" w:pos="9066"/>
            </w:tabs>
            <w:ind w:left="1402"/>
            <w:rPr>
              <w:rFonts w:asciiTheme="minorHAnsi" w:eastAsiaTheme="minorEastAsia" w:hAnsiTheme="minorHAnsi" w:cstheme="minorBidi"/>
              <w:noProof/>
              <w:kern w:val="2"/>
              <w:lang w:val="de-AT" w:eastAsia="de-AT"/>
              <w14:ligatures w14:val="standardContextual"/>
            </w:rPr>
          </w:pPr>
          <w:hyperlink w:anchor="_Toc168584190" w:history="1">
            <w:r w:rsidR="006126D0" w:rsidRPr="006126D0">
              <w:rPr>
                <w:rStyle w:val="Hyperlink"/>
                <w:rFonts w:ascii="Aptos" w:hAnsi="Aptos"/>
                <w:noProof/>
              </w:rPr>
              <w:t>Constructions to circumvent customs duties in online trade</w:t>
            </w:r>
            <w:r w:rsidR="006126D0" w:rsidRPr="006126D0">
              <w:rPr>
                <w:noProof/>
                <w:webHidden/>
              </w:rPr>
              <w:tab/>
            </w:r>
            <w:r w:rsidR="006126D0" w:rsidRPr="006126D0">
              <w:rPr>
                <w:noProof/>
                <w:webHidden/>
              </w:rPr>
              <w:fldChar w:fldCharType="begin"/>
            </w:r>
            <w:r w:rsidR="006126D0" w:rsidRPr="006126D0">
              <w:rPr>
                <w:noProof/>
                <w:webHidden/>
              </w:rPr>
              <w:instrText xml:space="preserve"> PAGEREF _Toc168584190 \h </w:instrText>
            </w:r>
            <w:r w:rsidR="006126D0" w:rsidRPr="006126D0">
              <w:rPr>
                <w:noProof/>
                <w:webHidden/>
              </w:rPr>
            </w:r>
            <w:r w:rsidR="006126D0" w:rsidRPr="006126D0">
              <w:rPr>
                <w:noProof/>
                <w:webHidden/>
              </w:rPr>
              <w:fldChar w:fldCharType="separate"/>
            </w:r>
            <w:r w:rsidR="00E93915">
              <w:rPr>
                <w:noProof/>
                <w:webHidden/>
              </w:rPr>
              <w:t>6</w:t>
            </w:r>
            <w:r w:rsidR="006126D0" w:rsidRPr="006126D0">
              <w:rPr>
                <w:noProof/>
                <w:webHidden/>
              </w:rPr>
              <w:fldChar w:fldCharType="end"/>
            </w:r>
          </w:hyperlink>
        </w:p>
        <w:p w14:paraId="174D67B9" w14:textId="252F7C76" w:rsidR="006126D0" w:rsidRPr="006126D0" w:rsidRDefault="00000000" w:rsidP="006126D0">
          <w:pPr>
            <w:pStyle w:val="TOC2"/>
            <w:tabs>
              <w:tab w:val="right" w:leader="dot" w:pos="9066"/>
            </w:tabs>
            <w:ind w:left="1402"/>
            <w:rPr>
              <w:rFonts w:asciiTheme="minorHAnsi" w:eastAsiaTheme="minorEastAsia" w:hAnsiTheme="minorHAnsi" w:cstheme="minorBidi"/>
              <w:noProof/>
              <w:kern w:val="2"/>
              <w:lang w:val="de-AT" w:eastAsia="de-AT"/>
              <w14:ligatures w14:val="standardContextual"/>
            </w:rPr>
          </w:pPr>
          <w:hyperlink w:anchor="_Toc168584191" w:history="1">
            <w:r w:rsidR="006126D0" w:rsidRPr="006126D0">
              <w:rPr>
                <w:rStyle w:val="Hyperlink"/>
                <w:rFonts w:ascii="Aptos" w:hAnsi="Aptos"/>
                <w:noProof/>
              </w:rPr>
              <w:t>Distortion of competition due to imported products from third countries - CBAM</w:t>
            </w:r>
            <w:r w:rsidR="006126D0" w:rsidRPr="006126D0">
              <w:rPr>
                <w:noProof/>
                <w:webHidden/>
              </w:rPr>
              <w:tab/>
            </w:r>
            <w:r w:rsidR="006126D0" w:rsidRPr="006126D0">
              <w:rPr>
                <w:noProof/>
                <w:webHidden/>
              </w:rPr>
              <w:fldChar w:fldCharType="begin"/>
            </w:r>
            <w:r w:rsidR="006126D0" w:rsidRPr="006126D0">
              <w:rPr>
                <w:noProof/>
                <w:webHidden/>
              </w:rPr>
              <w:instrText xml:space="preserve"> PAGEREF _Toc168584191 \h </w:instrText>
            </w:r>
            <w:r w:rsidR="006126D0" w:rsidRPr="006126D0">
              <w:rPr>
                <w:noProof/>
                <w:webHidden/>
              </w:rPr>
            </w:r>
            <w:r w:rsidR="006126D0" w:rsidRPr="006126D0">
              <w:rPr>
                <w:noProof/>
                <w:webHidden/>
              </w:rPr>
              <w:fldChar w:fldCharType="separate"/>
            </w:r>
            <w:r w:rsidR="00E93915">
              <w:rPr>
                <w:noProof/>
                <w:webHidden/>
              </w:rPr>
              <w:t>7</w:t>
            </w:r>
            <w:r w:rsidR="006126D0" w:rsidRPr="006126D0">
              <w:rPr>
                <w:noProof/>
                <w:webHidden/>
              </w:rPr>
              <w:fldChar w:fldCharType="end"/>
            </w:r>
          </w:hyperlink>
        </w:p>
        <w:p w14:paraId="0F90E972" w14:textId="3DC0296A" w:rsidR="006126D0" w:rsidRPr="006126D0" w:rsidRDefault="00000000" w:rsidP="006126D0">
          <w:pPr>
            <w:pStyle w:val="TOC2"/>
            <w:tabs>
              <w:tab w:val="right" w:leader="dot" w:pos="9066"/>
            </w:tabs>
            <w:ind w:left="1402"/>
            <w:rPr>
              <w:rFonts w:asciiTheme="minorHAnsi" w:eastAsiaTheme="minorEastAsia" w:hAnsiTheme="minorHAnsi" w:cstheme="minorBidi"/>
              <w:noProof/>
              <w:kern w:val="2"/>
              <w:lang w:val="de-AT" w:eastAsia="de-AT"/>
              <w14:ligatures w14:val="standardContextual"/>
            </w:rPr>
          </w:pPr>
          <w:hyperlink w:anchor="_Toc168584192" w:history="1">
            <w:r w:rsidR="006126D0" w:rsidRPr="006126D0">
              <w:rPr>
                <w:rStyle w:val="Hyperlink"/>
                <w:rFonts w:ascii="Aptos" w:hAnsi="Aptos"/>
                <w:noProof/>
              </w:rPr>
              <w:t>Public investment at local level (fiscal rules)</w:t>
            </w:r>
            <w:r w:rsidR="006126D0" w:rsidRPr="006126D0">
              <w:rPr>
                <w:noProof/>
                <w:webHidden/>
              </w:rPr>
              <w:tab/>
            </w:r>
            <w:r w:rsidR="006126D0" w:rsidRPr="006126D0">
              <w:rPr>
                <w:noProof/>
                <w:webHidden/>
              </w:rPr>
              <w:fldChar w:fldCharType="begin"/>
            </w:r>
            <w:r w:rsidR="006126D0" w:rsidRPr="006126D0">
              <w:rPr>
                <w:noProof/>
                <w:webHidden/>
              </w:rPr>
              <w:instrText xml:space="preserve"> PAGEREF _Toc168584192 \h </w:instrText>
            </w:r>
            <w:r w:rsidR="006126D0" w:rsidRPr="006126D0">
              <w:rPr>
                <w:noProof/>
                <w:webHidden/>
              </w:rPr>
            </w:r>
            <w:r w:rsidR="006126D0" w:rsidRPr="006126D0">
              <w:rPr>
                <w:noProof/>
                <w:webHidden/>
              </w:rPr>
              <w:fldChar w:fldCharType="separate"/>
            </w:r>
            <w:r w:rsidR="00E93915">
              <w:rPr>
                <w:noProof/>
                <w:webHidden/>
              </w:rPr>
              <w:t>8</w:t>
            </w:r>
            <w:r w:rsidR="006126D0" w:rsidRPr="006126D0">
              <w:rPr>
                <w:noProof/>
                <w:webHidden/>
              </w:rPr>
              <w:fldChar w:fldCharType="end"/>
            </w:r>
          </w:hyperlink>
        </w:p>
        <w:p w14:paraId="45586799" w14:textId="2A9499A0" w:rsidR="006126D0" w:rsidRPr="006126D0" w:rsidRDefault="00000000" w:rsidP="006126D0">
          <w:pPr>
            <w:pStyle w:val="TOC2"/>
            <w:tabs>
              <w:tab w:val="right" w:leader="dot" w:pos="9066"/>
            </w:tabs>
            <w:ind w:left="1402"/>
            <w:rPr>
              <w:rFonts w:asciiTheme="minorHAnsi" w:eastAsiaTheme="minorEastAsia" w:hAnsiTheme="minorHAnsi" w:cstheme="minorBidi"/>
              <w:noProof/>
              <w:kern w:val="2"/>
              <w:lang w:val="de-AT" w:eastAsia="de-AT"/>
              <w14:ligatures w14:val="standardContextual"/>
            </w:rPr>
          </w:pPr>
          <w:hyperlink w:anchor="_Toc168584193" w:history="1">
            <w:r w:rsidR="006126D0" w:rsidRPr="006126D0">
              <w:rPr>
                <w:rStyle w:val="Hyperlink"/>
                <w:rFonts w:ascii="Aptos" w:hAnsi="Aptos"/>
                <w:noProof/>
              </w:rPr>
              <w:t>Strengthening the monetary union by investing in safe assets markets</w:t>
            </w:r>
            <w:r w:rsidR="006126D0" w:rsidRPr="006126D0">
              <w:rPr>
                <w:noProof/>
                <w:webHidden/>
              </w:rPr>
              <w:tab/>
            </w:r>
            <w:r w:rsidR="006126D0" w:rsidRPr="006126D0">
              <w:rPr>
                <w:noProof/>
                <w:webHidden/>
              </w:rPr>
              <w:fldChar w:fldCharType="begin"/>
            </w:r>
            <w:r w:rsidR="006126D0" w:rsidRPr="006126D0">
              <w:rPr>
                <w:noProof/>
                <w:webHidden/>
              </w:rPr>
              <w:instrText xml:space="preserve"> PAGEREF _Toc168584193 \h </w:instrText>
            </w:r>
            <w:r w:rsidR="006126D0" w:rsidRPr="006126D0">
              <w:rPr>
                <w:noProof/>
                <w:webHidden/>
              </w:rPr>
            </w:r>
            <w:r w:rsidR="006126D0" w:rsidRPr="006126D0">
              <w:rPr>
                <w:noProof/>
                <w:webHidden/>
              </w:rPr>
              <w:fldChar w:fldCharType="separate"/>
            </w:r>
            <w:r w:rsidR="00E93915">
              <w:rPr>
                <w:noProof/>
                <w:webHidden/>
              </w:rPr>
              <w:t>9</w:t>
            </w:r>
            <w:r w:rsidR="006126D0" w:rsidRPr="006126D0">
              <w:rPr>
                <w:noProof/>
                <w:webHidden/>
              </w:rPr>
              <w:fldChar w:fldCharType="end"/>
            </w:r>
          </w:hyperlink>
        </w:p>
        <w:p w14:paraId="6B8B205C" w14:textId="36D97C2F" w:rsidR="006126D0" w:rsidRPr="006126D0" w:rsidRDefault="00000000" w:rsidP="006126D0">
          <w:pPr>
            <w:pStyle w:val="TOC2"/>
            <w:tabs>
              <w:tab w:val="right" w:leader="dot" w:pos="9066"/>
            </w:tabs>
            <w:ind w:left="1402"/>
            <w:rPr>
              <w:rFonts w:asciiTheme="minorHAnsi" w:eastAsiaTheme="minorEastAsia" w:hAnsiTheme="minorHAnsi" w:cstheme="minorBidi"/>
              <w:noProof/>
              <w:kern w:val="2"/>
              <w:lang w:val="de-AT" w:eastAsia="de-AT"/>
              <w14:ligatures w14:val="standardContextual"/>
            </w:rPr>
          </w:pPr>
          <w:hyperlink w:anchor="_Toc168584194" w:history="1">
            <w:r w:rsidR="006126D0" w:rsidRPr="006126D0">
              <w:rPr>
                <w:rStyle w:val="Hyperlink"/>
                <w:rFonts w:ascii="Aptos" w:hAnsi="Aptos"/>
                <w:noProof/>
              </w:rPr>
              <w:t>New public financing methods (Austrians ASFINAG model)</w:t>
            </w:r>
            <w:r w:rsidR="006126D0" w:rsidRPr="006126D0">
              <w:rPr>
                <w:noProof/>
                <w:webHidden/>
              </w:rPr>
              <w:tab/>
            </w:r>
            <w:r w:rsidR="006126D0" w:rsidRPr="006126D0">
              <w:rPr>
                <w:noProof/>
                <w:webHidden/>
              </w:rPr>
              <w:fldChar w:fldCharType="begin"/>
            </w:r>
            <w:r w:rsidR="006126D0" w:rsidRPr="006126D0">
              <w:rPr>
                <w:noProof/>
                <w:webHidden/>
              </w:rPr>
              <w:instrText xml:space="preserve"> PAGEREF _Toc168584194 \h </w:instrText>
            </w:r>
            <w:r w:rsidR="006126D0" w:rsidRPr="006126D0">
              <w:rPr>
                <w:noProof/>
                <w:webHidden/>
              </w:rPr>
            </w:r>
            <w:r w:rsidR="006126D0" w:rsidRPr="006126D0">
              <w:rPr>
                <w:noProof/>
                <w:webHidden/>
              </w:rPr>
              <w:fldChar w:fldCharType="separate"/>
            </w:r>
            <w:r w:rsidR="00E93915">
              <w:rPr>
                <w:noProof/>
                <w:webHidden/>
              </w:rPr>
              <w:t>10</w:t>
            </w:r>
            <w:r w:rsidR="006126D0" w:rsidRPr="006126D0">
              <w:rPr>
                <w:noProof/>
                <w:webHidden/>
              </w:rPr>
              <w:fldChar w:fldCharType="end"/>
            </w:r>
          </w:hyperlink>
        </w:p>
        <w:p w14:paraId="53656A13" w14:textId="0800B02B" w:rsidR="006126D0" w:rsidRPr="006126D0" w:rsidRDefault="00000000" w:rsidP="006126D0">
          <w:pPr>
            <w:pStyle w:val="TOC2"/>
            <w:tabs>
              <w:tab w:val="right" w:leader="dot" w:pos="9066"/>
            </w:tabs>
            <w:ind w:left="1402"/>
            <w:rPr>
              <w:rFonts w:asciiTheme="minorHAnsi" w:eastAsiaTheme="minorEastAsia" w:hAnsiTheme="minorHAnsi" w:cstheme="minorBidi"/>
              <w:noProof/>
              <w:kern w:val="2"/>
              <w:lang w:val="de-AT" w:eastAsia="de-AT"/>
              <w14:ligatures w14:val="standardContextual"/>
            </w:rPr>
          </w:pPr>
          <w:hyperlink w:anchor="_Toc168584195" w:history="1">
            <w:r w:rsidR="006126D0" w:rsidRPr="006126D0">
              <w:rPr>
                <w:rStyle w:val="Hyperlink"/>
                <w:rFonts w:ascii="Aptos" w:hAnsi="Aptos"/>
                <w:noProof/>
              </w:rPr>
              <w:t>Deepening the capital markets union</w:t>
            </w:r>
            <w:r w:rsidR="006126D0" w:rsidRPr="006126D0">
              <w:rPr>
                <w:noProof/>
                <w:webHidden/>
              </w:rPr>
              <w:tab/>
            </w:r>
            <w:r w:rsidR="006126D0" w:rsidRPr="006126D0">
              <w:rPr>
                <w:noProof/>
                <w:webHidden/>
              </w:rPr>
              <w:fldChar w:fldCharType="begin"/>
            </w:r>
            <w:r w:rsidR="006126D0" w:rsidRPr="006126D0">
              <w:rPr>
                <w:noProof/>
                <w:webHidden/>
              </w:rPr>
              <w:instrText xml:space="preserve"> PAGEREF _Toc168584195 \h </w:instrText>
            </w:r>
            <w:r w:rsidR="006126D0" w:rsidRPr="006126D0">
              <w:rPr>
                <w:noProof/>
                <w:webHidden/>
              </w:rPr>
            </w:r>
            <w:r w:rsidR="006126D0" w:rsidRPr="006126D0">
              <w:rPr>
                <w:noProof/>
                <w:webHidden/>
              </w:rPr>
              <w:fldChar w:fldCharType="separate"/>
            </w:r>
            <w:r w:rsidR="00E93915">
              <w:rPr>
                <w:noProof/>
                <w:webHidden/>
              </w:rPr>
              <w:t>11</w:t>
            </w:r>
            <w:r w:rsidR="006126D0" w:rsidRPr="006126D0">
              <w:rPr>
                <w:noProof/>
                <w:webHidden/>
              </w:rPr>
              <w:fldChar w:fldCharType="end"/>
            </w:r>
          </w:hyperlink>
        </w:p>
        <w:p w14:paraId="74A33018" w14:textId="65C051F0" w:rsidR="006126D0" w:rsidRPr="006126D0" w:rsidRDefault="00000000" w:rsidP="006126D0">
          <w:pPr>
            <w:pStyle w:val="TOC2"/>
            <w:tabs>
              <w:tab w:val="right" w:leader="dot" w:pos="9066"/>
            </w:tabs>
            <w:ind w:left="1402"/>
            <w:rPr>
              <w:rFonts w:asciiTheme="minorHAnsi" w:eastAsiaTheme="minorEastAsia" w:hAnsiTheme="minorHAnsi" w:cstheme="minorBidi"/>
              <w:noProof/>
              <w:kern w:val="2"/>
              <w:lang w:val="de-AT" w:eastAsia="de-AT"/>
              <w14:ligatures w14:val="standardContextual"/>
            </w:rPr>
          </w:pPr>
          <w:hyperlink w:anchor="_Toc168584196" w:history="1">
            <w:r w:rsidR="006126D0" w:rsidRPr="006126D0">
              <w:rPr>
                <w:rStyle w:val="Hyperlink"/>
                <w:rFonts w:ascii="Aptos" w:hAnsi="Aptos"/>
                <w:noProof/>
              </w:rPr>
              <w:t>Improving the framework conditions for inter-municipal cooperation</w:t>
            </w:r>
            <w:r w:rsidR="006126D0" w:rsidRPr="006126D0">
              <w:rPr>
                <w:noProof/>
                <w:webHidden/>
              </w:rPr>
              <w:tab/>
            </w:r>
            <w:r w:rsidR="006126D0" w:rsidRPr="006126D0">
              <w:rPr>
                <w:noProof/>
                <w:webHidden/>
              </w:rPr>
              <w:fldChar w:fldCharType="begin"/>
            </w:r>
            <w:r w:rsidR="006126D0" w:rsidRPr="006126D0">
              <w:rPr>
                <w:noProof/>
                <w:webHidden/>
              </w:rPr>
              <w:instrText xml:space="preserve"> PAGEREF _Toc168584196 \h </w:instrText>
            </w:r>
            <w:r w:rsidR="006126D0" w:rsidRPr="006126D0">
              <w:rPr>
                <w:noProof/>
                <w:webHidden/>
              </w:rPr>
            </w:r>
            <w:r w:rsidR="006126D0" w:rsidRPr="006126D0">
              <w:rPr>
                <w:noProof/>
                <w:webHidden/>
              </w:rPr>
              <w:fldChar w:fldCharType="separate"/>
            </w:r>
            <w:r w:rsidR="00E93915">
              <w:rPr>
                <w:noProof/>
                <w:webHidden/>
              </w:rPr>
              <w:t>12</w:t>
            </w:r>
            <w:r w:rsidR="006126D0" w:rsidRPr="006126D0">
              <w:rPr>
                <w:noProof/>
                <w:webHidden/>
              </w:rPr>
              <w:fldChar w:fldCharType="end"/>
            </w:r>
          </w:hyperlink>
        </w:p>
        <w:p w14:paraId="3378F6B7" w14:textId="0CD83EF9" w:rsidR="006126D0" w:rsidRPr="006126D0" w:rsidRDefault="00000000" w:rsidP="006126D0">
          <w:pPr>
            <w:pStyle w:val="TOC2"/>
            <w:tabs>
              <w:tab w:val="right" w:leader="dot" w:pos="9066"/>
            </w:tabs>
            <w:ind w:left="1402"/>
            <w:rPr>
              <w:rFonts w:asciiTheme="minorHAnsi" w:eastAsiaTheme="minorEastAsia" w:hAnsiTheme="minorHAnsi" w:cstheme="minorBidi"/>
              <w:noProof/>
              <w:kern w:val="2"/>
              <w:lang w:val="de-AT" w:eastAsia="de-AT"/>
              <w14:ligatures w14:val="standardContextual"/>
            </w:rPr>
          </w:pPr>
          <w:hyperlink w:anchor="_Toc168584197" w:history="1">
            <w:r w:rsidR="006126D0" w:rsidRPr="006126D0">
              <w:rPr>
                <w:rStyle w:val="Hyperlink"/>
                <w:rFonts w:ascii="Aptos" w:hAnsi="Aptos"/>
                <w:noProof/>
              </w:rPr>
              <w:t>Prevention of property industry-induced financial crises</w:t>
            </w:r>
            <w:r w:rsidR="006126D0" w:rsidRPr="006126D0">
              <w:rPr>
                <w:noProof/>
                <w:webHidden/>
              </w:rPr>
              <w:tab/>
            </w:r>
            <w:r w:rsidR="006126D0" w:rsidRPr="006126D0">
              <w:rPr>
                <w:noProof/>
                <w:webHidden/>
              </w:rPr>
              <w:fldChar w:fldCharType="begin"/>
            </w:r>
            <w:r w:rsidR="006126D0" w:rsidRPr="006126D0">
              <w:rPr>
                <w:noProof/>
                <w:webHidden/>
              </w:rPr>
              <w:instrText xml:space="preserve"> PAGEREF _Toc168584197 \h </w:instrText>
            </w:r>
            <w:r w:rsidR="006126D0" w:rsidRPr="006126D0">
              <w:rPr>
                <w:noProof/>
                <w:webHidden/>
              </w:rPr>
            </w:r>
            <w:r w:rsidR="006126D0" w:rsidRPr="006126D0">
              <w:rPr>
                <w:noProof/>
                <w:webHidden/>
              </w:rPr>
              <w:fldChar w:fldCharType="separate"/>
            </w:r>
            <w:r w:rsidR="00E93915">
              <w:rPr>
                <w:noProof/>
                <w:webHidden/>
              </w:rPr>
              <w:t>13</w:t>
            </w:r>
            <w:r w:rsidR="006126D0" w:rsidRPr="006126D0">
              <w:rPr>
                <w:noProof/>
                <w:webHidden/>
              </w:rPr>
              <w:fldChar w:fldCharType="end"/>
            </w:r>
          </w:hyperlink>
        </w:p>
        <w:p w14:paraId="429D96D5" w14:textId="66A72422" w:rsidR="006126D0" w:rsidRPr="006126D0" w:rsidRDefault="00000000" w:rsidP="006126D0">
          <w:pPr>
            <w:pStyle w:val="TOC2"/>
            <w:tabs>
              <w:tab w:val="right" w:leader="dot" w:pos="9066"/>
            </w:tabs>
            <w:ind w:left="1402"/>
            <w:rPr>
              <w:rFonts w:asciiTheme="minorHAnsi" w:eastAsiaTheme="minorEastAsia" w:hAnsiTheme="minorHAnsi" w:cstheme="minorBidi"/>
              <w:noProof/>
              <w:kern w:val="2"/>
              <w:lang w:val="de-AT" w:eastAsia="de-AT"/>
              <w14:ligatures w14:val="standardContextual"/>
            </w:rPr>
          </w:pPr>
          <w:hyperlink w:anchor="_Toc168584198" w:history="1">
            <w:r w:rsidR="006126D0" w:rsidRPr="006126D0">
              <w:rPr>
                <w:rStyle w:val="Hyperlink"/>
                <w:rFonts w:ascii="Aptos" w:hAnsi="Aptos"/>
                <w:noProof/>
              </w:rPr>
              <w:t>Expansion of fiscal instruments for future investments</w:t>
            </w:r>
            <w:r w:rsidR="006126D0" w:rsidRPr="006126D0">
              <w:rPr>
                <w:noProof/>
                <w:webHidden/>
              </w:rPr>
              <w:tab/>
            </w:r>
            <w:r w:rsidR="006126D0" w:rsidRPr="006126D0">
              <w:rPr>
                <w:noProof/>
                <w:webHidden/>
              </w:rPr>
              <w:fldChar w:fldCharType="begin"/>
            </w:r>
            <w:r w:rsidR="006126D0" w:rsidRPr="006126D0">
              <w:rPr>
                <w:noProof/>
                <w:webHidden/>
              </w:rPr>
              <w:instrText xml:space="preserve"> PAGEREF _Toc168584198 \h </w:instrText>
            </w:r>
            <w:r w:rsidR="006126D0" w:rsidRPr="006126D0">
              <w:rPr>
                <w:noProof/>
                <w:webHidden/>
              </w:rPr>
            </w:r>
            <w:r w:rsidR="006126D0" w:rsidRPr="006126D0">
              <w:rPr>
                <w:noProof/>
                <w:webHidden/>
              </w:rPr>
              <w:fldChar w:fldCharType="separate"/>
            </w:r>
            <w:r w:rsidR="00E93915">
              <w:rPr>
                <w:noProof/>
                <w:webHidden/>
              </w:rPr>
              <w:t>14</w:t>
            </w:r>
            <w:r w:rsidR="006126D0" w:rsidRPr="006126D0">
              <w:rPr>
                <w:noProof/>
                <w:webHidden/>
              </w:rPr>
              <w:fldChar w:fldCharType="end"/>
            </w:r>
          </w:hyperlink>
        </w:p>
        <w:p w14:paraId="32B046BE" w14:textId="7673CA89" w:rsidR="006126D0" w:rsidRDefault="00000000" w:rsidP="006126D0">
          <w:pPr>
            <w:pStyle w:val="TOC2"/>
            <w:tabs>
              <w:tab w:val="right" w:leader="dot" w:pos="9066"/>
            </w:tabs>
            <w:ind w:left="1402"/>
            <w:rPr>
              <w:rFonts w:asciiTheme="minorHAnsi" w:eastAsiaTheme="minorEastAsia" w:hAnsiTheme="minorHAnsi" w:cstheme="minorBidi"/>
              <w:noProof/>
              <w:kern w:val="2"/>
              <w:lang w:val="de-AT" w:eastAsia="de-AT"/>
              <w14:ligatures w14:val="standardContextual"/>
            </w:rPr>
          </w:pPr>
          <w:hyperlink w:anchor="_Toc168584199" w:history="1">
            <w:r w:rsidR="006126D0" w:rsidRPr="006126D0">
              <w:rPr>
                <w:rStyle w:val="Hyperlink"/>
                <w:rFonts w:ascii="Aptos" w:hAnsi="Aptos"/>
                <w:noProof/>
              </w:rPr>
              <w:t>Municipal investments - accrual/depreciation and amortisation</w:t>
            </w:r>
            <w:r w:rsidR="006126D0" w:rsidRPr="006126D0">
              <w:rPr>
                <w:noProof/>
                <w:webHidden/>
              </w:rPr>
              <w:tab/>
            </w:r>
            <w:r w:rsidR="006126D0" w:rsidRPr="006126D0">
              <w:rPr>
                <w:noProof/>
                <w:webHidden/>
              </w:rPr>
              <w:fldChar w:fldCharType="begin"/>
            </w:r>
            <w:r w:rsidR="006126D0" w:rsidRPr="006126D0">
              <w:rPr>
                <w:noProof/>
                <w:webHidden/>
              </w:rPr>
              <w:instrText xml:space="preserve"> PAGEREF _Toc168584199 \h </w:instrText>
            </w:r>
            <w:r w:rsidR="006126D0" w:rsidRPr="006126D0">
              <w:rPr>
                <w:noProof/>
                <w:webHidden/>
              </w:rPr>
            </w:r>
            <w:r w:rsidR="006126D0" w:rsidRPr="006126D0">
              <w:rPr>
                <w:noProof/>
                <w:webHidden/>
              </w:rPr>
              <w:fldChar w:fldCharType="separate"/>
            </w:r>
            <w:r w:rsidR="00E93915">
              <w:rPr>
                <w:noProof/>
                <w:webHidden/>
              </w:rPr>
              <w:t>15</w:t>
            </w:r>
            <w:r w:rsidR="006126D0" w:rsidRPr="006126D0">
              <w:rPr>
                <w:noProof/>
                <w:webHidden/>
              </w:rPr>
              <w:fldChar w:fldCharType="end"/>
            </w:r>
          </w:hyperlink>
        </w:p>
        <w:p w14:paraId="2F96A6F0" w14:textId="24DFF6E9" w:rsidR="006126D0" w:rsidRDefault="00000000" w:rsidP="006126D0">
          <w:pPr>
            <w:pStyle w:val="TOC1"/>
            <w:tabs>
              <w:tab w:val="right" w:leader="dot" w:pos="9066"/>
            </w:tabs>
            <w:ind w:left="696"/>
            <w:rPr>
              <w:rFonts w:asciiTheme="minorHAnsi" w:eastAsiaTheme="minorEastAsia" w:hAnsiTheme="minorHAnsi" w:cstheme="minorBidi"/>
              <w:b w:val="0"/>
              <w:bCs w:val="0"/>
              <w:noProof/>
              <w:kern w:val="2"/>
              <w:lang w:val="de-AT" w:eastAsia="de-AT"/>
              <w14:ligatures w14:val="standardContextual"/>
            </w:rPr>
          </w:pPr>
          <w:hyperlink w:anchor="_Toc168584200" w:history="1">
            <w:r w:rsidR="006126D0" w:rsidRPr="00FC3B76">
              <w:rPr>
                <w:rStyle w:val="Hyperlink"/>
                <w:noProof/>
              </w:rPr>
              <w:t>Subsection II - EU financing and funding programmes</w:t>
            </w:r>
            <w:r w:rsidR="006126D0">
              <w:rPr>
                <w:noProof/>
                <w:webHidden/>
              </w:rPr>
              <w:tab/>
            </w:r>
            <w:r w:rsidR="006126D0">
              <w:rPr>
                <w:noProof/>
                <w:webHidden/>
              </w:rPr>
              <w:fldChar w:fldCharType="begin"/>
            </w:r>
            <w:r w:rsidR="006126D0">
              <w:rPr>
                <w:noProof/>
                <w:webHidden/>
              </w:rPr>
              <w:instrText xml:space="preserve"> PAGEREF _Toc168584200 \h </w:instrText>
            </w:r>
            <w:r w:rsidR="006126D0">
              <w:rPr>
                <w:noProof/>
                <w:webHidden/>
              </w:rPr>
            </w:r>
            <w:r w:rsidR="006126D0">
              <w:rPr>
                <w:noProof/>
                <w:webHidden/>
              </w:rPr>
              <w:fldChar w:fldCharType="separate"/>
            </w:r>
            <w:r w:rsidR="00E93915">
              <w:rPr>
                <w:noProof/>
                <w:webHidden/>
              </w:rPr>
              <w:t>16</w:t>
            </w:r>
            <w:r w:rsidR="006126D0">
              <w:rPr>
                <w:noProof/>
                <w:webHidden/>
              </w:rPr>
              <w:fldChar w:fldCharType="end"/>
            </w:r>
          </w:hyperlink>
        </w:p>
        <w:p w14:paraId="418F1CB4" w14:textId="66EE38E7" w:rsidR="006126D0" w:rsidRPr="006126D0" w:rsidRDefault="00000000" w:rsidP="006126D0">
          <w:pPr>
            <w:pStyle w:val="TOC2"/>
            <w:tabs>
              <w:tab w:val="right" w:leader="dot" w:pos="9066"/>
            </w:tabs>
            <w:ind w:left="1402"/>
            <w:rPr>
              <w:rFonts w:asciiTheme="minorHAnsi" w:eastAsiaTheme="minorEastAsia" w:hAnsiTheme="minorHAnsi" w:cstheme="minorBidi"/>
              <w:noProof/>
              <w:kern w:val="2"/>
              <w:lang w:val="de-AT" w:eastAsia="de-AT"/>
              <w14:ligatures w14:val="standardContextual"/>
            </w:rPr>
          </w:pPr>
          <w:hyperlink w:anchor="_Toc168584201" w:history="1">
            <w:r w:rsidR="006126D0" w:rsidRPr="006126D0">
              <w:rPr>
                <w:rStyle w:val="Hyperlink"/>
                <w:rFonts w:ascii="Aptos" w:hAnsi="Aptos"/>
                <w:noProof/>
              </w:rPr>
              <w:t>Public financing for green investment projects</w:t>
            </w:r>
            <w:r w:rsidR="006126D0" w:rsidRPr="006126D0">
              <w:rPr>
                <w:noProof/>
                <w:webHidden/>
              </w:rPr>
              <w:tab/>
            </w:r>
            <w:r w:rsidR="006126D0" w:rsidRPr="006126D0">
              <w:rPr>
                <w:noProof/>
                <w:webHidden/>
              </w:rPr>
              <w:fldChar w:fldCharType="begin"/>
            </w:r>
            <w:r w:rsidR="006126D0" w:rsidRPr="006126D0">
              <w:rPr>
                <w:noProof/>
                <w:webHidden/>
              </w:rPr>
              <w:instrText xml:space="preserve"> PAGEREF _Toc168584201 \h </w:instrText>
            </w:r>
            <w:r w:rsidR="006126D0" w:rsidRPr="006126D0">
              <w:rPr>
                <w:noProof/>
                <w:webHidden/>
              </w:rPr>
            </w:r>
            <w:r w:rsidR="006126D0" w:rsidRPr="006126D0">
              <w:rPr>
                <w:noProof/>
                <w:webHidden/>
              </w:rPr>
              <w:fldChar w:fldCharType="separate"/>
            </w:r>
            <w:r w:rsidR="00E93915">
              <w:rPr>
                <w:noProof/>
                <w:webHidden/>
              </w:rPr>
              <w:t>16</w:t>
            </w:r>
            <w:r w:rsidR="006126D0" w:rsidRPr="006126D0">
              <w:rPr>
                <w:noProof/>
                <w:webHidden/>
              </w:rPr>
              <w:fldChar w:fldCharType="end"/>
            </w:r>
          </w:hyperlink>
        </w:p>
        <w:p w14:paraId="2A4D053A" w14:textId="7FE4321A" w:rsidR="006126D0" w:rsidRPr="006126D0" w:rsidRDefault="00000000" w:rsidP="006126D0">
          <w:pPr>
            <w:pStyle w:val="TOC2"/>
            <w:tabs>
              <w:tab w:val="right" w:leader="dot" w:pos="9066"/>
            </w:tabs>
            <w:ind w:left="1402"/>
            <w:rPr>
              <w:rFonts w:asciiTheme="minorHAnsi" w:eastAsiaTheme="minorEastAsia" w:hAnsiTheme="minorHAnsi" w:cstheme="minorBidi"/>
              <w:noProof/>
              <w:kern w:val="2"/>
              <w:lang w:val="de-AT" w:eastAsia="de-AT"/>
              <w14:ligatures w14:val="standardContextual"/>
            </w:rPr>
          </w:pPr>
          <w:hyperlink w:anchor="_Toc168584202" w:history="1">
            <w:r w:rsidR="006126D0" w:rsidRPr="006126D0">
              <w:rPr>
                <w:rStyle w:val="Hyperlink"/>
                <w:rFonts w:ascii="Aptos" w:hAnsi="Aptos"/>
                <w:noProof/>
              </w:rPr>
              <w:t>Continuation and evaluation of current funding programmes (RRF)</w:t>
            </w:r>
            <w:r w:rsidR="006126D0" w:rsidRPr="006126D0">
              <w:rPr>
                <w:noProof/>
                <w:webHidden/>
              </w:rPr>
              <w:tab/>
            </w:r>
            <w:r w:rsidR="006126D0" w:rsidRPr="006126D0">
              <w:rPr>
                <w:noProof/>
                <w:webHidden/>
              </w:rPr>
              <w:fldChar w:fldCharType="begin"/>
            </w:r>
            <w:r w:rsidR="006126D0" w:rsidRPr="006126D0">
              <w:rPr>
                <w:noProof/>
                <w:webHidden/>
              </w:rPr>
              <w:instrText xml:space="preserve"> PAGEREF _Toc168584202 \h </w:instrText>
            </w:r>
            <w:r w:rsidR="006126D0" w:rsidRPr="006126D0">
              <w:rPr>
                <w:noProof/>
                <w:webHidden/>
              </w:rPr>
            </w:r>
            <w:r w:rsidR="006126D0" w:rsidRPr="006126D0">
              <w:rPr>
                <w:noProof/>
                <w:webHidden/>
              </w:rPr>
              <w:fldChar w:fldCharType="separate"/>
            </w:r>
            <w:r w:rsidR="00E93915">
              <w:rPr>
                <w:noProof/>
                <w:webHidden/>
              </w:rPr>
              <w:t>17</w:t>
            </w:r>
            <w:r w:rsidR="006126D0" w:rsidRPr="006126D0">
              <w:rPr>
                <w:noProof/>
                <w:webHidden/>
              </w:rPr>
              <w:fldChar w:fldCharType="end"/>
            </w:r>
          </w:hyperlink>
        </w:p>
        <w:p w14:paraId="67CE41C2" w14:textId="2234124D" w:rsidR="006126D0" w:rsidRPr="006126D0" w:rsidRDefault="00000000" w:rsidP="006126D0">
          <w:pPr>
            <w:pStyle w:val="TOC2"/>
            <w:tabs>
              <w:tab w:val="right" w:leader="dot" w:pos="9066"/>
            </w:tabs>
            <w:ind w:left="1402"/>
            <w:rPr>
              <w:rFonts w:asciiTheme="minorHAnsi" w:eastAsiaTheme="minorEastAsia" w:hAnsiTheme="minorHAnsi" w:cstheme="minorBidi"/>
              <w:noProof/>
              <w:kern w:val="2"/>
              <w:lang w:val="de-AT" w:eastAsia="de-AT"/>
              <w14:ligatures w14:val="standardContextual"/>
            </w:rPr>
          </w:pPr>
          <w:hyperlink w:anchor="_Toc168584203" w:history="1">
            <w:r w:rsidR="006126D0" w:rsidRPr="006126D0">
              <w:rPr>
                <w:rStyle w:val="Hyperlink"/>
                <w:rFonts w:ascii="Aptos" w:hAnsi="Aptos"/>
                <w:noProof/>
              </w:rPr>
              <w:t>Public-private partnerships (PPP projects)</w:t>
            </w:r>
            <w:r w:rsidR="006126D0" w:rsidRPr="006126D0">
              <w:rPr>
                <w:noProof/>
                <w:webHidden/>
              </w:rPr>
              <w:tab/>
            </w:r>
            <w:r w:rsidR="006126D0" w:rsidRPr="006126D0">
              <w:rPr>
                <w:noProof/>
                <w:webHidden/>
              </w:rPr>
              <w:fldChar w:fldCharType="begin"/>
            </w:r>
            <w:r w:rsidR="006126D0" w:rsidRPr="006126D0">
              <w:rPr>
                <w:noProof/>
                <w:webHidden/>
              </w:rPr>
              <w:instrText xml:space="preserve"> PAGEREF _Toc168584203 \h </w:instrText>
            </w:r>
            <w:r w:rsidR="006126D0" w:rsidRPr="006126D0">
              <w:rPr>
                <w:noProof/>
                <w:webHidden/>
              </w:rPr>
            </w:r>
            <w:r w:rsidR="006126D0" w:rsidRPr="006126D0">
              <w:rPr>
                <w:noProof/>
                <w:webHidden/>
              </w:rPr>
              <w:fldChar w:fldCharType="separate"/>
            </w:r>
            <w:r w:rsidR="00E93915">
              <w:rPr>
                <w:noProof/>
                <w:webHidden/>
              </w:rPr>
              <w:t>18</w:t>
            </w:r>
            <w:r w:rsidR="006126D0" w:rsidRPr="006126D0">
              <w:rPr>
                <w:noProof/>
                <w:webHidden/>
              </w:rPr>
              <w:fldChar w:fldCharType="end"/>
            </w:r>
          </w:hyperlink>
        </w:p>
        <w:p w14:paraId="6EBD9873" w14:textId="4676D4D4" w:rsidR="006126D0" w:rsidRPr="006126D0" w:rsidRDefault="00000000" w:rsidP="006126D0">
          <w:pPr>
            <w:pStyle w:val="TOC2"/>
            <w:tabs>
              <w:tab w:val="right" w:leader="dot" w:pos="9066"/>
            </w:tabs>
            <w:ind w:left="1402"/>
            <w:rPr>
              <w:rFonts w:asciiTheme="minorHAnsi" w:eastAsiaTheme="minorEastAsia" w:hAnsiTheme="minorHAnsi" w:cstheme="minorBidi"/>
              <w:noProof/>
              <w:kern w:val="2"/>
              <w:lang w:val="de-AT" w:eastAsia="de-AT"/>
              <w14:ligatures w14:val="standardContextual"/>
            </w:rPr>
          </w:pPr>
          <w:hyperlink w:anchor="_Toc168584204" w:history="1">
            <w:r w:rsidR="006126D0" w:rsidRPr="006126D0">
              <w:rPr>
                <w:rStyle w:val="Hyperlink"/>
                <w:rFonts w:ascii="Aptos" w:hAnsi="Aptos"/>
                <w:noProof/>
              </w:rPr>
              <w:t>New SME definition for public companies</w:t>
            </w:r>
            <w:r w:rsidR="006126D0" w:rsidRPr="006126D0">
              <w:rPr>
                <w:noProof/>
                <w:webHidden/>
              </w:rPr>
              <w:tab/>
            </w:r>
            <w:r w:rsidR="006126D0" w:rsidRPr="006126D0">
              <w:rPr>
                <w:noProof/>
                <w:webHidden/>
              </w:rPr>
              <w:fldChar w:fldCharType="begin"/>
            </w:r>
            <w:r w:rsidR="006126D0" w:rsidRPr="006126D0">
              <w:rPr>
                <w:noProof/>
                <w:webHidden/>
              </w:rPr>
              <w:instrText xml:space="preserve"> PAGEREF _Toc168584204 \h </w:instrText>
            </w:r>
            <w:r w:rsidR="006126D0" w:rsidRPr="006126D0">
              <w:rPr>
                <w:noProof/>
                <w:webHidden/>
              </w:rPr>
            </w:r>
            <w:r w:rsidR="006126D0" w:rsidRPr="006126D0">
              <w:rPr>
                <w:noProof/>
                <w:webHidden/>
              </w:rPr>
              <w:fldChar w:fldCharType="separate"/>
            </w:r>
            <w:r w:rsidR="00E93915">
              <w:rPr>
                <w:noProof/>
                <w:webHidden/>
              </w:rPr>
              <w:t>19</w:t>
            </w:r>
            <w:r w:rsidR="006126D0" w:rsidRPr="006126D0">
              <w:rPr>
                <w:noProof/>
                <w:webHidden/>
              </w:rPr>
              <w:fldChar w:fldCharType="end"/>
            </w:r>
          </w:hyperlink>
        </w:p>
        <w:p w14:paraId="7A8E5FF8" w14:textId="538ABE86" w:rsidR="006126D0" w:rsidRPr="006126D0" w:rsidRDefault="00000000" w:rsidP="006126D0">
          <w:pPr>
            <w:pStyle w:val="TOC2"/>
            <w:tabs>
              <w:tab w:val="right" w:leader="dot" w:pos="9066"/>
            </w:tabs>
            <w:ind w:left="1402"/>
            <w:rPr>
              <w:rFonts w:asciiTheme="minorHAnsi" w:eastAsiaTheme="minorEastAsia" w:hAnsiTheme="minorHAnsi" w:cstheme="minorBidi"/>
              <w:noProof/>
              <w:kern w:val="2"/>
              <w:lang w:val="de-AT" w:eastAsia="de-AT"/>
              <w14:ligatures w14:val="standardContextual"/>
            </w:rPr>
          </w:pPr>
          <w:hyperlink w:anchor="_Toc168584205" w:history="1">
            <w:r w:rsidR="006126D0" w:rsidRPr="006126D0">
              <w:rPr>
                <w:rStyle w:val="Hyperlink"/>
                <w:rFonts w:ascii="Aptos" w:hAnsi="Aptos"/>
                <w:noProof/>
              </w:rPr>
              <w:t>Dual-use criterion - climate protection and security of supply for critical infrastructures</w:t>
            </w:r>
            <w:r w:rsidR="006126D0" w:rsidRPr="006126D0">
              <w:rPr>
                <w:noProof/>
                <w:webHidden/>
              </w:rPr>
              <w:tab/>
            </w:r>
            <w:r w:rsidR="006126D0" w:rsidRPr="006126D0">
              <w:rPr>
                <w:noProof/>
                <w:webHidden/>
              </w:rPr>
              <w:fldChar w:fldCharType="begin"/>
            </w:r>
            <w:r w:rsidR="006126D0" w:rsidRPr="006126D0">
              <w:rPr>
                <w:noProof/>
                <w:webHidden/>
              </w:rPr>
              <w:instrText xml:space="preserve"> PAGEREF _Toc168584205 \h </w:instrText>
            </w:r>
            <w:r w:rsidR="006126D0" w:rsidRPr="006126D0">
              <w:rPr>
                <w:noProof/>
                <w:webHidden/>
              </w:rPr>
            </w:r>
            <w:r w:rsidR="006126D0" w:rsidRPr="006126D0">
              <w:rPr>
                <w:noProof/>
                <w:webHidden/>
              </w:rPr>
              <w:fldChar w:fldCharType="separate"/>
            </w:r>
            <w:r w:rsidR="00E93915">
              <w:rPr>
                <w:noProof/>
                <w:webHidden/>
              </w:rPr>
              <w:t>20</w:t>
            </w:r>
            <w:r w:rsidR="006126D0" w:rsidRPr="006126D0">
              <w:rPr>
                <w:noProof/>
                <w:webHidden/>
              </w:rPr>
              <w:fldChar w:fldCharType="end"/>
            </w:r>
          </w:hyperlink>
        </w:p>
        <w:p w14:paraId="4304B863" w14:textId="21FC5FDA" w:rsidR="006126D0" w:rsidRPr="006126D0" w:rsidRDefault="00000000" w:rsidP="006126D0">
          <w:pPr>
            <w:pStyle w:val="TOC2"/>
            <w:tabs>
              <w:tab w:val="right" w:leader="dot" w:pos="9066"/>
            </w:tabs>
            <w:ind w:left="1402"/>
            <w:rPr>
              <w:rFonts w:asciiTheme="minorHAnsi" w:eastAsiaTheme="minorEastAsia" w:hAnsiTheme="minorHAnsi" w:cstheme="minorBidi"/>
              <w:noProof/>
              <w:kern w:val="2"/>
              <w:lang w:val="de-AT" w:eastAsia="de-AT"/>
              <w14:ligatures w14:val="standardContextual"/>
            </w:rPr>
          </w:pPr>
          <w:hyperlink w:anchor="_Toc168584206" w:history="1">
            <w:r w:rsidR="006126D0" w:rsidRPr="006126D0">
              <w:rPr>
                <w:rStyle w:val="Hyperlink"/>
                <w:rFonts w:ascii="Aptos" w:hAnsi="Aptos"/>
                <w:noProof/>
              </w:rPr>
              <w:t>Flexibility of EU funding programmes</w:t>
            </w:r>
            <w:r w:rsidR="006126D0" w:rsidRPr="006126D0">
              <w:rPr>
                <w:noProof/>
                <w:webHidden/>
              </w:rPr>
              <w:tab/>
            </w:r>
            <w:r w:rsidR="006126D0" w:rsidRPr="006126D0">
              <w:rPr>
                <w:noProof/>
                <w:webHidden/>
              </w:rPr>
              <w:fldChar w:fldCharType="begin"/>
            </w:r>
            <w:r w:rsidR="006126D0" w:rsidRPr="006126D0">
              <w:rPr>
                <w:noProof/>
                <w:webHidden/>
              </w:rPr>
              <w:instrText xml:space="preserve"> PAGEREF _Toc168584206 \h </w:instrText>
            </w:r>
            <w:r w:rsidR="006126D0" w:rsidRPr="006126D0">
              <w:rPr>
                <w:noProof/>
                <w:webHidden/>
              </w:rPr>
            </w:r>
            <w:r w:rsidR="006126D0" w:rsidRPr="006126D0">
              <w:rPr>
                <w:noProof/>
                <w:webHidden/>
              </w:rPr>
              <w:fldChar w:fldCharType="separate"/>
            </w:r>
            <w:r w:rsidR="00E93915">
              <w:rPr>
                <w:noProof/>
                <w:webHidden/>
              </w:rPr>
              <w:t>21</w:t>
            </w:r>
            <w:r w:rsidR="006126D0" w:rsidRPr="006126D0">
              <w:rPr>
                <w:noProof/>
                <w:webHidden/>
              </w:rPr>
              <w:fldChar w:fldCharType="end"/>
            </w:r>
          </w:hyperlink>
        </w:p>
        <w:p w14:paraId="27227B38" w14:textId="1C09F0B0" w:rsidR="006126D0" w:rsidRPr="006126D0" w:rsidRDefault="00000000" w:rsidP="006126D0">
          <w:pPr>
            <w:pStyle w:val="TOC2"/>
            <w:tabs>
              <w:tab w:val="right" w:leader="dot" w:pos="9066"/>
            </w:tabs>
            <w:ind w:left="1402"/>
            <w:rPr>
              <w:rFonts w:asciiTheme="minorHAnsi" w:eastAsiaTheme="minorEastAsia" w:hAnsiTheme="minorHAnsi" w:cstheme="minorBidi"/>
              <w:noProof/>
              <w:kern w:val="2"/>
              <w:lang w:val="de-AT" w:eastAsia="de-AT"/>
              <w14:ligatures w14:val="standardContextual"/>
            </w:rPr>
          </w:pPr>
          <w:hyperlink w:anchor="_Toc168584207" w:history="1">
            <w:r w:rsidR="006126D0" w:rsidRPr="006126D0">
              <w:rPr>
                <w:rStyle w:val="Hyperlink"/>
                <w:rFonts w:ascii="Aptos" w:hAnsi="Aptos"/>
                <w:noProof/>
              </w:rPr>
              <w:t>Predictability of EU funding programmes</w:t>
            </w:r>
            <w:r w:rsidR="006126D0" w:rsidRPr="006126D0">
              <w:rPr>
                <w:noProof/>
                <w:webHidden/>
              </w:rPr>
              <w:tab/>
            </w:r>
            <w:r w:rsidR="006126D0" w:rsidRPr="006126D0">
              <w:rPr>
                <w:noProof/>
                <w:webHidden/>
              </w:rPr>
              <w:fldChar w:fldCharType="begin"/>
            </w:r>
            <w:r w:rsidR="006126D0" w:rsidRPr="006126D0">
              <w:rPr>
                <w:noProof/>
                <w:webHidden/>
              </w:rPr>
              <w:instrText xml:space="preserve"> PAGEREF _Toc168584207 \h </w:instrText>
            </w:r>
            <w:r w:rsidR="006126D0" w:rsidRPr="006126D0">
              <w:rPr>
                <w:noProof/>
                <w:webHidden/>
              </w:rPr>
            </w:r>
            <w:r w:rsidR="006126D0" w:rsidRPr="006126D0">
              <w:rPr>
                <w:noProof/>
                <w:webHidden/>
              </w:rPr>
              <w:fldChar w:fldCharType="separate"/>
            </w:r>
            <w:r w:rsidR="00E93915">
              <w:rPr>
                <w:noProof/>
                <w:webHidden/>
              </w:rPr>
              <w:t>22</w:t>
            </w:r>
            <w:r w:rsidR="006126D0" w:rsidRPr="006126D0">
              <w:rPr>
                <w:noProof/>
                <w:webHidden/>
              </w:rPr>
              <w:fldChar w:fldCharType="end"/>
            </w:r>
          </w:hyperlink>
        </w:p>
        <w:p w14:paraId="70DDD13B" w14:textId="331D5D24" w:rsidR="006126D0" w:rsidRPr="006126D0" w:rsidRDefault="00000000" w:rsidP="006126D0">
          <w:pPr>
            <w:pStyle w:val="TOC2"/>
            <w:tabs>
              <w:tab w:val="right" w:leader="dot" w:pos="9066"/>
            </w:tabs>
            <w:ind w:left="1402"/>
            <w:rPr>
              <w:rFonts w:asciiTheme="minorHAnsi" w:eastAsiaTheme="minorEastAsia" w:hAnsiTheme="minorHAnsi" w:cstheme="minorBidi"/>
              <w:noProof/>
              <w:kern w:val="2"/>
              <w:lang w:val="de-AT" w:eastAsia="de-AT"/>
              <w14:ligatures w14:val="standardContextual"/>
            </w:rPr>
          </w:pPr>
          <w:hyperlink w:anchor="_Toc168584208" w:history="1">
            <w:r w:rsidR="006126D0" w:rsidRPr="006126D0">
              <w:rPr>
                <w:rStyle w:val="Hyperlink"/>
                <w:rFonts w:ascii="Aptos" w:hAnsi="Aptos"/>
                <w:noProof/>
              </w:rPr>
              <w:t>Urban Nodes - Mobility promotion</w:t>
            </w:r>
            <w:r w:rsidR="006126D0" w:rsidRPr="006126D0">
              <w:rPr>
                <w:noProof/>
                <w:webHidden/>
              </w:rPr>
              <w:tab/>
            </w:r>
            <w:r w:rsidR="006126D0" w:rsidRPr="006126D0">
              <w:rPr>
                <w:noProof/>
                <w:webHidden/>
              </w:rPr>
              <w:fldChar w:fldCharType="begin"/>
            </w:r>
            <w:r w:rsidR="006126D0" w:rsidRPr="006126D0">
              <w:rPr>
                <w:noProof/>
                <w:webHidden/>
              </w:rPr>
              <w:instrText xml:space="preserve"> PAGEREF _Toc168584208 \h </w:instrText>
            </w:r>
            <w:r w:rsidR="006126D0" w:rsidRPr="006126D0">
              <w:rPr>
                <w:noProof/>
                <w:webHidden/>
              </w:rPr>
            </w:r>
            <w:r w:rsidR="006126D0" w:rsidRPr="006126D0">
              <w:rPr>
                <w:noProof/>
                <w:webHidden/>
              </w:rPr>
              <w:fldChar w:fldCharType="separate"/>
            </w:r>
            <w:r w:rsidR="00E93915">
              <w:rPr>
                <w:noProof/>
                <w:webHidden/>
              </w:rPr>
              <w:t>23</w:t>
            </w:r>
            <w:r w:rsidR="006126D0" w:rsidRPr="006126D0">
              <w:rPr>
                <w:noProof/>
                <w:webHidden/>
              </w:rPr>
              <w:fldChar w:fldCharType="end"/>
            </w:r>
          </w:hyperlink>
        </w:p>
        <w:p w14:paraId="08B0C5FD" w14:textId="5745E4DB" w:rsidR="006126D0" w:rsidRPr="006126D0" w:rsidRDefault="00000000" w:rsidP="006126D0">
          <w:pPr>
            <w:pStyle w:val="TOC2"/>
            <w:tabs>
              <w:tab w:val="right" w:leader="dot" w:pos="9066"/>
            </w:tabs>
            <w:ind w:left="1402"/>
            <w:rPr>
              <w:rFonts w:asciiTheme="minorHAnsi" w:eastAsiaTheme="minorEastAsia" w:hAnsiTheme="minorHAnsi" w:cstheme="minorBidi"/>
              <w:noProof/>
              <w:kern w:val="2"/>
              <w:lang w:val="de-AT" w:eastAsia="de-AT"/>
              <w14:ligatures w14:val="standardContextual"/>
            </w:rPr>
          </w:pPr>
          <w:hyperlink w:anchor="_Toc168584209" w:history="1">
            <w:r w:rsidR="006126D0" w:rsidRPr="006126D0">
              <w:rPr>
                <w:rStyle w:val="Hyperlink"/>
                <w:rFonts w:ascii="Aptos" w:hAnsi="Aptos"/>
                <w:noProof/>
              </w:rPr>
              <w:t>De minimis aid</w:t>
            </w:r>
            <w:r w:rsidR="006126D0" w:rsidRPr="006126D0">
              <w:rPr>
                <w:noProof/>
                <w:webHidden/>
              </w:rPr>
              <w:tab/>
            </w:r>
            <w:r w:rsidR="006126D0" w:rsidRPr="006126D0">
              <w:rPr>
                <w:noProof/>
                <w:webHidden/>
              </w:rPr>
              <w:fldChar w:fldCharType="begin"/>
            </w:r>
            <w:r w:rsidR="006126D0" w:rsidRPr="006126D0">
              <w:rPr>
                <w:noProof/>
                <w:webHidden/>
              </w:rPr>
              <w:instrText xml:space="preserve"> PAGEREF _Toc168584209 \h </w:instrText>
            </w:r>
            <w:r w:rsidR="006126D0" w:rsidRPr="006126D0">
              <w:rPr>
                <w:noProof/>
                <w:webHidden/>
              </w:rPr>
            </w:r>
            <w:r w:rsidR="006126D0" w:rsidRPr="006126D0">
              <w:rPr>
                <w:noProof/>
                <w:webHidden/>
              </w:rPr>
              <w:fldChar w:fldCharType="separate"/>
            </w:r>
            <w:r w:rsidR="00E93915">
              <w:rPr>
                <w:noProof/>
                <w:webHidden/>
              </w:rPr>
              <w:t>24</w:t>
            </w:r>
            <w:r w:rsidR="006126D0" w:rsidRPr="006126D0">
              <w:rPr>
                <w:noProof/>
                <w:webHidden/>
              </w:rPr>
              <w:fldChar w:fldCharType="end"/>
            </w:r>
          </w:hyperlink>
        </w:p>
        <w:p w14:paraId="00A830A3" w14:textId="7D0440D4" w:rsidR="006126D0" w:rsidRPr="006126D0" w:rsidRDefault="00000000" w:rsidP="006126D0">
          <w:pPr>
            <w:pStyle w:val="TOC2"/>
            <w:tabs>
              <w:tab w:val="right" w:leader="dot" w:pos="9066"/>
            </w:tabs>
            <w:ind w:left="1402"/>
            <w:rPr>
              <w:rFonts w:asciiTheme="minorHAnsi" w:eastAsiaTheme="minorEastAsia" w:hAnsiTheme="minorHAnsi" w:cstheme="minorBidi"/>
              <w:noProof/>
              <w:kern w:val="2"/>
              <w:lang w:val="de-AT" w:eastAsia="de-AT"/>
              <w14:ligatures w14:val="standardContextual"/>
            </w:rPr>
          </w:pPr>
          <w:hyperlink w:anchor="_Toc168584210" w:history="1">
            <w:r w:rsidR="006126D0" w:rsidRPr="006126D0">
              <w:rPr>
                <w:rStyle w:val="Hyperlink"/>
                <w:rFonts w:ascii="Aptos" w:hAnsi="Aptos"/>
                <w:noProof/>
              </w:rPr>
              <w:t>General Block Exemption Regulation</w:t>
            </w:r>
            <w:r w:rsidR="006126D0" w:rsidRPr="006126D0">
              <w:rPr>
                <w:noProof/>
                <w:webHidden/>
              </w:rPr>
              <w:tab/>
            </w:r>
            <w:r w:rsidR="006126D0" w:rsidRPr="006126D0">
              <w:rPr>
                <w:noProof/>
                <w:webHidden/>
              </w:rPr>
              <w:fldChar w:fldCharType="begin"/>
            </w:r>
            <w:r w:rsidR="006126D0" w:rsidRPr="006126D0">
              <w:rPr>
                <w:noProof/>
                <w:webHidden/>
              </w:rPr>
              <w:instrText xml:space="preserve"> PAGEREF _Toc168584210 \h </w:instrText>
            </w:r>
            <w:r w:rsidR="006126D0" w:rsidRPr="006126D0">
              <w:rPr>
                <w:noProof/>
                <w:webHidden/>
              </w:rPr>
            </w:r>
            <w:r w:rsidR="006126D0" w:rsidRPr="006126D0">
              <w:rPr>
                <w:noProof/>
                <w:webHidden/>
              </w:rPr>
              <w:fldChar w:fldCharType="separate"/>
            </w:r>
            <w:r w:rsidR="00E93915">
              <w:rPr>
                <w:noProof/>
                <w:webHidden/>
              </w:rPr>
              <w:t>25</w:t>
            </w:r>
            <w:r w:rsidR="006126D0" w:rsidRPr="006126D0">
              <w:rPr>
                <w:noProof/>
                <w:webHidden/>
              </w:rPr>
              <w:fldChar w:fldCharType="end"/>
            </w:r>
          </w:hyperlink>
        </w:p>
        <w:p w14:paraId="4F5E99C2" w14:textId="28AEE3CD" w:rsidR="006126D0" w:rsidRPr="006126D0" w:rsidRDefault="00000000" w:rsidP="006126D0">
          <w:pPr>
            <w:pStyle w:val="TOC2"/>
            <w:tabs>
              <w:tab w:val="right" w:leader="dot" w:pos="9066"/>
            </w:tabs>
            <w:ind w:left="1402"/>
            <w:rPr>
              <w:rFonts w:asciiTheme="minorHAnsi" w:eastAsiaTheme="minorEastAsia" w:hAnsiTheme="minorHAnsi" w:cstheme="minorBidi"/>
              <w:noProof/>
              <w:kern w:val="2"/>
              <w:lang w:val="de-AT" w:eastAsia="de-AT"/>
              <w14:ligatures w14:val="standardContextual"/>
            </w:rPr>
          </w:pPr>
          <w:hyperlink w:anchor="_Toc168584211" w:history="1">
            <w:r w:rsidR="006126D0" w:rsidRPr="006126D0">
              <w:rPr>
                <w:rStyle w:val="Hyperlink"/>
                <w:rFonts w:ascii="Aptos" w:hAnsi="Aptos"/>
                <w:noProof/>
              </w:rPr>
              <w:t>Scalability of subsidised projects</w:t>
            </w:r>
            <w:r w:rsidR="006126D0" w:rsidRPr="006126D0">
              <w:rPr>
                <w:noProof/>
                <w:webHidden/>
              </w:rPr>
              <w:tab/>
            </w:r>
            <w:r w:rsidR="006126D0" w:rsidRPr="006126D0">
              <w:rPr>
                <w:noProof/>
                <w:webHidden/>
              </w:rPr>
              <w:fldChar w:fldCharType="begin"/>
            </w:r>
            <w:r w:rsidR="006126D0" w:rsidRPr="006126D0">
              <w:rPr>
                <w:noProof/>
                <w:webHidden/>
              </w:rPr>
              <w:instrText xml:space="preserve"> PAGEREF _Toc168584211 \h </w:instrText>
            </w:r>
            <w:r w:rsidR="006126D0" w:rsidRPr="006126D0">
              <w:rPr>
                <w:noProof/>
                <w:webHidden/>
              </w:rPr>
            </w:r>
            <w:r w:rsidR="006126D0" w:rsidRPr="006126D0">
              <w:rPr>
                <w:noProof/>
                <w:webHidden/>
              </w:rPr>
              <w:fldChar w:fldCharType="separate"/>
            </w:r>
            <w:r w:rsidR="00E93915">
              <w:rPr>
                <w:noProof/>
                <w:webHidden/>
              </w:rPr>
              <w:t>26</w:t>
            </w:r>
            <w:r w:rsidR="006126D0" w:rsidRPr="006126D0">
              <w:rPr>
                <w:noProof/>
                <w:webHidden/>
              </w:rPr>
              <w:fldChar w:fldCharType="end"/>
            </w:r>
          </w:hyperlink>
        </w:p>
        <w:p w14:paraId="7B3D7852" w14:textId="5D99F292" w:rsidR="006126D0" w:rsidRPr="006126D0" w:rsidRDefault="00000000" w:rsidP="006126D0">
          <w:pPr>
            <w:pStyle w:val="TOC2"/>
            <w:tabs>
              <w:tab w:val="right" w:leader="dot" w:pos="9066"/>
            </w:tabs>
            <w:ind w:left="1402"/>
            <w:rPr>
              <w:rFonts w:asciiTheme="minorHAnsi" w:eastAsiaTheme="minorEastAsia" w:hAnsiTheme="minorHAnsi" w:cstheme="minorBidi"/>
              <w:noProof/>
              <w:kern w:val="2"/>
              <w:lang w:val="de-AT" w:eastAsia="de-AT"/>
              <w14:ligatures w14:val="standardContextual"/>
            </w:rPr>
          </w:pPr>
          <w:hyperlink w:anchor="_Toc168584212" w:history="1">
            <w:r w:rsidR="006126D0" w:rsidRPr="006126D0">
              <w:rPr>
                <w:rStyle w:val="Hyperlink"/>
                <w:rFonts w:ascii="Aptos" w:hAnsi="Aptos"/>
                <w:noProof/>
              </w:rPr>
              <w:t>European Social Climate Fund</w:t>
            </w:r>
            <w:r w:rsidR="006126D0" w:rsidRPr="006126D0">
              <w:rPr>
                <w:noProof/>
                <w:webHidden/>
              </w:rPr>
              <w:tab/>
            </w:r>
            <w:r w:rsidR="006126D0" w:rsidRPr="006126D0">
              <w:rPr>
                <w:noProof/>
                <w:webHidden/>
              </w:rPr>
              <w:fldChar w:fldCharType="begin"/>
            </w:r>
            <w:r w:rsidR="006126D0" w:rsidRPr="006126D0">
              <w:rPr>
                <w:noProof/>
                <w:webHidden/>
              </w:rPr>
              <w:instrText xml:space="preserve"> PAGEREF _Toc168584212 \h </w:instrText>
            </w:r>
            <w:r w:rsidR="006126D0" w:rsidRPr="006126D0">
              <w:rPr>
                <w:noProof/>
                <w:webHidden/>
              </w:rPr>
            </w:r>
            <w:r w:rsidR="006126D0" w:rsidRPr="006126D0">
              <w:rPr>
                <w:noProof/>
                <w:webHidden/>
              </w:rPr>
              <w:fldChar w:fldCharType="separate"/>
            </w:r>
            <w:r w:rsidR="00E93915">
              <w:rPr>
                <w:noProof/>
                <w:webHidden/>
              </w:rPr>
              <w:t>27</w:t>
            </w:r>
            <w:r w:rsidR="006126D0" w:rsidRPr="006126D0">
              <w:rPr>
                <w:noProof/>
                <w:webHidden/>
              </w:rPr>
              <w:fldChar w:fldCharType="end"/>
            </w:r>
          </w:hyperlink>
        </w:p>
        <w:p w14:paraId="003DED16" w14:textId="5210BBFD" w:rsidR="006126D0" w:rsidRPr="006126D0" w:rsidRDefault="00000000" w:rsidP="006126D0">
          <w:pPr>
            <w:pStyle w:val="TOC2"/>
            <w:tabs>
              <w:tab w:val="right" w:leader="dot" w:pos="9066"/>
            </w:tabs>
            <w:ind w:left="1402"/>
            <w:rPr>
              <w:rFonts w:asciiTheme="minorHAnsi" w:eastAsiaTheme="minorEastAsia" w:hAnsiTheme="minorHAnsi" w:cstheme="minorBidi"/>
              <w:noProof/>
              <w:kern w:val="2"/>
              <w:lang w:val="de-AT" w:eastAsia="de-AT"/>
              <w14:ligatures w14:val="standardContextual"/>
            </w:rPr>
          </w:pPr>
          <w:hyperlink w:anchor="_Toc168584213" w:history="1">
            <w:r w:rsidR="006126D0" w:rsidRPr="006126D0">
              <w:rPr>
                <w:rStyle w:val="Hyperlink"/>
                <w:rFonts w:ascii="Aptos" w:hAnsi="Aptos"/>
                <w:noProof/>
              </w:rPr>
              <w:t>Effective infrastructure funding</w:t>
            </w:r>
            <w:r w:rsidR="006126D0" w:rsidRPr="006126D0">
              <w:rPr>
                <w:noProof/>
                <w:webHidden/>
              </w:rPr>
              <w:tab/>
            </w:r>
            <w:r w:rsidR="006126D0" w:rsidRPr="006126D0">
              <w:rPr>
                <w:noProof/>
                <w:webHidden/>
              </w:rPr>
              <w:fldChar w:fldCharType="begin"/>
            </w:r>
            <w:r w:rsidR="006126D0" w:rsidRPr="006126D0">
              <w:rPr>
                <w:noProof/>
                <w:webHidden/>
              </w:rPr>
              <w:instrText xml:space="preserve"> PAGEREF _Toc168584213 \h </w:instrText>
            </w:r>
            <w:r w:rsidR="006126D0" w:rsidRPr="006126D0">
              <w:rPr>
                <w:noProof/>
                <w:webHidden/>
              </w:rPr>
            </w:r>
            <w:r w:rsidR="006126D0" w:rsidRPr="006126D0">
              <w:rPr>
                <w:noProof/>
                <w:webHidden/>
              </w:rPr>
              <w:fldChar w:fldCharType="separate"/>
            </w:r>
            <w:r w:rsidR="00E93915">
              <w:rPr>
                <w:noProof/>
                <w:webHidden/>
              </w:rPr>
              <w:t>28</w:t>
            </w:r>
            <w:r w:rsidR="006126D0" w:rsidRPr="006126D0">
              <w:rPr>
                <w:noProof/>
                <w:webHidden/>
              </w:rPr>
              <w:fldChar w:fldCharType="end"/>
            </w:r>
          </w:hyperlink>
        </w:p>
        <w:p w14:paraId="79FA220C" w14:textId="52A48E18" w:rsidR="006126D0" w:rsidRPr="006126D0" w:rsidRDefault="00000000" w:rsidP="006126D0">
          <w:pPr>
            <w:pStyle w:val="TOC2"/>
            <w:tabs>
              <w:tab w:val="right" w:leader="dot" w:pos="9066"/>
            </w:tabs>
            <w:ind w:left="1402"/>
            <w:rPr>
              <w:noProof/>
              <w:color w:val="0000FF" w:themeColor="hyperlink"/>
              <w:u w:val="single"/>
            </w:rPr>
          </w:pPr>
          <w:hyperlink w:anchor="_Toc168584214" w:history="1">
            <w:r w:rsidR="006126D0" w:rsidRPr="006126D0">
              <w:rPr>
                <w:rStyle w:val="Hyperlink"/>
                <w:rFonts w:ascii="Aptos" w:hAnsi="Aptos"/>
                <w:noProof/>
              </w:rPr>
              <w:t>The importance of the EIB for climate-protecting infrastructure investments</w:t>
            </w:r>
            <w:r w:rsidR="006126D0" w:rsidRPr="006126D0">
              <w:rPr>
                <w:noProof/>
                <w:webHidden/>
              </w:rPr>
              <w:tab/>
            </w:r>
            <w:r w:rsidR="006126D0" w:rsidRPr="006126D0">
              <w:rPr>
                <w:noProof/>
                <w:webHidden/>
              </w:rPr>
              <w:fldChar w:fldCharType="begin"/>
            </w:r>
            <w:r w:rsidR="006126D0" w:rsidRPr="006126D0">
              <w:rPr>
                <w:noProof/>
                <w:webHidden/>
              </w:rPr>
              <w:instrText xml:space="preserve"> PAGEREF _Toc168584214 \h </w:instrText>
            </w:r>
            <w:r w:rsidR="006126D0" w:rsidRPr="006126D0">
              <w:rPr>
                <w:noProof/>
                <w:webHidden/>
              </w:rPr>
            </w:r>
            <w:r w:rsidR="006126D0" w:rsidRPr="006126D0">
              <w:rPr>
                <w:noProof/>
                <w:webHidden/>
              </w:rPr>
              <w:fldChar w:fldCharType="separate"/>
            </w:r>
            <w:r w:rsidR="00E93915">
              <w:rPr>
                <w:noProof/>
                <w:webHidden/>
              </w:rPr>
              <w:t>29</w:t>
            </w:r>
            <w:r w:rsidR="006126D0" w:rsidRPr="006126D0">
              <w:rPr>
                <w:noProof/>
                <w:webHidden/>
              </w:rPr>
              <w:fldChar w:fldCharType="end"/>
            </w:r>
          </w:hyperlink>
        </w:p>
        <w:p w14:paraId="097D9AFF" w14:textId="3608057B" w:rsidR="006126D0" w:rsidRPr="00F3144F" w:rsidRDefault="00000000" w:rsidP="006126D0">
          <w:pPr>
            <w:pStyle w:val="TOC1"/>
            <w:tabs>
              <w:tab w:val="right" w:leader="dot" w:pos="9066"/>
            </w:tabs>
            <w:ind w:left="696"/>
            <w:rPr>
              <w:rStyle w:val="Hyperlink"/>
              <w:noProof/>
              <w:lang w:val="en-US"/>
            </w:rPr>
          </w:pPr>
          <w:hyperlink w:anchor="_Toc168584215" w:history="1">
            <w:r w:rsidR="006126D0" w:rsidRPr="00F3144F">
              <w:rPr>
                <w:rStyle w:val="Hyperlink"/>
                <w:noProof/>
              </w:rPr>
              <w:t>Subsection III - Digital policy</w:t>
            </w:r>
            <w:r w:rsidR="006126D0" w:rsidRPr="00F3144F">
              <w:rPr>
                <w:rStyle w:val="Hyperlink"/>
                <w:noProof/>
                <w:webHidden/>
              </w:rPr>
              <w:tab/>
            </w:r>
            <w:r w:rsidR="006126D0" w:rsidRPr="00F3144F">
              <w:rPr>
                <w:rStyle w:val="Hyperlink"/>
                <w:noProof/>
                <w:webHidden/>
              </w:rPr>
              <w:fldChar w:fldCharType="begin"/>
            </w:r>
            <w:r w:rsidR="006126D0" w:rsidRPr="00F3144F">
              <w:rPr>
                <w:rStyle w:val="Hyperlink"/>
                <w:noProof/>
                <w:webHidden/>
              </w:rPr>
              <w:instrText xml:space="preserve"> PAGEREF _Toc168584215 \h </w:instrText>
            </w:r>
            <w:r w:rsidR="006126D0" w:rsidRPr="00F3144F">
              <w:rPr>
                <w:rStyle w:val="Hyperlink"/>
                <w:noProof/>
                <w:webHidden/>
              </w:rPr>
            </w:r>
            <w:r w:rsidR="006126D0" w:rsidRPr="00F3144F">
              <w:rPr>
                <w:rStyle w:val="Hyperlink"/>
                <w:noProof/>
                <w:webHidden/>
              </w:rPr>
              <w:fldChar w:fldCharType="separate"/>
            </w:r>
            <w:r w:rsidR="00E93915">
              <w:rPr>
                <w:rStyle w:val="Hyperlink"/>
                <w:noProof/>
                <w:webHidden/>
              </w:rPr>
              <w:t>30</w:t>
            </w:r>
            <w:r w:rsidR="006126D0" w:rsidRPr="00F3144F">
              <w:rPr>
                <w:rStyle w:val="Hyperlink"/>
                <w:noProof/>
                <w:webHidden/>
              </w:rPr>
              <w:fldChar w:fldCharType="end"/>
            </w:r>
          </w:hyperlink>
        </w:p>
        <w:p w14:paraId="32AFEBD9" w14:textId="2B08D3ED" w:rsidR="006126D0" w:rsidRPr="00F3144F" w:rsidRDefault="00000000" w:rsidP="006126D0">
          <w:pPr>
            <w:pStyle w:val="TOC2"/>
            <w:tabs>
              <w:tab w:val="right" w:leader="dot" w:pos="9066"/>
            </w:tabs>
            <w:ind w:left="1402"/>
            <w:rPr>
              <w:rStyle w:val="Hyperlink"/>
              <w:rFonts w:ascii="Aptos" w:hAnsi="Aptos"/>
              <w:noProof/>
              <w:lang w:val="en-US"/>
            </w:rPr>
          </w:pPr>
          <w:hyperlink w:anchor="_Toc168584216" w:history="1">
            <w:r w:rsidR="006126D0" w:rsidRPr="00F3144F">
              <w:rPr>
                <w:rStyle w:val="Hyperlink"/>
                <w:rFonts w:ascii="Aptos" w:hAnsi="Aptos"/>
                <w:noProof/>
              </w:rPr>
              <w:t>Market distortions due to the platform economy</w:t>
            </w:r>
            <w:r w:rsidR="006126D0" w:rsidRPr="00F3144F">
              <w:rPr>
                <w:rStyle w:val="Hyperlink"/>
                <w:rFonts w:ascii="Aptos" w:hAnsi="Aptos"/>
                <w:noProof/>
                <w:webHidden/>
              </w:rPr>
              <w:tab/>
            </w:r>
            <w:r w:rsidR="006126D0" w:rsidRPr="00F3144F">
              <w:rPr>
                <w:rStyle w:val="Hyperlink"/>
                <w:rFonts w:ascii="Aptos" w:hAnsi="Aptos"/>
                <w:noProof/>
                <w:webHidden/>
              </w:rPr>
              <w:fldChar w:fldCharType="begin"/>
            </w:r>
            <w:r w:rsidR="006126D0" w:rsidRPr="00F3144F">
              <w:rPr>
                <w:rStyle w:val="Hyperlink"/>
                <w:rFonts w:ascii="Aptos" w:hAnsi="Aptos"/>
                <w:noProof/>
                <w:webHidden/>
              </w:rPr>
              <w:instrText xml:space="preserve"> PAGEREF _Toc168584216 \h </w:instrText>
            </w:r>
            <w:r w:rsidR="006126D0" w:rsidRPr="00F3144F">
              <w:rPr>
                <w:rStyle w:val="Hyperlink"/>
                <w:rFonts w:ascii="Aptos" w:hAnsi="Aptos"/>
                <w:noProof/>
                <w:webHidden/>
              </w:rPr>
            </w:r>
            <w:r w:rsidR="006126D0" w:rsidRPr="00F3144F">
              <w:rPr>
                <w:rStyle w:val="Hyperlink"/>
                <w:rFonts w:ascii="Aptos" w:hAnsi="Aptos"/>
                <w:noProof/>
                <w:webHidden/>
              </w:rPr>
              <w:fldChar w:fldCharType="separate"/>
            </w:r>
            <w:r w:rsidR="00E93915">
              <w:rPr>
                <w:rStyle w:val="Hyperlink"/>
                <w:rFonts w:ascii="Aptos" w:hAnsi="Aptos"/>
                <w:noProof/>
                <w:webHidden/>
              </w:rPr>
              <w:t>30</w:t>
            </w:r>
            <w:r w:rsidR="006126D0" w:rsidRPr="00F3144F">
              <w:rPr>
                <w:rStyle w:val="Hyperlink"/>
                <w:rFonts w:ascii="Aptos" w:hAnsi="Aptos"/>
                <w:noProof/>
                <w:webHidden/>
              </w:rPr>
              <w:fldChar w:fldCharType="end"/>
            </w:r>
          </w:hyperlink>
        </w:p>
        <w:p w14:paraId="21F7BB0D" w14:textId="60CFE4B1" w:rsidR="006126D0" w:rsidRPr="00F3144F" w:rsidRDefault="00000000" w:rsidP="006126D0">
          <w:pPr>
            <w:pStyle w:val="TOC2"/>
            <w:tabs>
              <w:tab w:val="right" w:leader="dot" w:pos="9066"/>
            </w:tabs>
            <w:ind w:left="1402"/>
            <w:rPr>
              <w:rStyle w:val="Hyperlink"/>
              <w:rFonts w:ascii="Aptos" w:hAnsi="Aptos"/>
              <w:noProof/>
              <w:lang w:val="en-US"/>
            </w:rPr>
          </w:pPr>
          <w:hyperlink w:anchor="_Toc168584217" w:history="1">
            <w:r w:rsidR="006126D0" w:rsidRPr="00F3144F">
              <w:rPr>
                <w:rStyle w:val="Hyperlink"/>
                <w:rFonts w:ascii="Aptos" w:hAnsi="Aptos"/>
                <w:noProof/>
              </w:rPr>
              <w:t>Fiscal instruments for digital companies in the European single market</w:t>
            </w:r>
            <w:r w:rsidR="006126D0" w:rsidRPr="00F3144F">
              <w:rPr>
                <w:rStyle w:val="Hyperlink"/>
                <w:rFonts w:ascii="Aptos" w:hAnsi="Aptos"/>
                <w:noProof/>
                <w:webHidden/>
              </w:rPr>
              <w:tab/>
            </w:r>
            <w:r w:rsidR="006126D0" w:rsidRPr="00F3144F">
              <w:rPr>
                <w:rStyle w:val="Hyperlink"/>
                <w:rFonts w:ascii="Aptos" w:hAnsi="Aptos"/>
                <w:noProof/>
                <w:webHidden/>
              </w:rPr>
              <w:fldChar w:fldCharType="begin"/>
            </w:r>
            <w:r w:rsidR="006126D0" w:rsidRPr="00F3144F">
              <w:rPr>
                <w:rStyle w:val="Hyperlink"/>
                <w:rFonts w:ascii="Aptos" w:hAnsi="Aptos"/>
                <w:noProof/>
                <w:webHidden/>
              </w:rPr>
              <w:instrText xml:space="preserve"> PAGEREF _Toc168584217 \h </w:instrText>
            </w:r>
            <w:r w:rsidR="006126D0" w:rsidRPr="00F3144F">
              <w:rPr>
                <w:rStyle w:val="Hyperlink"/>
                <w:rFonts w:ascii="Aptos" w:hAnsi="Aptos"/>
                <w:noProof/>
                <w:webHidden/>
              </w:rPr>
            </w:r>
            <w:r w:rsidR="006126D0" w:rsidRPr="00F3144F">
              <w:rPr>
                <w:rStyle w:val="Hyperlink"/>
                <w:rFonts w:ascii="Aptos" w:hAnsi="Aptos"/>
                <w:noProof/>
                <w:webHidden/>
              </w:rPr>
              <w:fldChar w:fldCharType="separate"/>
            </w:r>
            <w:r w:rsidR="00E93915">
              <w:rPr>
                <w:rStyle w:val="Hyperlink"/>
                <w:rFonts w:ascii="Aptos" w:hAnsi="Aptos"/>
                <w:noProof/>
                <w:webHidden/>
              </w:rPr>
              <w:t>31</w:t>
            </w:r>
            <w:r w:rsidR="006126D0" w:rsidRPr="00F3144F">
              <w:rPr>
                <w:rStyle w:val="Hyperlink"/>
                <w:rFonts w:ascii="Aptos" w:hAnsi="Aptos"/>
                <w:noProof/>
                <w:webHidden/>
              </w:rPr>
              <w:fldChar w:fldCharType="end"/>
            </w:r>
          </w:hyperlink>
        </w:p>
        <w:p w14:paraId="37CFA5AF" w14:textId="6B9B55D5" w:rsidR="006126D0" w:rsidRPr="00F3144F" w:rsidRDefault="00000000" w:rsidP="006126D0">
          <w:pPr>
            <w:pStyle w:val="TOC2"/>
            <w:tabs>
              <w:tab w:val="right" w:leader="dot" w:pos="9066"/>
            </w:tabs>
            <w:ind w:left="1402"/>
            <w:rPr>
              <w:rStyle w:val="Hyperlink"/>
              <w:rFonts w:ascii="Aptos" w:hAnsi="Aptos"/>
              <w:noProof/>
              <w:lang w:val="en-US"/>
            </w:rPr>
          </w:pPr>
          <w:hyperlink w:anchor="_Toc168584218" w:history="1">
            <w:r w:rsidR="006126D0" w:rsidRPr="00F3144F">
              <w:rPr>
                <w:rStyle w:val="Hyperlink"/>
                <w:rFonts w:ascii="Aptos" w:hAnsi="Aptos"/>
                <w:noProof/>
              </w:rPr>
              <w:t>Implementation of digital legal acts</w:t>
            </w:r>
            <w:r w:rsidR="006126D0" w:rsidRPr="00F3144F">
              <w:rPr>
                <w:rStyle w:val="Hyperlink"/>
                <w:rFonts w:ascii="Aptos" w:hAnsi="Aptos"/>
                <w:noProof/>
                <w:webHidden/>
              </w:rPr>
              <w:tab/>
            </w:r>
            <w:r w:rsidR="006126D0" w:rsidRPr="00F3144F">
              <w:rPr>
                <w:rStyle w:val="Hyperlink"/>
                <w:rFonts w:ascii="Aptos" w:hAnsi="Aptos"/>
                <w:noProof/>
                <w:webHidden/>
              </w:rPr>
              <w:fldChar w:fldCharType="begin"/>
            </w:r>
            <w:r w:rsidR="006126D0" w:rsidRPr="00F3144F">
              <w:rPr>
                <w:rStyle w:val="Hyperlink"/>
                <w:rFonts w:ascii="Aptos" w:hAnsi="Aptos"/>
                <w:noProof/>
                <w:webHidden/>
              </w:rPr>
              <w:instrText xml:space="preserve"> PAGEREF _Toc168584218 \h </w:instrText>
            </w:r>
            <w:r w:rsidR="006126D0" w:rsidRPr="00F3144F">
              <w:rPr>
                <w:rStyle w:val="Hyperlink"/>
                <w:rFonts w:ascii="Aptos" w:hAnsi="Aptos"/>
                <w:noProof/>
                <w:webHidden/>
              </w:rPr>
            </w:r>
            <w:r w:rsidR="006126D0" w:rsidRPr="00F3144F">
              <w:rPr>
                <w:rStyle w:val="Hyperlink"/>
                <w:rFonts w:ascii="Aptos" w:hAnsi="Aptos"/>
                <w:noProof/>
                <w:webHidden/>
              </w:rPr>
              <w:fldChar w:fldCharType="separate"/>
            </w:r>
            <w:r w:rsidR="00E93915">
              <w:rPr>
                <w:rStyle w:val="Hyperlink"/>
                <w:rFonts w:ascii="Aptos" w:hAnsi="Aptos"/>
                <w:noProof/>
                <w:webHidden/>
              </w:rPr>
              <w:t>32</w:t>
            </w:r>
            <w:r w:rsidR="006126D0" w:rsidRPr="00F3144F">
              <w:rPr>
                <w:rStyle w:val="Hyperlink"/>
                <w:rFonts w:ascii="Aptos" w:hAnsi="Aptos"/>
                <w:noProof/>
                <w:webHidden/>
              </w:rPr>
              <w:fldChar w:fldCharType="end"/>
            </w:r>
          </w:hyperlink>
        </w:p>
        <w:p w14:paraId="3413FAC0" w14:textId="3A834815" w:rsidR="006126D0" w:rsidRPr="00F3144F" w:rsidRDefault="00000000" w:rsidP="006126D0">
          <w:pPr>
            <w:pStyle w:val="TOC2"/>
            <w:tabs>
              <w:tab w:val="right" w:leader="dot" w:pos="9066"/>
            </w:tabs>
            <w:ind w:left="1402"/>
            <w:rPr>
              <w:rStyle w:val="Hyperlink"/>
              <w:rFonts w:ascii="Aptos" w:hAnsi="Aptos"/>
              <w:noProof/>
              <w:lang w:val="en-US"/>
            </w:rPr>
          </w:pPr>
          <w:hyperlink w:anchor="_Toc168584219" w:history="1">
            <w:r w:rsidR="006126D0" w:rsidRPr="00F3144F">
              <w:rPr>
                <w:rStyle w:val="Hyperlink"/>
                <w:rFonts w:ascii="Aptos" w:hAnsi="Aptos"/>
                <w:noProof/>
              </w:rPr>
              <w:t>Expansion of digital infrastructure in technologically underdeveloped regions</w:t>
            </w:r>
            <w:r w:rsidR="006126D0" w:rsidRPr="00F3144F">
              <w:rPr>
                <w:rStyle w:val="Hyperlink"/>
                <w:rFonts w:ascii="Aptos" w:hAnsi="Aptos"/>
                <w:noProof/>
                <w:webHidden/>
              </w:rPr>
              <w:tab/>
            </w:r>
            <w:r w:rsidR="006126D0" w:rsidRPr="00F3144F">
              <w:rPr>
                <w:rStyle w:val="Hyperlink"/>
                <w:rFonts w:ascii="Aptos" w:hAnsi="Aptos"/>
                <w:noProof/>
                <w:webHidden/>
              </w:rPr>
              <w:fldChar w:fldCharType="begin"/>
            </w:r>
            <w:r w:rsidR="006126D0" w:rsidRPr="00F3144F">
              <w:rPr>
                <w:rStyle w:val="Hyperlink"/>
                <w:rFonts w:ascii="Aptos" w:hAnsi="Aptos"/>
                <w:noProof/>
                <w:webHidden/>
              </w:rPr>
              <w:instrText xml:space="preserve"> PAGEREF _Toc168584219 \h </w:instrText>
            </w:r>
            <w:r w:rsidR="006126D0" w:rsidRPr="00F3144F">
              <w:rPr>
                <w:rStyle w:val="Hyperlink"/>
                <w:rFonts w:ascii="Aptos" w:hAnsi="Aptos"/>
                <w:noProof/>
                <w:webHidden/>
              </w:rPr>
            </w:r>
            <w:r w:rsidR="006126D0" w:rsidRPr="00F3144F">
              <w:rPr>
                <w:rStyle w:val="Hyperlink"/>
                <w:rFonts w:ascii="Aptos" w:hAnsi="Aptos"/>
                <w:noProof/>
                <w:webHidden/>
              </w:rPr>
              <w:fldChar w:fldCharType="separate"/>
            </w:r>
            <w:r w:rsidR="00E93915">
              <w:rPr>
                <w:rStyle w:val="Hyperlink"/>
                <w:rFonts w:ascii="Aptos" w:hAnsi="Aptos"/>
                <w:noProof/>
                <w:webHidden/>
              </w:rPr>
              <w:t>33</w:t>
            </w:r>
            <w:r w:rsidR="006126D0" w:rsidRPr="00F3144F">
              <w:rPr>
                <w:rStyle w:val="Hyperlink"/>
                <w:rFonts w:ascii="Aptos" w:hAnsi="Aptos"/>
                <w:noProof/>
                <w:webHidden/>
              </w:rPr>
              <w:fldChar w:fldCharType="end"/>
            </w:r>
          </w:hyperlink>
        </w:p>
        <w:p w14:paraId="7D8758DC" w14:textId="66E402AB" w:rsidR="006126D0" w:rsidRPr="00F3144F" w:rsidRDefault="00000000" w:rsidP="006126D0">
          <w:pPr>
            <w:pStyle w:val="TOC2"/>
            <w:tabs>
              <w:tab w:val="right" w:leader="dot" w:pos="9066"/>
            </w:tabs>
            <w:ind w:left="1402"/>
            <w:rPr>
              <w:rStyle w:val="Hyperlink"/>
              <w:rFonts w:ascii="Aptos" w:hAnsi="Aptos"/>
              <w:noProof/>
              <w:lang w:val="en-US"/>
            </w:rPr>
          </w:pPr>
          <w:hyperlink w:anchor="_Toc168584220" w:history="1">
            <w:r w:rsidR="006126D0" w:rsidRPr="00F3144F">
              <w:rPr>
                <w:rStyle w:val="Hyperlink"/>
                <w:rFonts w:ascii="Aptos" w:hAnsi="Aptos"/>
                <w:noProof/>
              </w:rPr>
              <w:t>Costs for the provision of data by public &amp; municipal stakeholders</w:t>
            </w:r>
            <w:r w:rsidR="006126D0" w:rsidRPr="00F3144F">
              <w:rPr>
                <w:rStyle w:val="Hyperlink"/>
                <w:rFonts w:ascii="Aptos" w:hAnsi="Aptos"/>
                <w:noProof/>
                <w:webHidden/>
              </w:rPr>
              <w:tab/>
            </w:r>
            <w:r w:rsidR="006126D0" w:rsidRPr="00F3144F">
              <w:rPr>
                <w:rStyle w:val="Hyperlink"/>
                <w:rFonts w:ascii="Aptos" w:hAnsi="Aptos"/>
                <w:noProof/>
                <w:webHidden/>
              </w:rPr>
              <w:fldChar w:fldCharType="begin"/>
            </w:r>
            <w:r w:rsidR="006126D0" w:rsidRPr="00F3144F">
              <w:rPr>
                <w:rStyle w:val="Hyperlink"/>
                <w:rFonts w:ascii="Aptos" w:hAnsi="Aptos"/>
                <w:noProof/>
                <w:webHidden/>
              </w:rPr>
              <w:instrText xml:space="preserve"> PAGEREF _Toc168584220 \h </w:instrText>
            </w:r>
            <w:r w:rsidR="006126D0" w:rsidRPr="00F3144F">
              <w:rPr>
                <w:rStyle w:val="Hyperlink"/>
                <w:rFonts w:ascii="Aptos" w:hAnsi="Aptos"/>
                <w:noProof/>
                <w:webHidden/>
              </w:rPr>
            </w:r>
            <w:r w:rsidR="006126D0" w:rsidRPr="00F3144F">
              <w:rPr>
                <w:rStyle w:val="Hyperlink"/>
                <w:rFonts w:ascii="Aptos" w:hAnsi="Aptos"/>
                <w:noProof/>
                <w:webHidden/>
              </w:rPr>
              <w:fldChar w:fldCharType="separate"/>
            </w:r>
            <w:r w:rsidR="00E93915">
              <w:rPr>
                <w:rStyle w:val="Hyperlink"/>
                <w:rFonts w:ascii="Aptos" w:hAnsi="Aptos"/>
                <w:noProof/>
                <w:webHidden/>
              </w:rPr>
              <w:t>34</w:t>
            </w:r>
            <w:r w:rsidR="006126D0" w:rsidRPr="00F3144F">
              <w:rPr>
                <w:rStyle w:val="Hyperlink"/>
                <w:rFonts w:ascii="Aptos" w:hAnsi="Aptos"/>
                <w:noProof/>
                <w:webHidden/>
              </w:rPr>
              <w:fldChar w:fldCharType="end"/>
            </w:r>
          </w:hyperlink>
        </w:p>
        <w:p w14:paraId="4C68EA34" w14:textId="4AE912CE" w:rsidR="006126D0" w:rsidRPr="00F3144F" w:rsidRDefault="00000000" w:rsidP="006126D0">
          <w:pPr>
            <w:pStyle w:val="TOC2"/>
            <w:tabs>
              <w:tab w:val="right" w:leader="dot" w:pos="9066"/>
            </w:tabs>
            <w:ind w:left="1402"/>
            <w:rPr>
              <w:rStyle w:val="Hyperlink"/>
              <w:rFonts w:ascii="Aptos" w:hAnsi="Aptos"/>
              <w:noProof/>
              <w:lang w:val="en-US"/>
            </w:rPr>
          </w:pPr>
          <w:hyperlink w:anchor="_Toc168584221" w:history="1">
            <w:r w:rsidR="006126D0" w:rsidRPr="00F3144F">
              <w:rPr>
                <w:rStyle w:val="Hyperlink"/>
                <w:rFonts w:ascii="Aptos" w:hAnsi="Aptos"/>
                <w:noProof/>
              </w:rPr>
              <w:t>Data protection in the critical infrastructure</w:t>
            </w:r>
            <w:r w:rsidR="006126D0" w:rsidRPr="00F3144F">
              <w:rPr>
                <w:rStyle w:val="Hyperlink"/>
                <w:rFonts w:ascii="Aptos" w:hAnsi="Aptos"/>
                <w:noProof/>
                <w:webHidden/>
              </w:rPr>
              <w:tab/>
            </w:r>
            <w:r w:rsidR="006126D0" w:rsidRPr="00F3144F">
              <w:rPr>
                <w:rStyle w:val="Hyperlink"/>
                <w:rFonts w:ascii="Aptos" w:hAnsi="Aptos"/>
                <w:noProof/>
                <w:webHidden/>
              </w:rPr>
              <w:fldChar w:fldCharType="begin"/>
            </w:r>
            <w:r w:rsidR="006126D0" w:rsidRPr="00F3144F">
              <w:rPr>
                <w:rStyle w:val="Hyperlink"/>
                <w:rFonts w:ascii="Aptos" w:hAnsi="Aptos"/>
                <w:noProof/>
                <w:webHidden/>
              </w:rPr>
              <w:instrText xml:space="preserve"> PAGEREF _Toc168584221 \h </w:instrText>
            </w:r>
            <w:r w:rsidR="006126D0" w:rsidRPr="00F3144F">
              <w:rPr>
                <w:rStyle w:val="Hyperlink"/>
                <w:rFonts w:ascii="Aptos" w:hAnsi="Aptos"/>
                <w:noProof/>
                <w:webHidden/>
              </w:rPr>
            </w:r>
            <w:r w:rsidR="006126D0" w:rsidRPr="00F3144F">
              <w:rPr>
                <w:rStyle w:val="Hyperlink"/>
                <w:rFonts w:ascii="Aptos" w:hAnsi="Aptos"/>
                <w:noProof/>
                <w:webHidden/>
              </w:rPr>
              <w:fldChar w:fldCharType="separate"/>
            </w:r>
            <w:r w:rsidR="00E93915">
              <w:rPr>
                <w:rStyle w:val="Hyperlink"/>
                <w:rFonts w:ascii="Aptos" w:hAnsi="Aptos"/>
                <w:noProof/>
                <w:webHidden/>
              </w:rPr>
              <w:t>35</w:t>
            </w:r>
            <w:r w:rsidR="006126D0" w:rsidRPr="00F3144F">
              <w:rPr>
                <w:rStyle w:val="Hyperlink"/>
                <w:rFonts w:ascii="Aptos" w:hAnsi="Aptos"/>
                <w:noProof/>
                <w:webHidden/>
              </w:rPr>
              <w:fldChar w:fldCharType="end"/>
            </w:r>
          </w:hyperlink>
        </w:p>
        <w:p w14:paraId="6FEDB783" w14:textId="4A5F4479" w:rsidR="006126D0" w:rsidRPr="00F3144F" w:rsidRDefault="00000000" w:rsidP="006126D0">
          <w:pPr>
            <w:pStyle w:val="TOC2"/>
            <w:tabs>
              <w:tab w:val="right" w:leader="dot" w:pos="9066"/>
            </w:tabs>
            <w:ind w:left="1402"/>
            <w:rPr>
              <w:rStyle w:val="Hyperlink"/>
              <w:rFonts w:ascii="Aptos" w:hAnsi="Aptos"/>
              <w:noProof/>
              <w:lang w:val="en-US"/>
            </w:rPr>
          </w:pPr>
          <w:hyperlink w:anchor="_Toc168584222" w:history="1">
            <w:r w:rsidR="006126D0" w:rsidRPr="00F3144F">
              <w:rPr>
                <w:rStyle w:val="Hyperlink"/>
                <w:rFonts w:ascii="Aptos" w:hAnsi="Aptos"/>
                <w:noProof/>
              </w:rPr>
              <w:t>Restriction of tax optimisation measures by large digital groups</w:t>
            </w:r>
            <w:r w:rsidR="006126D0" w:rsidRPr="00F3144F">
              <w:rPr>
                <w:rStyle w:val="Hyperlink"/>
                <w:rFonts w:ascii="Aptos" w:hAnsi="Aptos"/>
                <w:noProof/>
                <w:webHidden/>
              </w:rPr>
              <w:tab/>
            </w:r>
            <w:r w:rsidR="006126D0" w:rsidRPr="00F3144F">
              <w:rPr>
                <w:rStyle w:val="Hyperlink"/>
                <w:rFonts w:ascii="Aptos" w:hAnsi="Aptos"/>
                <w:noProof/>
                <w:webHidden/>
              </w:rPr>
              <w:fldChar w:fldCharType="begin"/>
            </w:r>
            <w:r w:rsidR="006126D0" w:rsidRPr="00F3144F">
              <w:rPr>
                <w:rStyle w:val="Hyperlink"/>
                <w:rFonts w:ascii="Aptos" w:hAnsi="Aptos"/>
                <w:noProof/>
                <w:webHidden/>
              </w:rPr>
              <w:instrText xml:space="preserve"> PAGEREF _Toc168584222 \h </w:instrText>
            </w:r>
            <w:r w:rsidR="006126D0" w:rsidRPr="00F3144F">
              <w:rPr>
                <w:rStyle w:val="Hyperlink"/>
                <w:rFonts w:ascii="Aptos" w:hAnsi="Aptos"/>
                <w:noProof/>
                <w:webHidden/>
              </w:rPr>
            </w:r>
            <w:r w:rsidR="006126D0" w:rsidRPr="00F3144F">
              <w:rPr>
                <w:rStyle w:val="Hyperlink"/>
                <w:rFonts w:ascii="Aptos" w:hAnsi="Aptos"/>
                <w:noProof/>
                <w:webHidden/>
              </w:rPr>
              <w:fldChar w:fldCharType="separate"/>
            </w:r>
            <w:r w:rsidR="00E93915">
              <w:rPr>
                <w:rStyle w:val="Hyperlink"/>
                <w:rFonts w:ascii="Aptos" w:hAnsi="Aptos"/>
                <w:noProof/>
                <w:webHidden/>
              </w:rPr>
              <w:t>36</w:t>
            </w:r>
            <w:r w:rsidR="006126D0" w:rsidRPr="00F3144F">
              <w:rPr>
                <w:rStyle w:val="Hyperlink"/>
                <w:rFonts w:ascii="Aptos" w:hAnsi="Aptos"/>
                <w:noProof/>
                <w:webHidden/>
              </w:rPr>
              <w:fldChar w:fldCharType="end"/>
            </w:r>
          </w:hyperlink>
        </w:p>
        <w:p w14:paraId="0DA608A4" w14:textId="06A04069" w:rsidR="006126D0" w:rsidRPr="00F3144F" w:rsidRDefault="00000000" w:rsidP="006126D0">
          <w:pPr>
            <w:pStyle w:val="TOC2"/>
            <w:tabs>
              <w:tab w:val="right" w:leader="dot" w:pos="9066"/>
            </w:tabs>
            <w:ind w:left="1402"/>
            <w:rPr>
              <w:rStyle w:val="Hyperlink"/>
              <w:rFonts w:ascii="Aptos" w:hAnsi="Aptos"/>
              <w:noProof/>
              <w:lang w:val="en-US"/>
            </w:rPr>
          </w:pPr>
          <w:hyperlink w:anchor="_Toc168584223" w:history="1">
            <w:r w:rsidR="006126D0" w:rsidRPr="00F3144F">
              <w:rPr>
                <w:rStyle w:val="Hyperlink"/>
                <w:rFonts w:ascii="Aptos" w:hAnsi="Aptos"/>
                <w:noProof/>
              </w:rPr>
              <w:t>Joint European cyber defence</w:t>
            </w:r>
            <w:r w:rsidR="006126D0" w:rsidRPr="00F3144F">
              <w:rPr>
                <w:rStyle w:val="Hyperlink"/>
                <w:rFonts w:ascii="Aptos" w:hAnsi="Aptos"/>
                <w:noProof/>
                <w:webHidden/>
              </w:rPr>
              <w:tab/>
            </w:r>
            <w:r w:rsidR="006126D0" w:rsidRPr="00F3144F">
              <w:rPr>
                <w:rStyle w:val="Hyperlink"/>
                <w:rFonts w:ascii="Aptos" w:hAnsi="Aptos"/>
                <w:noProof/>
                <w:webHidden/>
              </w:rPr>
              <w:fldChar w:fldCharType="begin"/>
            </w:r>
            <w:r w:rsidR="006126D0" w:rsidRPr="00F3144F">
              <w:rPr>
                <w:rStyle w:val="Hyperlink"/>
                <w:rFonts w:ascii="Aptos" w:hAnsi="Aptos"/>
                <w:noProof/>
                <w:webHidden/>
              </w:rPr>
              <w:instrText xml:space="preserve"> PAGEREF _Toc168584223 \h </w:instrText>
            </w:r>
            <w:r w:rsidR="006126D0" w:rsidRPr="00F3144F">
              <w:rPr>
                <w:rStyle w:val="Hyperlink"/>
                <w:rFonts w:ascii="Aptos" w:hAnsi="Aptos"/>
                <w:noProof/>
                <w:webHidden/>
              </w:rPr>
            </w:r>
            <w:r w:rsidR="006126D0" w:rsidRPr="00F3144F">
              <w:rPr>
                <w:rStyle w:val="Hyperlink"/>
                <w:rFonts w:ascii="Aptos" w:hAnsi="Aptos"/>
                <w:noProof/>
                <w:webHidden/>
              </w:rPr>
              <w:fldChar w:fldCharType="separate"/>
            </w:r>
            <w:r w:rsidR="00E93915">
              <w:rPr>
                <w:rStyle w:val="Hyperlink"/>
                <w:rFonts w:ascii="Aptos" w:hAnsi="Aptos"/>
                <w:noProof/>
                <w:webHidden/>
              </w:rPr>
              <w:t>37</w:t>
            </w:r>
            <w:r w:rsidR="006126D0" w:rsidRPr="00F3144F">
              <w:rPr>
                <w:rStyle w:val="Hyperlink"/>
                <w:rFonts w:ascii="Aptos" w:hAnsi="Aptos"/>
                <w:noProof/>
                <w:webHidden/>
              </w:rPr>
              <w:fldChar w:fldCharType="end"/>
            </w:r>
          </w:hyperlink>
        </w:p>
        <w:p w14:paraId="35A62C5B" w14:textId="72583DA9" w:rsidR="006126D0" w:rsidRPr="00F3144F" w:rsidRDefault="00000000" w:rsidP="006126D0">
          <w:pPr>
            <w:pStyle w:val="TOC2"/>
            <w:tabs>
              <w:tab w:val="right" w:leader="dot" w:pos="9066"/>
            </w:tabs>
            <w:ind w:left="1402"/>
            <w:rPr>
              <w:rStyle w:val="Hyperlink"/>
              <w:rFonts w:ascii="Aptos" w:hAnsi="Aptos"/>
              <w:noProof/>
              <w:lang w:val="en-US"/>
            </w:rPr>
          </w:pPr>
          <w:hyperlink w:anchor="_Toc168584224" w:history="1">
            <w:r w:rsidR="006126D0" w:rsidRPr="00F3144F">
              <w:rPr>
                <w:rStyle w:val="Hyperlink"/>
                <w:rFonts w:ascii="Aptos" w:hAnsi="Aptos"/>
                <w:noProof/>
              </w:rPr>
              <w:t>Cryptocurrencies - expansion of the market for euro stablecoins)</w:t>
            </w:r>
            <w:r w:rsidR="006126D0" w:rsidRPr="00F3144F">
              <w:rPr>
                <w:rStyle w:val="Hyperlink"/>
                <w:rFonts w:ascii="Aptos" w:hAnsi="Aptos"/>
                <w:noProof/>
                <w:webHidden/>
              </w:rPr>
              <w:tab/>
            </w:r>
            <w:r w:rsidR="006126D0" w:rsidRPr="00F3144F">
              <w:rPr>
                <w:rStyle w:val="Hyperlink"/>
                <w:rFonts w:ascii="Aptos" w:hAnsi="Aptos"/>
                <w:noProof/>
                <w:webHidden/>
              </w:rPr>
              <w:fldChar w:fldCharType="begin"/>
            </w:r>
            <w:r w:rsidR="006126D0" w:rsidRPr="00F3144F">
              <w:rPr>
                <w:rStyle w:val="Hyperlink"/>
                <w:rFonts w:ascii="Aptos" w:hAnsi="Aptos"/>
                <w:noProof/>
                <w:webHidden/>
              </w:rPr>
              <w:instrText xml:space="preserve"> PAGEREF _Toc168584224 \h </w:instrText>
            </w:r>
            <w:r w:rsidR="006126D0" w:rsidRPr="00F3144F">
              <w:rPr>
                <w:rStyle w:val="Hyperlink"/>
                <w:rFonts w:ascii="Aptos" w:hAnsi="Aptos"/>
                <w:noProof/>
                <w:webHidden/>
              </w:rPr>
            </w:r>
            <w:r w:rsidR="006126D0" w:rsidRPr="00F3144F">
              <w:rPr>
                <w:rStyle w:val="Hyperlink"/>
                <w:rFonts w:ascii="Aptos" w:hAnsi="Aptos"/>
                <w:noProof/>
                <w:webHidden/>
              </w:rPr>
              <w:fldChar w:fldCharType="separate"/>
            </w:r>
            <w:r w:rsidR="00E93915">
              <w:rPr>
                <w:rStyle w:val="Hyperlink"/>
                <w:rFonts w:ascii="Aptos" w:hAnsi="Aptos"/>
                <w:noProof/>
                <w:webHidden/>
              </w:rPr>
              <w:t>38</w:t>
            </w:r>
            <w:r w:rsidR="006126D0" w:rsidRPr="00F3144F">
              <w:rPr>
                <w:rStyle w:val="Hyperlink"/>
                <w:rFonts w:ascii="Aptos" w:hAnsi="Aptos"/>
                <w:noProof/>
                <w:webHidden/>
              </w:rPr>
              <w:fldChar w:fldCharType="end"/>
            </w:r>
          </w:hyperlink>
        </w:p>
        <w:p w14:paraId="4300826A" w14:textId="1645BBAE" w:rsidR="006126D0" w:rsidRPr="00F3144F" w:rsidRDefault="00000000" w:rsidP="006126D0">
          <w:pPr>
            <w:pStyle w:val="TOC2"/>
            <w:tabs>
              <w:tab w:val="right" w:leader="dot" w:pos="9066"/>
            </w:tabs>
            <w:ind w:left="1402"/>
            <w:rPr>
              <w:rStyle w:val="Hyperlink"/>
              <w:rFonts w:ascii="Aptos" w:hAnsi="Aptos"/>
              <w:noProof/>
              <w:lang w:val="en-US"/>
            </w:rPr>
          </w:pPr>
          <w:hyperlink w:anchor="_Toc168584225" w:history="1">
            <w:r w:rsidR="006126D0" w:rsidRPr="00F3144F">
              <w:rPr>
                <w:rStyle w:val="Hyperlink"/>
                <w:rFonts w:ascii="Aptos" w:hAnsi="Aptos"/>
                <w:noProof/>
              </w:rPr>
              <w:t>Launch of the digital euro</w:t>
            </w:r>
            <w:r w:rsidR="006126D0" w:rsidRPr="00F3144F">
              <w:rPr>
                <w:rStyle w:val="Hyperlink"/>
                <w:rFonts w:ascii="Aptos" w:hAnsi="Aptos"/>
                <w:noProof/>
                <w:webHidden/>
              </w:rPr>
              <w:tab/>
            </w:r>
            <w:r w:rsidR="006126D0" w:rsidRPr="00F3144F">
              <w:rPr>
                <w:rStyle w:val="Hyperlink"/>
                <w:rFonts w:ascii="Aptos" w:hAnsi="Aptos"/>
                <w:noProof/>
                <w:webHidden/>
              </w:rPr>
              <w:fldChar w:fldCharType="begin"/>
            </w:r>
            <w:r w:rsidR="006126D0" w:rsidRPr="00F3144F">
              <w:rPr>
                <w:rStyle w:val="Hyperlink"/>
                <w:rFonts w:ascii="Aptos" w:hAnsi="Aptos"/>
                <w:noProof/>
                <w:webHidden/>
              </w:rPr>
              <w:instrText xml:space="preserve"> PAGEREF _Toc168584225 \h </w:instrText>
            </w:r>
            <w:r w:rsidR="006126D0" w:rsidRPr="00F3144F">
              <w:rPr>
                <w:rStyle w:val="Hyperlink"/>
                <w:rFonts w:ascii="Aptos" w:hAnsi="Aptos"/>
                <w:noProof/>
                <w:webHidden/>
              </w:rPr>
            </w:r>
            <w:r w:rsidR="006126D0" w:rsidRPr="00F3144F">
              <w:rPr>
                <w:rStyle w:val="Hyperlink"/>
                <w:rFonts w:ascii="Aptos" w:hAnsi="Aptos"/>
                <w:noProof/>
                <w:webHidden/>
              </w:rPr>
              <w:fldChar w:fldCharType="separate"/>
            </w:r>
            <w:r w:rsidR="00E93915">
              <w:rPr>
                <w:rStyle w:val="Hyperlink"/>
                <w:rFonts w:ascii="Aptos" w:hAnsi="Aptos"/>
                <w:noProof/>
                <w:webHidden/>
              </w:rPr>
              <w:t>39</w:t>
            </w:r>
            <w:r w:rsidR="006126D0" w:rsidRPr="00F3144F">
              <w:rPr>
                <w:rStyle w:val="Hyperlink"/>
                <w:rFonts w:ascii="Aptos" w:hAnsi="Aptos"/>
                <w:noProof/>
                <w:webHidden/>
              </w:rPr>
              <w:fldChar w:fldCharType="end"/>
            </w:r>
          </w:hyperlink>
        </w:p>
        <w:p w14:paraId="0597F0CE" w14:textId="3A1068D6" w:rsidR="006126D0" w:rsidRPr="00F3144F" w:rsidRDefault="00000000" w:rsidP="006126D0">
          <w:pPr>
            <w:pStyle w:val="TOC2"/>
            <w:tabs>
              <w:tab w:val="right" w:leader="dot" w:pos="9066"/>
            </w:tabs>
            <w:ind w:left="1402"/>
            <w:rPr>
              <w:rStyle w:val="Hyperlink"/>
              <w:rFonts w:ascii="Aptos" w:hAnsi="Aptos"/>
              <w:noProof/>
              <w:lang w:val="en-US"/>
            </w:rPr>
          </w:pPr>
          <w:hyperlink w:anchor="_Toc168584226" w:history="1">
            <w:r w:rsidR="006126D0" w:rsidRPr="00F3144F">
              <w:rPr>
                <w:rStyle w:val="Hyperlink"/>
                <w:rFonts w:ascii="Aptos" w:hAnsi="Aptos"/>
                <w:noProof/>
              </w:rPr>
              <w:t>Tax haven transaction tax</w:t>
            </w:r>
            <w:r w:rsidR="006126D0" w:rsidRPr="00F3144F">
              <w:rPr>
                <w:rStyle w:val="Hyperlink"/>
                <w:rFonts w:ascii="Aptos" w:hAnsi="Aptos"/>
                <w:noProof/>
                <w:webHidden/>
              </w:rPr>
              <w:tab/>
            </w:r>
            <w:r w:rsidR="006126D0" w:rsidRPr="00F3144F">
              <w:rPr>
                <w:rStyle w:val="Hyperlink"/>
                <w:rFonts w:ascii="Aptos" w:hAnsi="Aptos"/>
                <w:noProof/>
                <w:webHidden/>
              </w:rPr>
              <w:fldChar w:fldCharType="begin"/>
            </w:r>
            <w:r w:rsidR="006126D0" w:rsidRPr="00F3144F">
              <w:rPr>
                <w:rStyle w:val="Hyperlink"/>
                <w:rFonts w:ascii="Aptos" w:hAnsi="Aptos"/>
                <w:noProof/>
                <w:webHidden/>
              </w:rPr>
              <w:instrText xml:space="preserve"> PAGEREF _Toc168584226 \h </w:instrText>
            </w:r>
            <w:r w:rsidR="006126D0" w:rsidRPr="00F3144F">
              <w:rPr>
                <w:rStyle w:val="Hyperlink"/>
                <w:rFonts w:ascii="Aptos" w:hAnsi="Aptos"/>
                <w:noProof/>
                <w:webHidden/>
              </w:rPr>
            </w:r>
            <w:r w:rsidR="006126D0" w:rsidRPr="00F3144F">
              <w:rPr>
                <w:rStyle w:val="Hyperlink"/>
                <w:rFonts w:ascii="Aptos" w:hAnsi="Aptos"/>
                <w:noProof/>
                <w:webHidden/>
              </w:rPr>
              <w:fldChar w:fldCharType="separate"/>
            </w:r>
            <w:r w:rsidR="00E93915">
              <w:rPr>
                <w:rStyle w:val="Hyperlink"/>
                <w:rFonts w:ascii="Aptos" w:hAnsi="Aptos"/>
                <w:noProof/>
                <w:webHidden/>
              </w:rPr>
              <w:t>40</w:t>
            </w:r>
            <w:r w:rsidR="006126D0" w:rsidRPr="00F3144F">
              <w:rPr>
                <w:rStyle w:val="Hyperlink"/>
                <w:rFonts w:ascii="Aptos" w:hAnsi="Aptos"/>
                <w:noProof/>
                <w:webHidden/>
              </w:rPr>
              <w:fldChar w:fldCharType="end"/>
            </w:r>
          </w:hyperlink>
        </w:p>
        <w:p w14:paraId="30FDCF93" w14:textId="72AC7987" w:rsidR="006126D0" w:rsidRPr="00F3144F" w:rsidRDefault="00000000" w:rsidP="006126D0">
          <w:pPr>
            <w:pStyle w:val="TOC2"/>
            <w:tabs>
              <w:tab w:val="right" w:leader="dot" w:pos="9066"/>
            </w:tabs>
            <w:ind w:left="1402"/>
            <w:rPr>
              <w:rStyle w:val="Hyperlink"/>
              <w:rFonts w:ascii="Aptos" w:hAnsi="Aptos"/>
              <w:noProof/>
              <w:lang w:val="en-US"/>
            </w:rPr>
          </w:pPr>
          <w:hyperlink w:anchor="_Toc168584227" w:history="1">
            <w:r w:rsidR="006126D0" w:rsidRPr="00F3144F">
              <w:rPr>
                <w:rStyle w:val="Hyperlink"/>
                <w:rFonts w:ascii="Aptos" w:hAnsi="Aptos"/>
                <w:noProof/>
              </w:rPr>
              <w:t>Contradictions in digital laws</w:t>
            </w:r>
            <w:r w:rsidR="006126D0" w:rsidRPr="00F3144F">
              <w:rPr>
                <w:rStyle w:val="Hyperlink"/>
                <w:rFonts w:ascii="Aptos" w:hAnsi="Aptos"/>
                <w:noProof/>
                <w:webHidden/>
              </w:rPr>
              <w:tab/>
            </w:r>
            <w:r w:rsidR="006126D0" w:rsidRPr="00F3144F">
              <w:rPr>
                <w:rStyle w:val="Hyperlink"/>
                <w:rFonts w:ascii="Aptos" w:hAnsi="Aptos"/>
                <w:noProof/>
                <w:webHidden/>
              </w:rPr>
              <w:fldChar w:fldCharType="begin"/>
            </w:r>
            <w:r w:rsidR="006126D0" w:rsidRPr="00F3144F">
              <w:rPr>
                <w:rStyle w:val="Hyperlink"/>
                <w:rFonts w:ascii="Aptos" w:hAnsi="Aptos"/>
                <w:noProof/>
                <w:webHidden/>
              </w:rPr>
              <w:instrText xml:space="preserve"> PAGEREF _Toc168584227 \h </w:instrText>
            </w:r>
            <w:r w:rsidR="006126D0" w:rsidRPr="00F3144F">
              <w:rPr>
                <w:rStyle w:val="Hyperlink"/>
                <w:rFonts w:ascii="Aptos" w:hAnsi="Aptos"/>
                <w:noProof/>
                <w:webHidden/>
              </w:rPr>
            </w:r>
            <w:r w:rsidR="006126D0" w:rsidRPr="00F3144F">
              <w:rPr>
                <w:rStyle w:val="Hyperlink"/>
                <w:rFonts w:ascii="Aptos" w:hAnsi="Aptos"/>
                <w:noProof/>
                <w:webHidden/>
              </w:rPr>
              <w:fldChar w:fldCharType="separate"/>
            </w:r>
            <w:r w:rsidR="00E93915">
              <w:rPr>
                <w:rStyle w:val="Hyperlink"/>
                <w:rFonts w:ascii="Aptos" w:hAnsi="Aptos"/>
                <w:noProof/>
                <w:webHidden/>
              </w:rPr>
              <w:t>41</w:t>
            </w:r>
            <w:r w:rsidR="006126D0" w:rsidRPr="00F3144F">
              <w:rPr>
                <w:rStyle w:val="Hyperlink"/>
                <w:rFonts w:ascii="Aptos" w:hAnsi="Aptos"/>
                <w:noProof/>
                <w:webHidden/>
              </w:rPr>
              <w:fldChar w:fldCharType="end"/>
            </w:r>
          </w:hyperlink>
        </w:p>
        <w:p w14:paraId="641D6560" w14:textId="141111D9" w:rsidR="005F1575" w:rsidRPr="005F1575" w:rsidRDefault="005F1575" w:rsidP="006126D0">
          <w:pPr>
            <w:rPr>
              <w:rFonts w:ascii="Aptos" w:hAnsi="Aptos"/>
              <w:sz w:val="24"/>
              <w:szCs w:val="24"/>
            </w:rPr>
          </w:pPr>
          <w:r w:rsidRPr="005F1575">
            <w:rPr>
              <w:rFonts w:ascii="Aptos" w:hAnsi="Aptos"/>
              <w:sz w:val="24"/>
              <w:szCs w:val="24"/>
              <w:lang w:val="de-DE"/>
            </w:rPr>
            <w:fldChar w:fldCharType="end"/>
          </w:r>
        </w:p>
      </w:sdtContent>
    </w:sdt>
    <w:p w14:paraId="685B0F71" w14:textId="77777777" w:rsidR="003B777E" w:rsidRPr="005F1575" w:rsidRDefault="003B777E" w:rsidP="005F1575">
      <w:pPr>
        <w:pStyle w:val="BodyText"/>
        <w:rPr>
          <w:rFonts w:ascii="Aptos" w:hAnsi="Aptos"/>
          <w:b w:val="0"/>
          <w:bCs w:val="0"/>
        </w:rPr>
      </w:pPr>
    </w:p>
    <w:p w14:paraId="086C4CAD" w14:textId="77777777" w:rsidR="003B777E" w:rsidRPr="005F1575" w:rsidRDefault="003B777E" w:rsidP="005F1575">
      <w:pPr>
        <w:pStyle w:val="BodyText"/>
        <w:rPr>
          <w:rFonts w:ascii="Aptos" w:hAnsi="Aptos"/>
          <w:b w:val="0"/>
          <w:bCs w:val="0"/>
        </w:rPr>
      </w:pPr>
    </w:p>
    <w:p w14:paraId="22152C9C" w14:textId="77777777" w:rsidR="000E5FB9" w:rsidRPr="005F1575" w:rsidRDefault="000E5FB9" w:rsidP="005F1575">
      <w:pPr>
        <w:pStyle w:val="BodyText"/>
        <w:rPr>
          <w:rFonts w:ascii="Aptos" w:hAnsi="Aptos"/>
          <w:b w:val="0"/>
          <w:bCs w:val="0"/>
        </w:rPr>
      </w:pPr>
    </w:p>
    <w:p w14:paraId="0F5778E5" w14:textId="77777777" w:rsidR="000E5FB9" w:rsidRPr="005F1575" w:rsidRDefault="000E5FB9">
      <w:pPr>
        <w:pStyle w:val="BodyText"/>
        <w:rPr>
          <w:rFonts w:ascii="Aptos" w:hAnsi="Aptos"/>
          <w:b w:val="0"/>
          <w:bCs w:val="0"/>
        </w:rPr>
      </w:pPr>
    </w:p>
    <w:p w14:paraId="1EF82833" w14:textId="77777777" w:rsidR="000E5FB9" w:rsidRPr="005F1575" w:rsidRDefault="000E5FB9">
      <w:pPr>
        <w:pStyle w:val="BodyText"/>
        <w:rPr>
          <w:rFonts w:ascii="Aptos" w:hAnsi="Aptos"/>
          <w:b w:val="0"/>
          <w:bCs w:val="0"/>
        </w:rPr>
      </w:pPr>
    </w:p>
    <w:p w14:paraId="552834CD" w14:textId="77777777" w:rsidR="000E5FB9" w:rsidRDefault="000E5FB9">
      <w:pPr>
        <w:pStyle w:val="BodyText"/>
        <w:rPr>
          <w:rFonts w:ascii="Times New Roman"/>
          <w:b w:val="0"/>
          <w:sz w:val="20"/>
        </w:rPr>
      </w:pPr>
    </w:p>
    <w:p w14:paraId="4A4B38B0" w14:textId="77777777" w:rsidR="000E5FB9" w:rsidRDefault="000E5FB9">
      <w:pPr>
        <w:pStyle w:val="BodyText"/>
        <w:rPr>
          <w:rFonts w:ascii="Times New Roman"/>
          <w:b w:val="0"/>
          <w:sz w:val="20"/>
        </w:rPr>
      </w:pPr>
    </w:p>
    <w:p w14:paraId="7238B197" w14:textId="77777777" w:rsidR="000E5FB9" w:rsidRDefault="000E5FB9">
      <w:pPr>
        <w:pStyle w:val="BodyText"/>
        <w:rPr>
          <w:rFonts w:ascii="Times New Roman"/>
          <w:b w:val="0"/>
          <w:sz w:val="20"/>
        </w:rPr>
      </w:pPr>
    </w:p>
    <w:p w14:paraId="5A0DBC13" w14:textId="77777777" w:rsidR="000E5FB9" w:rsidRDefault="000E5FB9">
      <w:pPr>
        <w:pStyle w:val="BodyText"/>
        <w:rPr>
          <w:rFonts w:ascii="Times New Roman"/>
          <w:b w:val="0"/>
          <w:sz w:val="20"/>
        </w:rPr>
      </w:pPr>
    </w:p>
    <w:p w14:paraId="6078F538" w14:textId="77777777" w:rsidR="000E5FB9" w:rsidRDefault="000E5FB9">
      <w:pPr>
        <w:pStyle w:val="BodyText"/>
        <w:rPr>
          <w:rFonts w:ascii="Times New Roman"/>
          <w:b w:val="0"/>
          <w:sz w:val="20"/>
        </w:rPr>
      </w:pPr>
    </w:p>
    <w:p w14:paraId="7425AE36" w14:textId="77777777" w:rsidR="000E5FB9" w:rsidRDefault="000E5FB9">
      <w:pPr>
        <w:pStyle w:val="BodyText"/>
        <w:rPr>
          <w:rFonts w:ascii="Times New Roman"/>
          <w:b w:val="0"/>
          <w:sz w:val="20"/>
        </w:rPr>
      </w:pPr>
    </w:p>
    <w:p w14:paraId="67682D2D" w14:textId="77777777" w:rsidR="000E5FB9" w:rsidRDefault="000E5FB9">
      <w:pPr>
        <w:pStyle w:val="BodyText"/>
        <w:rPr>
          <w:rFonts w:ascii="Times New Roman"/>
          <w:b w:val="0"/>
          <w:sz w:val="20"/>
        </w:rPr>
      </w:pPr>
    </w:p>
    <w:p w14:paraId="098110B0" w14:textId="77777777" w:rsidR="000E5FB9" w:rsidRDefault="000E5FB9">
      <w:pPr>
        <w:pStyle w:val="BodyText"/>
        <w:rPr>
          <w:rFonts w:ascii="Times New Roman"/>
          <w:b w:val="0"/>
          <w:sz w:val="20"/>
        </w:rPr>
      </w:pPr>
    </w:p>
    <w:p w14:paraId="739C92CF" w14:textId="77777777" w:rsidR="000E5FB9" w:rsidRDefault="000E5FB9">
      <w:pPr>
        <w:pStyle w:val="BodyText"/>
        <w:rPr>
          <w:rFonts w:ascii="Times New Roman"/>
          <w:b w:val="0"/>
          <w:sz w:val="20"/>
        </w:rPr>
      </w:pPr>
    </w:p>
    <w:p w14:paraId="4AB100DB" w14:textId="77777777" w:rsidR="000E5FB9" w:rsidRDefault="000E5FB9">
      <w:pPr>
        <w:pStyle w:val="BodyText"/>
        <w:rPr>
          <w:rFonts w:ascii="Times New Roman"/>
          <w:b w:val="0"/>
          <w:sz w:val="20"/>
        </w:rPr>
      </w:pPr>
    </w:p>
    <w:p w14:paraId="166CBE71" w14:textId="77777777" w:rsidR="000E5FB9" w:rsidRDefault="000E5FB9">
      <w:pPr>
        <w:pStyle w:val="BodyText"/>
        <w:rPr>
          <w:rFonts w:ascii="Times New Roman"/>
          <w:b w:val="0"/>
          <w:sz w:val="20"/>
        </w:rPr>
      </w:pPr>
    </w:p>
    <w:p w14:paraId="02725F61" w14:textId="77777777" w:rsidR="000E5FB9" w:rsidRDefault="000E5FB9">
      <w:pPr>
        <w:pStyle w:val="BodyText"/>
        <w:rPr>
          <w:rFonts w:ascii="Times New Roman"/>
          <w:b w:val="0"/>
          <w:sz w:val="20"/>
        </w:rPr>
      </w:pPr>
    </w:p>
    <w:p w14:paraId="3D68AFB2" w14:textId="77777777" w:rsidR="000E5FB9" w:rsidRDefault="000E5FB9">
      <w:pPr>
        <w:pStyle w:val="BodyText"/>
        <w:rPr>
          <w:rFonts w:ascii="Times New Roman"/>
          <w:b w:val="0"/>
          <w:sz w:val="20"/>
        </w:rPr>
      </w:pPr>
    </w:p>
    <w:p w14:paraId="6842B5D8" w14:textId="77777777" w:rsidR="000E5FB9" w:rsidRDefault="000E5FB9">
      <w:pPr>
        <w:pStyle w:val="BodyText"/>
        <w:rPr>
          <w:rFonts w:ascii="Times New Roman"/>
          <w:b w:val="0"/>
          <w:sz w:val="20"/>
        </w:rPr>
      </w:pPr>
    </w:p>
    <w:p w14:paraId="595E0BC8" w14:textId="77777777" w:rsidR="000E5FB9" w:rsidRDefault="000E5FB9">
      <w:pPr>
        <w:pStyle w:val="BodyText"/>
        <w:rPr>
          <w:rFonts w:ascii="Times New Roman"/>
          <w:b w:val="0"/>
          <w:sz w:val="20"/>
        </w:rPr>
      </w:pPr>
    </w:p>
    <w:p w14:paraId="24FD6DB9" w14:textId="77777777" w:rsidR="000E5FB9" w:rsidRDefault="000E5FB9">
      <w:pPr>
        <w:pStyle w:val="BodyText"/>
        <w:rPr>
          <w:rFonts w:ascii="Times New Roman"/>
          <w:b w:val="0"/>
          <w:sz w:val="20"/>
        </w:rPr>
      </w:pPr>
    </w:p>
    <w:p w14:paraId="712C526A" w14:textId="77777777" w:rsidR="000E5FB9" w:rsidRDefault="000E5FB9">
      <w:pPr>
        <w:pStyle w:val="BodyText"/>
        <w:rPr>
          <w:rFonts w:ascii="Times New Roman"/>
          <w:b w:val="0"/>
          <w:sz w:val="20"/>
        </w:rPr>
      </w:pPr>
    </w:p>
    <w:p w14:paraId="6E1F0EC5" w14:textId="77777777" w:rsidR="000E5FB9" w:rsidRDefault="000E5FB9">
      <w:pPr>
        <w:pStyle w:val="BodyText"/>
        <w:rPr>
          <w:rFonts w:ascii="Times New Roman"/>
          <w:b w:val="0"/>
          <w:sz w:val="20"/>
        </w:rPr>
      </w:pPr>
    </w:p>
    <w:p w14:paraId="7779515F" w14:textId="77777777" w:rsidR="00F3144F" w:rsidRDefault="00F3144F" w:rsidP="00F3144F">
      <w:bookmarkStart w:id="0" w:name="Sub-area_I_-_Economic_policy_management"/>
      <w:bookmarkStart w:id="1" w:name="_bookmark0"/>
      <w:bookmarkStart w:id="2" w:name="Public_&amp;_municipal_actors_as_levers_for_"/>
      <w:bookmarkStart w:id="3" w:name="_bookmark1"/>
      <w:bookmarkStart w:id="4" w:name="Ecological_transformation_of_the_interna"/>
      <w:bookmarkStart w:id="5" w:name="_bookmark2"/>
      <w:bookmarkStart w:id="6" w:name="_Toc168584186"/>
      <w:bookmarkEnd w:id="0"/>
      <w:bookmarkEnd w:id="1"/>
      <w:bookmarkEnd w:id="2"/>
      <w:bookmarkEnd w:id="3"/>
      <w:bookmarkEnd w:id="4"/>
      <w:bookmarkEnd w:id="5"/>
    </w:p>
    <w:p w14:paraId="00F02ECA" w14:textId="77777777" w:rsidR="00D66811" w:rsidRDefault="00D66811" w:rsidP="00F3144F"/>
    <w:p w14:paraId="5B5F9379" w14:textId="15D71625" w:rsidR="008D32C6" w:rsidRDefault="008D32C6" w:rsidP="008D32C6">
      <w:pPr>
        <w:pStyle w:val="Heading1"/>
        <w:ind w:left="0"/>
      </w:pPr>
      <w:r>
        <w:lastRenderedPageBreak/>
        <w:t>S</w:t>
      </w:r>
      <w:r w:rsidRPr="009B5839">
        <w:t>ubsection I - Economic governance</w:t>
      </w:r>
      <w:bookmarkEnd w:id="6"/>
    </w:p>
    <w:p w14:paraId="7CA97334" w14:textId="77777777" w:rsidR="008D32C6" w:rsidRDefault="008D32C6" w:rsidP="008D32C6"/>
    <w:p w14:paraId="0BB58176" w14:textId="77777777" w:rsidR="008D32C6" w:rsidRPr="000E5FB9" w:rsidRDefault="008D32C6" w:rsidP="008D32C6">
      <w:pPr>
        <w:pStyle w:val="Heading2"/>
        <w:rPr>
          <w:rFonts w:ascii="Aptos" w:hAnsi="Aptos"/>
          <w:b/>
          <w:bCs/>
          <w:color w:val="FF0000"/>
          <w:sz w:val="24"/>
          <w:szCs w:val="24"/>
        </w:rPr>
      </w:pPr>
      <w:bookmarkStart w:id="7" w:name="_Toc168584187"/>
      <w:r w:rsidRPr="000E5FB9">
        <w:rPr>
          <w:rFonts w:ascii="Aptos" w:hAnsi="Aptos"/>
          <w:b/>
          <w:bCs/>
          <w:color w:val="FF0000"/>
          <w:sz w:val="24"/>
          <w:szCs w:val="24"/>
        </w:rPr>
        <w:t>Public &amp; municipal actors as levers for EU socio-ecological goals</w:t>
      </w:r>
      <w:bookmarkEnd w:id="7"/>
    </w:p>
    <w:p w14:paraId="4D34512D" w14:textId="77777777" w:rsidR="008D32C6" w:rsidRPr="009B5839" w:rsidRDefault="008D32C6" w:rsidP="008D32C6">
      <w:pPr>
        <w:pStyle w:val="BodyText"/>
        <w:spacing w:before="7" w:after="1"/>
        <w:rPr>
          <w:rFonts w:ascii="Aptos" w:hAnsi="Aptos"/>
          <w:sz w:val="23"/>
        </w:rPr>
      </w:pP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8D32C6" w:rsidRPr="00C57E0E" w14:paraId="06BCB2F3" w14:textId="77777777" w:rsidTr="008D32C6">
        <w:trPr>
          <w:trHeight w:val="493"/>
        </w:trPr>
        <w:tc>
          <w:tcPr>
            <w:tcW w:w="9066" w:type="dxa"/>
            <w:shd w:val="clear" w:color="auto" w:fill="D9D9D9"/>
          </w:tcPr>
          <w:p w14:paraId="6B1B05DC" w14:textId="77777777" w:rsidR="008D32C6" w:rsidRPr="00C57E0E" w:rsidRDefault="008D32C6" w:rsidP="008D32C6">
            <w:pPr>
              <w:pStyle w:val="TableParagraph"/>
              <w:spacing w:before="115"/>
              <w:ind w:left="142"/>
              <w:rPr>
                <w:rFonts w:ascii="Aptos" w:hAnsi="Aptos"/>
                <w:b/>
              </w:rPr>
            </w:pPr>
            <w:r w:rsidRPr="00C57E0E">
              <w:rPr>
                <w:rFonts w:ascii="Aptos" w:hAnsi="Aptos"/>
                <w:b/>
              </w:rPr>
              <w:t>Question</w:t>
            </w:r>
          </w:p>
        </w:tc>
      </w:tr>
      <w:tr w:rsidR="008D32C6" w:rsidRPr="00C57E0E" w14:paraId="2E03873C" w14:textId="77777777" w:rsidTr="008D32C6">
        <w:trPr>
          <w:trHeight w:val="2520"/>
        </w:trPr>
        <w:tc>
          <w:tcPr>
            <w:tcW w:w="9066" w:type="dxa"/>
          </w:tcPr>
          <w:p w14:paraId="1029C8A8" w14:textId="5E1AB5CE" w:rsidR="008D32C6" w:rsidRPr="00C57E0E" w:rsidRDefault="00F3144F" w:rsidP="008D32C6">
            <w:pPr>
              <w:pStyle w:val="TableParagraph"/>
              <w:spacing w:before="120"/>
              <w:ind w:left="142" w:right="93"/>
              <w:jc w:val="both"/>
              <w:rPr>
                <w:rFonts w:ascii="Aptos" w:hAnsi="Aptos"/>
                <w:b/>
              </w:rPr>
            </w:pPr>
            <w:r w:rsidRPr="00C57E0E">
              <w:rPr>
                <w:rFonts w:ascii="Aptos" w:hAnsi="Aptos"/>
                <w:color w:val="0D0D0D"/>
              </w:rPr>
              <w:t>In order to effectively address the climate crisis, it is crucial for European cities and municipalities to have sufficient financial resources, such as municipal climate investment funds. It would also be beneficial for them to have appropriate co-determination rights at</w:t>
            </w:r>
            <w:r w:rsidR="00CD384E" w:rsidRPr="00C57E0E">
              <w:rPr>
                <w:rFonts w:ascii="Aptos" w:hAnsi="Aptos"/>
                <w:color w:val="0D0D0D"/>
              </w:rPr>
              <w:t xml:space="preserve"> </w:t>
            </w:r>
            <w:r w:rsidRPr="00C57E0E">
              <w:rPr>
                <w:rFonts w:ascii="Aptos" w:hAnsi="Aptos"/>
                <w:color w:val="0D0D0D"/>
              </w:rPr>
              <w:t xml:space="preserve"> European level, in order to be able to take social aspects into account. Cities and municipalities are already facing significant financial constraints when it comes to providing relevant services of general interest, including social issues. It is also worth noting that municipal companies frequently invest in critical infrastructure, including energy and mobility. As such, they represent a valuable avenue for socio-ecological investment projects. </w:t>
            </w:r>
            <w:r w:rsidRPr="00C57E0E">
              <w:rPr>
                <w:rFonts w:ascii="Aptos" w:hAnsi="Aptos"/>
                <w:b/>
                <w:bCs/>
                <w:color w:val="0D0D0D"/>
              </w:rPr>
              <w:t>What role do you believe cities, municipalities and municipal companies should play in achieving the EU's socio-ecological goals?</w:t>
            </w:r>
          </w:p>
        </w:tc>
      </w:tr>
      <w:tr w:rsidR="008D32C6" w:rsidRPr="00C57E0E" w14:paraId="22B3ACCE" w14:textId="77777777" w:rsidTr="008D32C6">
        <w:trPr>
          <w:trHeight w:val="489"/>
        </w:trPr>
        <w:tc>
          <w:tcPr>
            <w:tcW w:w="9066" w:type="dxa"/>
            <w:shd w:val="clear" w:color="auto" w:fill="D9D9D9"/>
          </w:tcPr>
          <w:p w14:paraId="5867D719" w14:textId="77777777" w:rsidR="008D32C6" w:rsidRPr="00C57E0E" w:rsidRDefault="008D32C6" w:rsidP="008D32C6">
            <w:pPr>
              <w:pStyle w:val="TableParagraph"/>
              <w:spacing w:before="115"/>
              <w:ind w:left="142"/>
              <w:rPr>
                <w:rFonts w:ascii="Aptos" w:hAnsi="Aptos"/>
                <w:b/>
              </w:rPr>
            </w:pPr>
            <w:r w:rsidRPr="00C57E0E">
              <w:rPr>
                <w:rFonts w:ascii="Aptos" w:hAnsi="Aptos"/>
                <w:b/>
              </w:rPr>
              <w:t>Further questions</w:t>
            </w:r>
          </w:p>
        </w:tc>
      </w:tr>
      <w:tr w:rsidR="008D32C6" w:rsidRPr="00C57E0E" w14:paraId="0A725BF3" w14:textId="77777777" w:rsidTr="008D32C6">
        <w:trPr>
          <w:trHeight w:val="1267"/>
        </w:trPr>
        <w:tc>
          <w:tcPr>
            <w:tcW w:w="9066" w:type="dxa"/>
          </w:tcPr>
          <w:p w14:paraId="15D98B60" w14:textId="77777777" w:rsidR="00F3144F" w:rsidRPr="00C57E0E" w:rsidRDefault="00F3144F" w:rsidP="00F3144F">
            <w:pPr>
              <w:pStyle w:val="TableParagraph"/>
              <w:numPr>
                <w:ilvl w:val="0"/>
                <w:numId w:val="37"/>
              </w:numPr>
              <w:tabs>
                <w:tab w:val="left" w:pos="831"/>
              </w:tabs>
              <w:spacing w:before="115"/>
              <w:ind w:right="96"/>
              <w:jc w:val="both"/>
              <w:rPr>
                <w:rFonts w:ascii="Aptos" w:hAnsi="Aptos"/>
              </w:rPr>
            </w:pPr>
            <w:r w:rsidRPr="00C57E0E">
              <w:rPr>
                <w:rFonts w:ascii="Aptos" w:hAnsi="Aptos"/>
              </w:rPr>
              <w:t>How will you ensure that there are plans for EU programmes and funding that provide local actors at the municipal level with greater scope for action?</w:t>
            </w:r>
          </w:p>
          <w:p w14:paraId="2DB4C18F" w14:textId="55C4A3D0" w:rsidR="008D32C6" w:rsidRPr="00C57E0E" w:rsidRDefault="00F3144F" w:rsidP="00F3144F">
            <w:pPr>
              <w:pStyle w:val="TableParagraph"/>
              <w:numPr>
                <w:ilvl w:val="0"/>
                <w:numId w:val="37"/>
              </w:numPr>
              <w:tabs>
                <w:tab w:val="left" w:pos="831"/>
              </w:tabs>
              <w:spacing w:before="115"/>
              <w:ind w:right="96"/>
              <w:jc w:val="both"/>
              <w:rPr>
                <w:rFonts w:ascii="Aptos" w:hAnsi="Aptos"/>
              </w:rPr>
            </w:pPr>
            <w:r w:rsidRPr="00C57E0E">
              <w:rPr>
                <w:rFonts w:ascii="Aptos" w:hAnsi="Aptos"/>
              </w:rPr>
              <w:t>Please outline your views on the importance of inter-municipal cooperation between cities and municipalities in this context.</w:t>
            </w:r>
          </w:p>
        </w:tc>
      </w:tr>
    </w:tbl>
    <w:p w14:paraId="603E3A50" w14:textId="77777777" w:rsidR="008D32C6" w:rsidRPr="00C57E0E" w:rsidRDefault="008D32C6" w:rsidP="008D32C6">
      <w:pPr>
        <w:pStyle w:val="BodyText"/>
        <w:rPr>
          <w:rFonts w:ascii="Aptos" w:hAnsi="Aptos"/>
          <w:sz w:val="22"/>
          <w:szCs w:val="22"/>
        </w:rPr>
      </w:pPr>
    </w:p>
    <w:tbl>
      <w:tblPr>
        <w:tblStyle w:val="TableNormal1"/>
        <w:tblW w:w="0" w:type="auto"/>
        <w:tblLayout w:type="fixed"/>
        <w:tblLook w:val="01E0" w:firstRow="1" w:lastRow="1" w:firstColumn="1" w:lastColumn="1" w:noHBand="0" w:noVBand="0"/>
      </w:tblPr>
      <w:tblGrid>
        <w:gridCol w:w="9066"/>
      </w:tblGrid>
      <w:tr w:rsidR="00F3144F" w:rsidRPr="00C57E0E" w14:paraId="41DCE8D1" w14:textId="77777777" w:rsidTr="00F3144F">
        <w:trPr>
          <w:trHeight w:val="277"/>
        </w:trPr>
        <w:tc>
          <w:tcPr>
            <w:tcW w:w="9066" w:type="dxa"/>
            <w:shd w:val="clear" w:color="auto" w:fill="D9D9D9"/>
          </w:tcPr>
          <w:p w14:paraId="741417AB" w14:textId="7A35B6E8" w:rsidR="00F3144F" w:rsidRPr="00C57E0E" w:rsidRDefault="00F3144F" w:rsidP="000858DA">
            <w:pPr>
              <w:pStyle w:val="TableParagraph"/>
              <w:spacing w:line="258" w:lineRule="exact"/>
              <w:ind w:left="0"/>
              <w:rPr>
                <w:rFonts w:ascii="Aptos" w:hAnsi="Aptos"/>
                <w:b/>
              </w:rPr>
            </w:pPr>
            <w:r w:rsidRPr="00C57E0E">
              <w:rPr>
                <w:rFonts w:ascii="Aptos" w:hAnsi="Aptos"/>
                <w:b/>
              </w:rPr>
              <w:t>Background</w:t>
            </w:r>
          </w:p>
        </w:tc>
      </w:tr>
      <w:tr w:rsidR="00F3144F" w:rsidRPr="00C57E0E" w14:paraId="2A43E6D3" w14:textId="77777777" w:rsidTr="00F3144F">
        <w:trPr>
          <w:trHeight w:val="1516"/>
        </w:trPr>
        <w:tc>
          <w:tcPr>
            <w:tcW w:w="9066" w:type="dxa"/>
          </w:tcPr>
          <w:p w14:paraId="458C1664" w14:textId="14E3B5B5" w:rsidR="00F3144F" w:rsidRPr="00C57E0E" w:rsidRDefault="00F3144F" w:rsidP="002A6988">
            <w:pPr>
              <w:pStyle w:val="TableParagraph"/>
              <w:spacing w:before="3" w:line="239" w:lineRule="exact"/>
              <w:ind w:left="0"/>
              <w:jc w:val="both"/>
              <w:rPr>
                <w:rFonts w:ascii="Aptos" w:hAnsi="Aptos"/>
                <w:color w:val="0D0D0D"/>
              </w:rPr>
            </w:pPr>
            <w:r w:rsidRPr="00C57E0E">
              <w:rPr>
                <w:rFonts w:ascii="Aptos" w:hAnsi="Aptos"/>
                <w:color w:val="0D0D0D"/>
              </w:rPr>
              <w:t>One of the most significant challenges facing our society today is the climate crisis. The majority of measures to combat this issue are implemented at the municipal level. It is therefore essential that cities and municipalities are provided with adequate financial resources at European level, for example through municipal climate investment funds, as well as appropriate rights to have a say. It is therefore essential that the European Commission ensures that the provision of services of general interest is not made impossible or disproportionately difficult for local authorities as a result of liberalisation and privatisation efforts and other requirements. Cities and municipalities are facing significant financial constraints, particularly in terms of their capacity to fund essential services. Furthermore, inter-municipal cooperation, public law contracts and administrative communities are key instruments for the efficient fulfilment of public tasks, taking into account the economical and sustainable use of available financial resources. Since 2012, inter-municipal cooperation, specifically administrative communities and co-operations, have been subject to VAT. Banks and insurance companies, however, are exempt from this, despite being in a similar position. Despite the fact that these services are provided within the municipalities' own sphere of influence, they have become 20% more expensive as a result of inter-municipal cooperation. In the context of services of general interest, it is necessary to implement measures to enhance the financial strength and collaboration of regional and local stakeholders.</w:t>
            </w:r>
          </w:p>
        </w:tc>
      </w:tr>
    </w:tbl>
    <w:p w14:paraId="4E500260" w14:textId="77777777" w:rsidR="008D32C6" w:rsidRPr="00F3144F" w:rsidRDefault="008D32C6" w:rsidP="008D32C6">
      <w:pPr>
        <w:pStyle w:val="BodyText"/>
        <w:spacing w:before="6"/>
        <w:rPr>
          <w:rFonts w:ascii="Aptos" w:eastAsia="Arial MT" w:hAnsi="Aptos" w:cs="Arial MT"/>
          <w:b w:val="0"/>
          <w:bCs w:val="0"/>
          <w:color w:val="0D0D0D"/>
          <w:sz w:val="22"/>
          <w:szCs w:val="22"/>
        </w:rPr>
      </w:pPr>
    </w:p>
    <w:p w14:paraId="76F11B1C" w14:textId="77777777" w:rsidR="008D32C6" w:rsidRDefault="008D32C6" w:rsidP="008D32C6"/>
    <w:p w14:paraId="04297279" w14:textId="77777777" w:rsidR="008D32C6" w:rsidRDefault="008D32C6" w:rsidP="008D32C6"/>
    <w:p w14:paraId="7ED5CACA" w14:textId="77777777" w:rsidR="004D0DD6" w:rsidRDefault="004D0DD6" w:rsidP="008D32C6"/>
    <w:p w14:paraId="39F8D0E4" w14:textId="1AC31A02" w:rsidR="003B777E" w:rsidRPr="000E5FB9" w:rsidRDefault="00000000" w:rsidP="008D32C6">
      <w:pPr>
        <w:pStyle w:val="Heading2"/>
        <w:rPr>
          <w:rFonts w:ascii="Aptos" w:hAnsi="Aptos"/>
          <w:b/>
          <w:bCs/>
          <w:color w:val="FF0000"/>
          <w:sz w:val="24"/>
          <w:szCs w:val="24"/>
        </w:rPr>
      </w:pPr>
      <w:bookmarkStart w:id="8" w:name="_Toc168584188"/>
      <w:r w:rsidRPr="000E5FB9">
        <w:rPr>
          <w:rFonts w:ascii="Aptos" w:hAnsi="Aptos"/>
          <w:b/>
          <w:bCs/>
          <w:color w:val="FF0000"/>
          <w:sz w:val="24"/>
          <w:szCs w:val="24"/>
        </w:rPr>
        <w:lastRenderedPageBreak/>
        <w:t xml:space="preserve">Ecological transformation of the </w:t>
      </w:r>
      <w:r w:rsidR="009B5839" w:rsidRPr="000E5FB9">
        <w:rPr>
          <w:rFonts w:ascii="Aptos" w:hAnsi="Aptos"/>
          <w:b/>
          <w:bCs/>
          <w:color w:val="FF0000"/>
          <w:sz w:val="24"/>
          <w:szCs w:val="24"/>
        </w:rPr>
        <w:t>single market</w:t>
      </w:r>
      <w:bookmarkEnd w:id="8"/>
    </w:p>
    <w:p w14:paraId="19729E8F" w14:textId="77777777" w:rsidR="003B777E" w:rsidRPr="009B5839" w:rsidRDefault="003B777E" w:rsidP="008D32C6">
      <w:pPr>
        <w:pStyle w:val="BodyText"/>
        <w:rPr>
          <w:rFonts w:ascii="Aptos" w:hAnsi="Aptos"/>
          <w:sz w:val="20"/>
        </w:rPr>
      </w:pP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3B777E" w:rsidRPr="009B5839" w14:paraId="19DA15B5" w14:textId="77777777" w:rsidTr="008D32C6">
        <w:trPr>
          <w:trHeight w:val="494"/>
        </w:trPr>
        <w:tc>
          <w:tcPr>
            <w:tcW w:w="9066" w:type="dxa"/>
            <w:shd w:val="clear" w:color="auto" w:fill="D9D9D9"/>
          </w:tcPr>
          <w:p w14:paraId="07711FB5" w14:textId="77777777" w:rsidR="003B777E" w:rsidRPr="009B5839" w:rsidRDefault="00000000" w:rsidP="008D32C6">
            <w:pPr>
              <w:pStyle w:val="TableParagraph"/>
              <w:spacing w:before="115"/>
              <w:ind w:left="0"/>
              <w:rPr>
                <w:rFonts w:ascii="Aptos" w:hAnsi="Aptos"/>
                <w:b/>
              </w:rPr>
            </w:pPr>
            <w:r w:rsidRPr="009B5839">
              <w:rPr>
                <w:rFonts w:ascii="Aptos" w:hAnsi="Aptos"/>
                <w:b/>
              </w:rPr>
              <w:t>Question</w:t>
            </w:r>
          </w:p>
        </w:tc>
      </w:tr>
      <w:tr w:rsidR="003B777E" w:rsidRPr="009B5839" w14:paraId="38589155" w14:textId="77777777" w:rsidTr="008D32C6">
        <w:trPr>
          <w:trHeight w:val="1516"/>
        </w:trPr>
        <w:tc>
          <w:tcPr>
            <w:tcW w:w="9066" w:type="dxa"/>
          </w:tcPr>
          <w:p w14:paraId="5D91AAF6" w14:textId="630877CF" w:rsidR="003B777E" w:rsidRPr="009B5839" w:rsidRDefault="00F3144F" w:rsidP="008D32C6">
            <w:pPr>
              <w:pStyle w:val="TableParagraph"/>
              <w:spacing w:before="3" w:line="239" w:lineRule="exact"/>
              <w:ind w:left="0"/>
              <w:jc w:val="both"/>
              <w:rPr>
                <w:rFonts w:ascii="Aptos" w:hAnsi="Aptos"/>
                <w:b/>
              </w:rPr>
            </w:pPr>
            <w:r w:rsidRPr="00F3144F">
              <w:rPr>
                <w:rFonts w:ascii="Aptos" w:hAnsi="Aptos"/>
              </w:rPr>
              <w:t xml:space="preserve">The new EU Taxonomy Regulation and relevant directives, such as the Corporate Sustainability Reporting Directive (CSRD), are designed to accelerate the ecological transformation of the Single Market. The instruments are designed to bring about a fundamental change in companies and markets in the member states, prioritising ecological aspects alongside primarily economic objectives. </w:t>
            </w:r>
            <w:r w:rsidRPr="00F3144F">
              <w:rPr>
                <w:rFonts w:ascii="Aptos" w:hAnsi="Aptos"/>
                <w:b/>
                <w:bCs/>
              </w:rPr>
              <w:t>What additional initiatives would you recommend to help the EU achieve its goal of becoming climate-neutral?</w:t>
            </w:r>
          </w:p>
        </w:tc>
      </w:tr>
      <w:tr w:rsidR="003B777E" w:rsidRPr="009B5839" w14:paraId="10E40949" w14:textId="77777777" w:rsidTr="008D32C6">
        <w:trPr>
          <w:trHeight w:val="494"/>
        </w:trPr>
        <w:tc>
          <w:tcPr>
            <w:tcW w:w="9066" w:type="dxa"/>
            <w:shd w:val="clear" w:color="auto" w:fill="D9D9D9"/>
          </w:tcPr>
          <w:p w14:paraId="38CC4E49" w14:textId="75883E0B" w:rsidR="003B777E" w:rsidRPr="009B5839" w:rsidRDefault="00F95277" w:rsidP="008D32C6">
            <w:pPr>
              <w:pStyle w:val="TableParagraph"/>
              <w:spacing w:before="115"/>
              <w:ind w:left="0"/>
              <w:rPr>
                <w:rFonts w:ascii="Aptos" w:hAnsi="Aptos"/>
                <w:b/>
              </w:rPr>
            </w:pPr>
            <w:r>
              <w:rPr>
                <w:rFonts w:ascii="Aptos" w:hAnsi="Aptos"/>
                <w:b/>
              </w:rPr>
              <w:t>Further questions</w:t>
            </w:r>
          </w:p>
        </w:tc>
      </w:tr>
      <w:tr w:rsidR="003B777E" w:rsidRPr="009B5839" w14:paraId="1394A029" w14:textId="77777777" w:rsidTr="008D32C6">
        <w:trPr>
          <w:trHeight w:val="2074"/>
        </w:trPr>
        <w:tc>
          <w:tcPr>
            <w:tcW w:w="9066" w:type="dxa"/>
          </w:tcPr>
          <w:p w14:paraId="0961F149" w14:textId="1EB6E223" w:rsidR="00F27988" w:rsidRPr="00F27988" w:rsidRDefault="00F27988" w:rsidP="00F3144F">
            <w:pPr>
              <w:pStyle w:val="TableParagraph"/>
              <w:numPr>
                <w:ilvl w:val="0"/>
                <w:numId w:val="37"/>
              </w:numPr>
              <w:tabs>
                <w:tab w:val="left" w:pos="831"/>
              </w:tabs>
              <w:spacing w:before="115"/>
              <w:ind w:right="96"/>
              <w:jc w:val="both"/>
              <w:rPr>
                <w:rFonts w:ascii="Aptos" w:hAnsi="Aptos"/>
              </w:rPr>
            </w:pPr>
            <w:r w:rsidRPr="00F27988">
              <w:rPr>
                <w:rFonts w:ascii="Aptos" w:hAnsi="Aptos"/>
              </w:rPr>
              <w:t xml:space="preserve">Please outline your views on the role of the EU Taxonomy Regulation and the CSRD in the greening of the </w:t>
            </w:r>
            <w:r w:rsidR="008915F0">
              <w:rPr>
                <w:rFonts w:ascii="Aptos" w:hAnsi="Aptos"/>
              </w:rPr>
              <w:t>Singel</w:t>
            </w:r>
            <w:r w:rsidRPr="00F27988">
              <w:rPr>
                <w:rFonts w:ascii="Aptos" w:hAnsi="Aptos"/>
              </w:rPr>
              <w:t xml:space="preserve"> market.</w:t>
            </w:r>
          </w:p>
          <w:p w14:paraId="0D7244B4" w14:textId="77777777" w:rsidR="00F27988" w:rsidRPr="00F27988" w:rsidRDefault="00F27988" w:rsidP="00F3144F">
            <w:pPr>
              <w:pStyle w:val="TableParagraph"/>
              <w:numPr>
                <w:ilvl w:val="0"/>
                <w:numId w:val="37"/>
              </w:numPr>
              <w:tabs>
                <w:tab w:val="left" w:pos="831"/>
              </w:tabs>
              <w:spacing w:before="115"/>
              <w:ind w:right="96"/>
              <w:jc w:val="both"/>
              <w:rPr>
                <w:rFonts w:ascii="Aptos" w:hAnsi="Aptos"/>
              </w:rPr>
            </w:pPr>
            <w:r w:rsidRPr="00F27988">
              <w:rPr>
                <w:rFonts w:ascii="Aptos" w:hAnsi="Aptos"/>
              </w:rPr>
              <w:t>How do you intend to ensure that the administrative burden for small, medium-sized and non-profit companies with regard to reporting obligations remains as low as possible?</w:t>
            </w:r>
          </w:p>
          <w:p w14:paraId="67ED3EF1" w14:textId="73C2764B" w:rsidR="003B777E" w:rsidRPr="009B5839" w:rsidRDefault="00F27988" w:rsidP="00F3144F">
            <w:pPr>
              <w:pStyle w:val="TableParagraph"/>
              <w:numPr>
                <w:ilvl w:val="0"/>
                <w:numId w:val="37"/>
              </w:numPr>
              <w:tabs>
                <w:tab w:val="left" w:pos="831"/>
              </w:tabs>
              <w:spacing w:before="115"/>
              <w:ind w:right="96"/>
              <w:jc w:val="both"/>
              <w:rPr>
                <w:rFonts w:ascii="Aptos" w:hAnsi="Aptos"/>
              </w:rPr>
            </w:pPr>
            <w:r w:rsidRPr="00F27988">
              <w:rPr>
                <w:rFonts w:ascii="Aptos" w:hAnsi="Aptos"/>
              </w:rPr>
              <w:t>Are you also planning regulatory initiatives (e.g. further bans) to steer Europe as an industrial location towards climate neutrality?</w:t>
            </w:r>
          </w:p>
        </w:tc>
      </w:tr>
    </w:tbl>
    <w:p w14:paraId="47D0FAFE" w14:textId="77777777" w:rsidR="003B777E" w:rsidRPr="009B5839" w:rsidRDefault="003B777E" w:rsidP="008D32C6">
      <w:pPr>
        <w:pStyle w:val="BodyText"/>
        <w:spacing w:before="6"/>
        <w:rPr>
          <w:rFonts w:ascii="Aptos" w:hAnsi="Aptos"/>
          <w:sz w:val="23"/>
        </w:rPr>
      </w:pPr>
    </w:p>
    <w:tbl>
      <w:tblPr>
        <w:tblStyle w:val="TableNormal1"/>
        <w:tblW w:w="0" w:type="auto"/>
        <w:tblLayout w:type="fixed"/>
        <w:tblLook w:val="01E0" w:firstRow="1" w:lastRow="1" w:firstColumn="1" w:lastColumn="1" w:noHBand="0" w:noVBand="0"/>
      </w:tblPr>
      <w:tblGrid>
        <w:gridCol w:w="9066"/>
      </w:tblGrid>
      <w:tr w:rsidR="00F3144F" w:rsidRPr="009B5839" w14:paraId="05644042" w14:textId="77777777" w:rsidTr="00C83B29">
        <w:trPr>
          <w:trHeight w:val="277"/>
        </w:trPr>
        <w:tc>
          <w:tcPr>
            <w:tcW w:w="9066" w:type="dxa"/>
            <w:shd w:val="clear" w:color="auto" w:fill="D9D9D9"/>
          </w:tcPr>
          <w:p w14:paraId="6B931A49" w14:textId="77777777" w:rsidR="00F3144F" w:rsidRPr="009B5839" w:rsidRDefault="00F3144F" w:rsidP="000858DA">
            <w:pPr>
              <w:pStyle w:val="TableParagraph"/>
              <w:spacing w:line="258" w:lineRule="exact"/>
              <w:ind w:left="0"/>
              <w:rPr>
                <w:rFonts w:ascii="Aptos" w:hAnsi="Aptos"/>
                <w:b/>
                <w:sz w:val="24"/>
              </w:rPr>
            </w:pPr>
            <w:r w:rsidRPr="00273AD5">
              <w:rPr>
                <w:rFonts w:ascii="Aptos" w:hAnsi="Aptos"/>
                <w:b/>
                <w:szCs w:val="20"/>
              </w:rPr>
              <w:t>Background</w:t>
            </w:r>
          </w:p>
        </w:tc>
      </w:tr>
      <w:tr w:rsidR="00F3144F" w:rsidRPr="00F3144F" w14:paraId="4D0C3F4B" w14:textId="77777777" w:rsidTr="00F3144F">
        <w:trPr>
          <w:trHeight w:val="1909"/>
        </w:trPr>
        <w:tc>
          <w:tcPr>
            <w:tcW w:w="9066" w:type="dxa"/>
          </w:tcPr>
          <w:p w14:paraId="7201E071" w14:textId="18A7E808" w:rsidR="00F3144F" w:rsidRPr="00F3144F" w:rsidRDefault="00F3144F" w:rsidP="002A6988">
            <w:pPr>
              <w:pStyle w:val="TableParagraph"/>
              <w:spacing w:before="3" w:line="239" w:lineRule="exact"/>
              <w:ind w:left="0"/>
              <w:jc w:val="both"/>
              <w:rPr>
                <w:rFonts w:ascii="Aptos" w:hAnsi="Aptos"/>
                <w:color w:val="0D0D0D"/>
              </w:rPr>
            </w:pPr>
            <w:r w:rsidRPr="00F3144F">
              <w:rPr>
                <w:rFonts w:ascii="Aptos" w:hAnsi="Aptos"/>
                <w:color w:val="0D0D0D"/>
              </w:rPr>
              <w:t xml:space="preserve">The EU Taxonomy was adopted as a regulation by the European Council and the European Parliament on 12 June 2020. The Taxonomy Regulation defines what constitutes environmentally sustainable investments and expands the scope of the Disclosure Regulation through the Corporate Sustainability Reporting Directive (CSRD). The EU taxonomy is designed to steer financial markets towards environmentally sustainable investments and financial products, thereby accelerating the ecological restructuring of the internal market. The regulation presents an opportunity to channel business models and fresh private capital into sustainable projects. On the other hand, the regulation introduces a significant administrative burden, particularly in terms of data collection and traditional reporting. From the perspective of services of general interest, the focus is on affordable services for EU citizens, such as favourable public mobility, access to affordable housing and energy. Public and municipal companies, which are the main providers of these services, are adamant that environmental objectives must not be at odds with social objectives. In this context, it is crucial to minimise the administrative burden, for instance, in relation to reporting. Another crucial aspect for those involved in the provision of services of general interest is the capacity to plan. This calls for a discussion on the potential for further regulatory initiatives in the direction of climate neutrality, which would place a burden on Europe as an industrial location.  </w:t>
            </w:r>
          </w:p>
        </w:tc>
      </w:tr>
    </w:tbl>
    <w:p w14:paraId="1D08448E" w14:textId="77777777" w:rsidR="003B777E" w:rsidRPr="009B5839" w:rsidRDefault="003B777E">
      <w:pPr>
        <w:rPr>
          <w:rFonts w:ascii="Aptos" w:hAnsi="Aptos"/>
        </w:rPr>
        <w:sectPr w:rsidR="003B777E" w:rsidRPr="009B5839" w:rsidSect="00F76136">
          <w:headerReference w:type="even" r:id="rId10"/>
          <w:headerReference w:type="default" r:id="rId11"/>
          <w:footerReference w:type="even" r:id="rId12"/>
          <w:footerReference w:type="default" r:id="rId13"/>
          <w:headerReference w:type="first" r:id="rId14"/>
          <w:footerReference w:type="first" r:id="rId15"/>
          <w:pgSz w:w="11910" w:h="16840"/>
          <w:pgMar w:top="1418" w:right="1418" w:bottom="1134" w:left="1418" w:header="2268" w:footer="1083" w:gutter="0"/>
          <w:pgNumType w:start="0"/>
          <w:cols w:space="720"/>
          <w:titlePg/>
          <w:docGrid w:linePitch="299"/>
        </w:sectPr>
      </w:pPr>
    </w:p>
    <w:p w14:paraId="791A7C7D" w14:textId="77777777" w:rsidR="00F27988" w:rsidRDefault="00F27988">
      <w:pPr>
        <w:pStyle w:val="BodyText"/>
        <w:spacing w:before="15"/>
        <w:ind w:left="1416"/>
        <w:rPr>
          <w:rFonts w:ascii="Aptos" w:hAnsi="Aptos"/>
          <w:color w:val="E3342C"/>
        </w:rPr>
      </w:pPr>
      <w:bookmarkStart w:id="9" w:name="Comparable_indicators_and_data_basis_for"/>
      <w:bookmarkStart w:id="10" w:name="_bookmark3"/>
      <w:bookmarkEnd w:id="9"/>
      <w:bookmarkEnd w:id="10"/>
    </w:p>
    <w:p w14:paraId="613ABF2B" w14:textId="7F870011" w:rsidR="003B777E" w:rsidRPr="000E5FB9" w:rsidRDefault="00000000" w:rsidP="000E5FB9">
      <w:pPr>
        <w:pStyle w:val="Heading2"/>
        <w:ind w:left="696" w:firstLine="720"/>
        <w:rPr>
          <w:rFonts w:ascii="Aptos" w:hAnsi="Aptos"/>
          <w:b/>
          <w:bCs/>
          <w:color w:val="FF0000"/>
          <w:sz w:val="24"/>
          <w:szCs w:val="24"/>
        </w:rPr>
      </w:pPr>
      <w:bookmarkStart w:id="11" w:name="_Toc168584189"/>
      <w:r w:rsidRPr="000E5FB9">
        <w:rPr>
          <w:rFonts w:ascii="Aptos" w:hAnsi="Aptos"/>
          <w:b/>
          <w:bCs/>
          <w:color w:val="FF0000"/>
          <w:sz w:val="24"/>
          <w:szCs w:val="24"/>
        </w:rPr>
        <w:t>Comparable indicators and data basis for decision-making processes</w:t>
      </w:r>
      <w:bookmarkEnd w:id="11"/>
    </w:p>
    <w:p w14:paraId="0A39BEEF" w14:textId="77777777" w:rsidR="003B777E" w:rsidRPr="009B5839" w:rsidRDefault="003B777E">
      <w:pPr>
        <w:pStyle w:val="BodyText"/>
        <w:spacing w:before="7"/>
        <w:rPr>
          <w:rFonts w:ascii="Aptos" w:hAnsi="Aptos"/>
          <w:sz w:val="23"/>
        </w:rPr>
      </w:pPr>
    </w:p>
    <w:tbl>
      <w:tblPr>
        <w:tblStyle w:val="TableNormal1"/>
        <w:tblW w:w="0" w:type="auto"/>
        <w:tblInd w:w="1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3B777E" w:rsidRPr="009B5839" w14:paraId="18C18B19" w14:textId="77777777" w:rsidTr="00F3144F">
        <w:trPr>
          <w:trHeight w:val="493"/>
        </w:trPr>
        <w:tc>
          <w:tcPr>
            <w:tcW w:w="9066" w:type="dxa"/>
            <w:shd w:val="clear" w:color="auto" w:fill="D9D9D9"/>
          </w:tcPr>
          <w:p w14:paraId="645E8281" w14:textId="77777777" w:rsidR="003B777E" w:rsidRPr="009B5839" w:rsidRDefault="00000000">
            <w:pPr>
              <w:pStyle w:val="TableParagraph"/>
              <w:spacing w:before="115"/>
              <w:rPr>
                <w:rFonts w:ascii="Aptos" w:hAnsi="Aptos"/>
                <w:b/>
              </w:rPr>
            </w:pPr>
            <w:r w:rsidRPr="009B5839">
              <w:rPr>
                <w:rFonts w:ascii="Aptos" w:hAnsi="Aptos"/>
                <w:b/>
              </w:rPr>
              <w:t>Question</w:t>
            </w:r>
          </w:p>
        </w:tc>
      </w:tr>
      <w:tr w:rsidR="003B777E" w:rsidRPr="009B5839" w14:paraId="6A888204" w14:textId="77777777" w:rsidTr="00F3144F">
        <w:trPr>
          <w:trHeight w:val="2260"/>
        </w:trPr>
        <w:tc>
          <w:tcPr>
            <w:tcW w:w="9066" w:type="dxa"/>
          </w:tcPr>
          <w:p w14:paraId="5401F7B3" w14:textId="241E055E" w:rsidR="003B777E" w:rsidRPr="009B5839" w:rsidRDefault="00F27988">
            <w:pPr>
              <w:pStyle w:val="TableParagraph"/>
              <w:spacing w:before="115"/>
              <w:ind w:right="99"/>
              <w:jc w:val="both"/>
              <w:rPr>
                <w:rFonts w:ascii="Aptos" w:hAnsi="Aptos"/>
                <w:b/>
              </w:rPr>
            </w:pPr>
            <w:r w:rsidRPr="00F27988">
              <w:rPr>
                <w:rFonts w:ascii="Aptos" w:hAnsi="Aptos"/>
                <w:color w:val="0D0D0D"/>
              </w:rPr>
              <w:t xml:space="preserve">Comparable indicators and robust data are essential for decision-makers to make the right choices, as they provide an objective basis for assessing problems and the effectiveness of policies. This is of particular importance at the EU level, as it enables the achievement of European objectives and ensures coherent policy-making. Comparable indicators and data are therefore a prerequisite for effective planning, resource allocation and policy development to tackle challenges and promote positive change. </w:t>
            </w:r>
            <w:r w:rsidRPr="00F27988">
              <w:rPr>
                <w:rFonts w:ascii="Aptos" w:hAnsi="Aptos"/>
                <w:b/>
                <w:bCs/>
                <w:color w:val="0D0D0D"/>
              </w:rPr>
              <w:t>How would you like to ensure that urban data is collected across the EU in a quantitative and qualitative manner so that comparable indicators are available for decision-makers and experts?</w:t>
            </w:r>
          </w:p>
        </w:tc>
      </w:tr>
      <w:tr w:rsidR="003B777E" w:rsidRPr="009B5839" w14:paraId="5A3D5C05" w14:textId="77777777" w:rsidTr="00F3144F">
        <w:trPr>
          <w:trHeight w:val="494"/>
        </w:trPr>
        <w:tc>
          <w:tcPr>
            <w:tcW w:w="9066" w:type="dxa"/>
            <w:shd w:val="clear" w:color="auto" w:fill="D9D9D9"/>
          </w:tcPr>
          <w:p w14:paraId="11F0B430" w14:textId="591F6A71" w:rsidR="003B777E" w:rsidRPr="009B5839" w:rsidRDefault="00F95277">
            <w:pPr>
              <w:pStyle w:val="TableParagraph"/>
              <w:spacing w:before="115"/>
              <w:rPr>
                <w:rFonts w:ascii="Aptos" w:hAnsi="Aptos"/>
                <w:b/>
              </w:rPr>
            </w:pPr>
            <w:r>
              <w:rPr>
                <w:rFonts w:ascii="Aptos" w:hAnsi="Aptos"/>
                <w:b/>
              </w:rPr>
              <w:t>Further question</w:t>
            </w:r>
          </w:p>
        </w:tc>
      </w:tr>
      <w:tr w:rsidR="003B777E" w:rsidRPr="009B5839" w14:paraId="54385BE0" w14:textId="77777777" w:rsidTr="00F3144F">
        <w:trPr>
          <w:trHeight w:val="758"/>
        </w:trPr>
        <w:tc>
          <w:tcPr>
            <w:tcW w:w="9066" w:type="dxa"/>
          </w:tcPr>
          <w:p w14:paraId="3F8108B8" w14:textId="5DD1EAF2" w:rsidR="003B777E" w:rsidRPr="009B5839" w:rsidRDefault="00F27988" w:rsidP="00F27988">
            <w:pPr>
              <w:pStyle w:val="TableParagraph"/>
              <w:numPr>
                <w:ilvl w:val="0"/>
                <w:numId w:val="35"/>
              </w:numPr>
              <w:spacing w:line="250" w:lineRule="exact"/>
              <w:rPr>
                <w:rFonts w:ascii="Aptos" w:hAnsi="Aptos"/>
              </w:rPr>
            </w:pPr>
            <w:r w:rsidRPr="00F27988">
              <w:rPr>
                <w:rFonts w:ascii="Aptos" w:hAnsi="Aptos"/>
              </w:rPr>
              <w:t>Data is not only a prerequisite for effective decision-making; it can also contain sensitive information. How do you want to ensure that sensitive critical infrastructure data remains in the public and municipal hands?</w:t>
            </w:r>
          </w:p>
        </w:tc>
      </w:tr>
      <w:tr w:rsidR="00F3144F" w:rsidRPr="009B5839" w14:paraId="42FF12E0" w14:textId="77777777" w:rsidTr="00F314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7"/>
        </w:trPr>
        <w:tc>
          <w:tcPr>
            <w:tcW w:w="9066" w:type="dxa"/>
          </w:tcPr>
          <w:p w14:paraId="56F9855C" w14:textId="77777777" w:rsidR="00F3144F" w:rsidRDefault="00F3144F"/>
          <w:tbl>
            <w:tblPr>
              <w:tblStyle w:val="TableNormal1"/>
              <w:tblW w:w="0" w:type="auto"/>
              <w:tblLayout w:type="fixed"/>
              <w:tblLook w:val="01E0" w:firstRow="1" w:lastRow="1" w:firstColumn="1" w:lastColumn="1" w:noHBand="0" w:noVBand="0"/>
            </w:tblPr>
            <w:tblGrid>
              <w:gridCol w:w="9066"/>
            </w:tblGrid>
            <w:tr w:rsidR="00F3144F" w:rsidRPr="00E02801" w14:paraId="33896AE0" w14:textId="77777777" w:rsidTr="00470246">
              <w:trPr>
                <w:trHeight w:val="277"/>
              </w:trPr>
              <w:tc>
                <w:tcPr>
                  <w:tcW w:w="9066" w:type="dxa"/>
                  <w:shd w:val="clear" w:color="auto" w:fill="D9D9D9"/>
                </w:tcPr>
                <w:p w14:paraId="5C8348B7" w14:textId="77777777" w:rsidR="00F3144F" w:rsidRPr="00E02801" w:rsidRDefault="00F3144F" w:rsidP="000858DA">
                  <w:pPr>
                    <w:pStyle w:val="TableParagraph"/>
                    <w:spacing w:line="258" w:lineRule="exact"/>
                    <w:ind w:left="0"/>
                    <w:rPr>
                      <w:rFonts w:ascii="Aptos" w:hAnsi="Aptos"/>
                      <w:b/>
                      <w:sz w:val="24"/>
                    </w:rPr>
                  </w:pPr>
                  <w:r w:rsidRPr="004D0DD6">
                    <w:rPr>
                      <w:rFonts w:ascii="Aptos" w:hAnsi="Aptos"/>
                      <w:b/>
                      <w:szCs w:val="20"/>
                    </w:rPr>
                    <w:t>Background</w:t>
                  </w:r>
                </w:p>
              </w:tc>
            </w:tr>
            <w:tr w:rsidR="00F3144F" w:rsidRPr="00E02801" w14:paraId="5BB5AE49" w14:textId="77777777" w:rsidTr="00470246">
              <w:trPr>
                <w:trHeight w:val="1516"/>
              </w:trPr>
              <w:tc>
                <w:tcPr>
                  <w:tcW w:w="9066" w:type="dxa"/>
                </w:tcPr>
                <w:p w14:paraId="39D5D769" w14:textId="591C1D0E" w:rsidR="00F3144F" w:rsidRPr="00E02801" w:rsidRDefault="00A27B70" w:rsidP="002A6988">
                  <w:pPr>
                    <w:pStyle w:val="TableParagraph"/>
                    <w:spacing w:before="3" w:line="239" w:lineRule="exact"/>
                    <w:ind w:left="0"/>
                    <w:jc w:val="both"/>
                    <w:rPr>
                      <w:rFonts w:ascii="Aptos" w:hAnsi="Aptos"/>
                      <w:color w:val="0D0D0D"/>
                    </w:rPr>
                  </w:pPr>
                  <w:r w:rsidRPr="00A27B70">
                    <w:rPr>
                      <w:rFonts w:ascii="Aptos" w:hAnsi="Aptos"/>
                      <w:color w:val="0D0D0D"/>
                    </w:rPr>
                    <w:t xml:space="preserve">Comparable indicators and data in the EU are crucial for decision-making processes, as they enable the situations and needs of the various member states and regions to be recorded and evaluated. The use of harmonised data facilitates the coordination, monitoring and evaluation of political objectives, measures and results. </w:t>
                  </w:r>
                  <w:r w:rsidR="00CD384E" w:rsidRPr="00CD384E">
                    <w:rPr>
                      <w:rFonts w:ascii="Aptos" w:hAnsi="Aptos"/>
                      <w:color w:val="0D0D0D"/>
                    </w:rPr>
                    <w:t>In addition, comparable data can facilitate knowledge sharing and cooperation.</w:t>
                  </w:r>
                  <w:r w:rsidRPr="00A27B70">
                    <w:rPr>
                      <w:rFonts w:ascii="Aptos" w:hAnsi="Aptos"/>
                      <w:color w:val="0D0D0D"/>
                    </w:rPr>
                    <w:t xml:space="preserve"> Comparable data is therefore not only important for scientific discourse, but also contributes to effective planning, resource allocation and policy-making in Europe. In this context, it is not only the comparable quality of indicators and databases that is important, but also initiatives to protect sensitive data in Europe, in particular data concerning critical infrastructure. Infrastructures such as data for the operation of power plants or public transport are often provided by public or municipal companies. In light of the above, it is crucial that these entities are able to secure the resources they require to safeguard the infrastructure.</w:t>
                  </w:r>
                </w:p>
              </w:tc>
            </w:tr>
          </w:tbl>
          <w:p w14:paraId="6FF91DF4" w14:textId="7B17D640" w:rsidR="00F3144F" w:rsidRPr="009B5839" w:rsidRDefault="00F3144F" w:rsidP="00F3144F">
            <w:pPr>
              <w:pStyle w:val="TableParagraph"/>
              <w:spacing w:line="258" w:lineRule="exact"/>
              <w:rPr>
                <w:rFonts w:ascii="Aptos" w:hAnsi="Aptos"/>
                <w:b/>
                <w:sz w:val="24"/>
              </w:rPr>
            </w:pPr>
          </w:p>
        </w:tc>
      </w:tr>
    </w:tbl>
    <w:p w14:paraId="4D30DD10" w14:textId="77777777" w:rsidR="00F27988" w:rsidRDefault="00F27988">
      <w:pPr>
        <w:rPr>
          <w:rFonts w:ascii="Aptos" w:hAnsi="Aptos"/>
          <w:sz w:val="20"/>
        </w:rPr>
      </w:pPr>
    </w:p>
    <w:p w14:paraId="376C180B" w14:textId="77777777" w:rsidR="008D32C6" w:rsidRDefault="008D32C6">
      <w:pPr>
        <w:rPr>
          <w:rFonts w:ascii="Aptos" w:hAnsi="Aptos"/>
          <w:sz w:val="20"/>
        </w:rPr>
      </w:pPr>
    </w:p>
    <w:p w14:paraId="42BE954A" w14:textId="77777777" w:rsidR="00F27988" w:rsidRDefault="00F27988">
      <w:pPr>
        <w:rPr>
          <w:rFonts w:ascii="Aptos" w:hAnsi="Aptos"/>
          <w:sz w:val="20"/>
        </w:rPr>
      </w:pPr>
    </w:p>
    <w:p w14:paraId="495D9E03" w14:textId="77777777" w:rsidR="00F27988" w:rsidRDefault="00F27988">
      <w:pPr>
        <w:rPr>
          <w:rFonts w:ascii="Aptos" w:hAnsi="Aptos"/>
          <w:sz w:val="20"/>
        </w:rPr>
      </w:pPr>
    </w:p>
    <w:p w14:paraId="0559C4C5" w14:textId="77777777" w:rsidR="00F27988" w:rsidRDefault="00F27988">
      <w:pPr>
        <w:rPr>
          <w:rFonts w:ascii="Aptos" w:hAnsi="Aptos"/>
          <w:sz w:val="20"/>
        </w:rPr>
      </w:pPr>
    </w:p>
    <w:p w14:paraId="23FC60EB" w14:textId="77777777" w:rsidR="00F3144F" w:rsidRDefault="00F3144F">
      <w:pPr>
        <w:rPr>
          <w:rFonts w:ascii="Aptos" w:hAnsi="Aptos"/>
          <w:sz w:val="20"/>
        </w:rPr>
      </w:pPr>
    </w:p>
    <w:p w14:paraId="509A277D" w14:textId="77777777" w:rsidR="00F3144F" w:rsidRDefault="00F3144F">
      <w:pPr>
        <w:rPr>
          <w:rFonts w:ascii="Aptos" w:hAnsi="Aptos"/>
          <w:sz w:val="20"/>
        </w:rPr>
      </w:pPr>
    </w:p>
    <w:p w14:paraId="581676B0" w14:textId="77777777" w:rsidR="00F3144F" w:rsidRDefault="00F3144F">
      <w:pPr>
        <w:rPr>
          <w:rFonts w:ascii="Aptos" w:hAnsi="Aptos"/>
          <w:sz w:val="20"/>
        </w:rPr>
      </w:pPr>
    </w:p>
    <w:p w14:paraId="12B82971" w14:textId="77777777" w:rsidR="00F3144F" w:rsidRDefault="00F3144F">
      <w:pPr>
        <w:rPr>
          <w:rFonts w:ascii="Aptos" w:hAnsi="Aptos"/>
          <w:sz w:val="20"/>
        </w:rPr>
      </w:pPr>
    </w:p>
    <w:p w14:paraId="749C7E8F" w14:textId="77777777" w:rsidR="00F27988" w:rsidRDefault="00F27988">
      <w:pPr>
        <w:rPr>
          <w:rFonts w:ascii="Aptos" w:hAnsi="Aptos"/>
          <w:sz w:val="20"/>
        </w:rPr>
      </w:pPr>
    </w:p>
    <w:p w14:paraId="033DDB2F" w14:textId="77777777" w:rsidR="00A27B70" w:rsidRDefault="00A27B70">
      <w:pPr>
        <w:rPr>
          <w:rFonts w:ascii="Aptos" w:hAnsi="Aptos"/>
          <w:sz w:val="20"/>
        </w:rPr>
      </w:pPr>
    </w:p>
    <w:p w14:paraId="7A437195" w14:textId="77777777" w:rsidR="00A27B70" w:rsidRDefault="00A27B70">
      <w:pPr>
        <w:rPr>
          <w:rFonts w:ascii="Aptos" w:hAnsi="Aptos"/>
          <w:sz w:val="20"/>
        </w:rPr>
      </w:pPr>
    </w:p>
    <w:p w14:paraId="4F9976AD" w14:textId="77777777" w:rsidR="00A27B70" w:rsidRDefault="00A27B70">
      <w:pPr>
        <w:rPr>
          <w:rFonts w:ascii="Aptos" w:hAnsi="Aptos"/>
          <w:sz w:val="20"/>
        </w:rPr>
      </w:pPr>
    </w:p>
    <w:p w14:paraId="0DE6B501" w14:textId="77777777" w:rsidR="00A27B70" w:rsidRDefault="00A27B70">
      <w:pPr>
        <w:rPr>
          <w:rFonts w:ascii="Aptos" w:hAnsi="Aptos"/>
          <w:sz w:val="20"/>
        </w:rPr>
      </w:pPr>
    </w:p>
    <w:p w14:paraId="1E82AAE9" w14:textId="77777777" w:rsidR="00A27B70" w:rsidRDefault="00A27B70">
      <w:pPr>
        <w:rPr>
          <w:rFonts w:ascii="Aptos" w:hAnsi="Aptos"/>
          <w:sz w:val="20"/>
        </w:rPr>
      </w:pPr>
    </w:p>
    <w:p w14:paraId="521E9213" w14:textId="77777777" w:rsidR="00A27B70" w:rsidRDefault="00A27B70">
      <w:pPr>
        <w:rPr>
          <w:rFonts w:ascii="Aptos" w:hAnsi="Aptos"/>
          <w:sz w:val="20"/>
        </w:rPr>
      </w:pPr>
    </w:p>
    <w:p w14:paraId="40389DFF" w14:textId="77777777" w:rsidR="00A27B70" w:rsidRDefault="00A27B70">
      <w:pPr>
        <w:rPr>
          <w:rFonts w:ascii="Aptos" w:hAnsi="Aptos"/>
          <w:sz w:val="20"/>
        </w:rPr>
      </w:pPr>
    </w:p>
    <w:p w14:paraId="696011E8" w14:textId="77777777" w:rsidR="00A27B70" w:rsidRDefault="00A27B70">
      <w:pPr>
        <w:rPr>
          <w:rFonts w:ascii="Aptos" w:hAnsi="Aptos"/>
          <w:sz w:val="20"/>
        </w:rPr>
      </w:pPr>
    </w:p>
    <w:p w14:paraId="6A80743C" w14:textId="77777777" w:rsidR="00A27B70" w:rsidRPr="009B5839" w:rsidRDefault="00A27B70">
      <w:pPr>
        <w:rPr>
          <w:rFonts w:ascii="Aptos" w:hAnsi="Aptos"/>
          <w:sz w:val="20"/>
        </w:rPr>
      </w:pPr>
    </w:p>
    <w:p w14:paraId="10F4CB37" w14:textId="77777777" w:rsidR="003B777E" w:rsidRPr="009B5839" w:rsidRDefault="003B777E" w:rsidP="00A27B70">
      <w:pPr>
        <w:spacing w:before="10"/>
        <w:ind w:left="1418"/>
        <w:rPr>
          <w:rFonts w:ascii="Aptos" w:hAnsi="Aptos"/>
          <w:sz w:val="27"/>
        </w:rPr>
      </w:pPr>
    </w:p>
    <w:p w14:paraId="2C82D147" w14:textId="77777777" w:rsidR="00F27988" w:rsidRDefault="00F27988" w:rsidP="00F76136">
      <w:pPr>
        <w:pStyle w:val="BodyText"/>
        <w:rPr>
          <w:rFonts w:ascii="Aptos" w:hAnsi="Aptos"/>
          <w:color w:val="E3342C"/>
        </w:rPr>
      </w:pPr>
      <w:bookmarkStart w:id="12" w:name="Customs_circumvention_constructions_in_o"/>
      <w:bookmarkStart w:id="13" w:name="_bookmark4"/>
      <w:bookmarkEnd w:id="12"/>
      <w:bookmarkEnd w:id="13"/>
    </w:p>
    <w:p w14:paraId="6507FCFB" w14:textId="3817DD13" w:rsidR="00F27988" w:rsidRPr="000E5FB9" w:rsidRDefault="00522880" w:rsidP="00F76136">
      <w:pPr>
        <w:pStyle w:val="Heading2"/>
        <w:rPr>
          <w:rFonts w:ascii="Aptos" w:hAnsi="Aptos"/>
          <w:b/>
          <w:bCs/>
          <w:color w:val="FF0000"/>
          <w:sz w:val="24"/>
          <w:szCs w:val="24"/>
        </w:rPr>
      </w:pPr>
      <w:bookmarkStart w:id="14" w:name="_Toc168584190"/>
      <w:bookmarkStart w:id="15" w:name="_Hlk170380863"/>
      <w:r w:rsidRPr="000E5FB9">
        <w:rPr>
          <w:rFonts w:ascii="Aptos" w:hAnsi="Aptos"/>
          <w:b/>
          <w:bCs/>
          <w:color w:val="FF0000"/>
          <w:sz w:val="24"/>
          <w:szCs w:val="24"/>
        </w:rPr>
        <w:t>Constructions to circumvent customs duties in online trade</w:t>
      </w:r>
      <w:bookmarkEnd w:id="14"/>
    </w:p>
    <w:p w14:paraId="50CF7274" w14:textId="77777777" w:rsidR="00522880" w:rsidRPr="009B5839" w:rsidRDefault="00522880" w:rsidP="00A27B70">
      <w:pPr>
        <w:pStyle w:val="BodyText"/>
        <w:ind w:left="1418"/>
        <w:rPr>
          <w:rFonts w:ascii="Aptos" w:hAnsi="Aptos"/>
        </w:rPr>
      </w:pP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3B777E" w:rsidRPr="009B5839" w14:paraId="09665ED9" w14:textId="77777777" w:rsidTr="00F76136">
        <w:trPr>
          <w:trHeight w:val="493"/>
        </w:trPr>
        <w:tc>
          <w:tcPr>
            <w:tcW w:w="9066" w:type="dxa"/>
            <w:shd w:val="clear" w:color="auto" w:fill="D9D9D9"/>
          </w:tcPr>
          <w:p w14:paraId="66C407A6" w14:textId="77777777" w:rsidR="003B777E" w:rsidRPr="009B5839" w:rsidRDefault="00000000" w:rsidP="001A4607">
            <w:pPr>
              <w:pStyle w:val="TableParagraph"/>
              <w:spacing w:before="115"/>
              <w:rPr>
                <w:rFonts w:ascii="Aptos" w:hAnsi="Aptos"/>
                <w:b/>
              </w:rPr>
            </w:pPr>
            <w:r w:rsidRPr="009B5839">
              <w:rPr>
                <w:rFonts w:ascii="Aptos" w:hAnsi="Aptos"/>
                <w:b/>
              </w:rPr>
              <w:t>Question</w:t>
            </w:r>
          </w:p>
        </w:tc>
      </w:tr>
      <w:tr w:rsidR="003B777E" w:rsidRPr="009B5839" w14:paraId="4820086C" w14:textId="77777777" w:rsidTr="00F76136">
        <w:trPr>
          <w:trHeight w:val="2069"/>
        </w:trPr>
        <w:tc>
          <w:tcPr>
            <w:tcW w:w="9066" w:type="dxa"/>
          </w:tcPr>
          <w:p w14:paraId="375161C1" w14:textId="77479227" w:rsidR="003B777E" w:rsidRPr="009B5839" w:rsidRDefault="00F27988" w:rsidP="00F5410A">
            <w:pPr>
              <w:pStyle w:val="TableParagraph"/>
              <w:spacing w:line="259" w:lineRule="auto"/>
              <w:ind w:left="0" w:right="97"/>
              <w:jc w:val="both"/>
              <w:rPr>
                <w:rFonts w:ascii="Aptos" w:hAnsi="Aptos"/>
                <w:b/>
              </w:rPr>
            </w:pPr>
            <w:r w:rsidRPr="00F27988">
              <w:rPr>
                <w:rFonts w:ascii="Aptos" w:hAnsi="Aptos"/>
                <w:spacing w:val="-1"/>
              </w:rPr>
              <w:t>In recent years, the turnover of online trade in the European single market has grown consistently. The industrial policy of third countries is designed to facilitate the sale of products purchased online in Europe, which places pressure on</w:t>
            </w:r>
            <w:r w:rsidR="009642E0">
              <w:rPr>
                <w:rFonts w:ascii="Aptos" w:hAnsi="Aptos"/>
                <w:spacing w:val="-1"/>
              </w:rPr>
              <w:t xml:space="preserve"> the</w:t>
            </w:r>
            <w:r w:rsidRPr="00F27988">
              <w:rPr>
                <w:rFonts w:ascii="Aptos" w:hAnsi="Aptos"/>
                <w:spacing w:val="-1"/>
              </w:rPr>
              <w:t xml:space="preserve"> European industry. Third-country suppliers have developed more efficient methods of evading customs duties and Value Added Tax. For instance, Asian suppliers circumvent certain thresholds by splitting their deliveries into small packages. </w:t>
            </w:r>
            <w:r w:rsidRPr="00F27988">
              <w:rPr>
                <w:rFonts w:ascii="Aptos" w:hAnsi="Aptos"/>
                <w:b/>
                <w:bCs/>
                <w:spacing w:val="-1"/>
              </w:rPr>
              <w:t>Please outline your plans to combat duty and VAT fraud in online trade with third countries</w:t>
            </w:r>
            <w:r>
              <w:rPr>
                <w:rFonts w:ascii="Aptos" w:hAnsi="Aptos"/>
                <w:b/>
                <w:bCs/>
                <w:spacing w:val="-1"/>
              </w:rPr>
              <w:t>?</w:t>
            </w:r>
          </w:p>
        </w:tc>
      </w:tr>
      <w:tr w:rsidR="003B777E" w:rsidRPr="009B5839" w14:paraId="03453479" w14:textId="77777777" w:rsidTr="00F76136">
        <w:trPr>
          <w:trHeight w:val="494"/>
        </w:trPr>
        <w:tc>
          <w:tcPr>
            <w:tcW w:w="9066" w:type="dxa"/>
            <w:shd w:val="clear" w:color="auto" w:fill="D9D9D9"/>
          </w:tcPr>
          <w:p w14:paraId="0FEFF2E0" w14:textId="78045435" w:rsidR="003B777E" w:rsidRPr="009B5839" w:rsidRDefault="001A4607" w:rsidP="00F5410A">
            <w:pPr>
              <w:pStyle w:val="TableParagraph"/>
              <w:spacing w:before="115"/>
              <w:ind w:left="0"/>
              <w:rPr>
                <w:rFonts w:ascii="Aptos" w:hAnsi="Aptos"/>
                <w:b/>
              </w:rPr>
            </w:pPr>
            <w:r>
              <w:rPr>
                <w:rFonts w:ascii="Aptos" w:hAnsi="Aptos"/>
                <w:b/>
              </w:rPr>
              <w:t xml:space="preserve">  </w:t>
            </w:r>
            <w:r w:rsidR="00F95277">
              <w:rPr>
                <w:rFonts w:ascii="Aptos" w:hAnsi="Aptos"/>
                <w:b/>
              </w:rPr>
              <w:t>Further question</w:t>
            </w:r>
          </w:p>
        </w:tc>
      </w:tr>
      <w:tr w:rsidR="003B777E" w:rsidRPr="009B5839" w14:paraId="00044DD8" w14:textId="77777777" w:rsidTr="00F76136">
        <w:trPr>
          <w:trHeight w:val="518"/>
        </w:trPr>
        <w:tc>
          <w:tcPr>
            <w:tcW w:w="9066" w:type="dxa"/>
          </w:tcPr>
          <w:p w14:paraId="10FAC92C" w14:textId="4B3180E8" w:rsidR="003B777E" w:rsidRPr="009B5839" w:rsidRDefault="00F27988" w:rsidP="001A4607">
            <w:pPr>
              <w:pStyle w:val="TableParagraph"/>
              <w:numPr>
                <w:ilvl w:val="0"/>
                <w:numId w:val="35"/>
              </w:numPr>
              <w:spacing w:before="120" w:after="120" w:line="250" w:lineRule="exact"/>
              <w:ind w:left="834" w:hanging="363"/>
              <w:rPr>
                <w:rFonts w:ascii="Aptos" w:hAnsi="Aptos"/>
              </w:rPr>
            </w:pPr>
            <w:r w:rsidRPr="00F27988">
              <w:rPr>
                <w:rFonts w:ascii="Aptos" w:hAnsi="Aptos"/>
              </w:rPr>
              <w:t>How can customs authorities be given greater capacity and control powers?</w:t>
            </w:r>
          </w:p>
        </w:tc>
      </w:tr>
    </w:tbl>
    <w:p w14:paraId="402B0C12" w14:textId="77777777" w:rsidR="003B777E" w:rsidRPr="009B5839" w:rsidRDefault="003B777E" w:rsidP="00A27B70">
      <w:pPr>
        <w:pStyle w:val="BodyText"/>
        <w:spacing w:before="7"/>
        <w:ind w:left="1418"/>
        <w:rPr>
          <w:rFonts w:ascii="Aptos" w:hAnsi="Aptos"/>
          <w:sz w:val="23"/>
        </w:rPr>
      </w:pPr>
    </w:p>
    <w:tbl>
      <w:tblPr>
        <w:tblStyle w:val="TableNormal1"/>
        <w:tblW w:w="10492" w:type="dxa"/>
        <w:tblLayout w:type="fixed"/>
        <w:tblLook w:val="04A0" w:firstRow="1" w:lastRow="0" w:firstColumn="1" w:lastColumn="0" w:noHBand="0" w:noVBand="1"/>
      </w:tblPr>
      <w:tblGrid>
        <w:gridCol w:w="10492"/>
      </w:tblGrid>
      <w:tr w:rsidR="00A27B70" w:rsidRPr="009B5839" w14:paraId="54DB4BFC" w14:textId="77777777" w:rsidTr="00EA071B">
        <w:trPr>
          <w:trHeight w:val="277"/>
        </w:trPr>
        <w:tc>
          <w:tcPr>
            <w:tcW w:w="10492" w:type="dxa"/>
          </w:tcPr>
          <w:tbl>
            <w:tblPr>
              <w:tblStyle w:val="TableNormal1"/>
              <w:tblW w:w="0" w:type="auto"/>
              <w:tblLayout w:type="fixed"/>
              <w:tblLook w:val="01E0" w:firstRow="1" w:lastRow="1" w:firstColumn="1" w:lastColumn="1" w:noHBand="0" w:noVBand="0"/>
            </w:tblPr>
            <w:tblGrid>
              <w:gridCol w:w="9066"/>
            </w:tblGrid>
            <w:tr w:rsidR="00A27B70" w:rsidRPr="00E02801" w14:paraId="240D4A6B" w14:textId="77777777" w:rsidTr="00EA071B">
              <w:trPr>
                <w:trHeight w:val="277"/>
              </w:trPr>
              <w:tc>
                <w:tcPr>
                  <w:tcW w:w="9066" w:type="dxa"/>
                  <w:shd w:val="clear" w:color="auto" w:fill="D9D9D9"/>
                </w:tcPr>
                <w:p w14:paraId="2F09BFBC" w14:textId="77777777" w:rsidR="00A27B70" w:rsidRPr="00E02801" w:rsidRDefault="00A27B70" w:rsidP="00F76136">
                  <w:pPr>
                    <w:pStyle w:val="TableParagraph"/>
                    <w:spacing w:line="258" w:lineRule="exact"/>
                    <w:ind w:left="0"/>
                    <w:rPr>
                      <w:rFonts w:ascii="Aptos" w:hAnsi="Aptos"/>
                      <w:b/>
                      <w:sz w:val="24"/>
                    </w:rPr>
                  </w:pPr>
                  <w:r w:rsidRPr="004D0DD6">
                    <w:rPr>
                      <w:rFonts w:ascii="Aptos" w:hAnsi="Aptos"/>
                      <w:b/>
                      <w:szCs w:val="20"/>
                    </w:rPr>
                    <w:t>Background</w:t>
                  </w:r>
                </w:p>
              </w:tc>
            </w:tr>
            <w:tr w:rsidR="00A27B70" w:rsidRPr="00E02801" w14:paraId="0E525930" w14:textId="77777777" w:rsidTr="00EA071B">
              <w:trPr>
                <w:trHeight w:val="1697"/>
              </w:trPr>
              <w:tc>
                <w:tcPr>
                  <w:tcW w:w="9066" w:type="dxa"/>
                </w:tcPr>
                <w:p w14:paraId="2CECAA69" w14:textId="265BA694" w:rsidR="00A27B70" w:rsidRPr="00E02801" w:rsidRDefault="00A27B70" w:rsidP="00F5410A">
                  <w:pPr>
                    <w:pStyle w:val="TableParagraph"/>
                    <w:spacing w:before="3" w:line="239" w:lineRule="exact"/>
                    <w:ind w:left="-7"/>
                    <w:jc w:val="both"/>
                    <w:rPr>
                      <w:rFonts w:ascii="Aptos" w:hAnsi="Aptos"/>
                      <w:color w:val="0D0D0D"/>
                    </w:rPr>
                  </w:pPr>
                  <w:r w:rsidRPr="00A27B70">
                    <w:rPr>
                      <w:rFonts w:ascii="Aptos" w:hAnsi="Aptos"/>
                      <w:color w:val="0D0D0D"/>
                    </w:rPr>
                    <w:t>The importance of online trade has increased steadily in recent years, placing pressure on many players in the European economy. One particular challenge is the practice of many suppliers from third countries of avoiding customs duties and sales taxes by various methods. These practices have been refined and optimised over time. For example, Asian suppliers deliberately exploit thresholds by dividing their deliveries into smaller packages in order to remain below the customs exemption limit and thus avoid additional costs. Such practices not only lead to unfair competition, but also result in significant tax losses for EU member states. A comprehensive strategy is needed to curb tax and VAT fraud in online trade with third countries. In this context, increased controls and the introduction of an automated system for monitoring shipments to detect suspicious patterns at an early stage should be considered. Increased cooperation with international customs and tax authorities could also help to combat fraudulent activities more effectively. Furthermore, the implementation of uniform EU-wide regulations on the taxation of online purchases from third countries would be a prudent measure to address existing loopholes and ensure fairer competition. From the perspective of essential services,</w:t>
                  </w:r>
                  <w:r w:rsidR="009642E0">
                    <w:rPr>
                      <w:rFonts w:ascii="Aptos" w:hAnsi="Aptos"/>
                      <w:color w:val="0D0D0D"/>
                    </w:rPr>
                    <w:t xml:space="preserve"> a</w:t>
                  </w:r>
                  <w:r w:rsidRPr="00A27B70">
                    <w:rPr>
                      <w:rFonts w:ascii="Aptos" w:hAnsi="Aptos"/>
                      <w:color w:val="0D0D0D"/>
                    </w:rPr>
                    <w:t xml:space="preserve"> more stringent regulation would be beneficial to ensure that the public sector receives the funds it needs to maintain high-quality public services through taxes and levies.   </w:t>
                  </w:r>
                </w:p>
              </w:tc>
            </w:tr>
          </w:tbl>
          <w:p w14:paraId="08342E27" w14:textId="77777777" w:rsidR="00A27B70" w:rsidRPr="009B5839" w:rsidRDefault="00A27B70" w:rsidP="00A27B70">
            <w:pPr>
              <w:pStyle w:val="TableParagraph"/>
              <w:spacing w:line="258" w:lineRule="exact"/>
              <w:ind w:left="1418"/>
              <w:rPr>
                <w:rFonts w:ascii="Aptos" w:hAnsi="Aptos"/>
                <w:b/>
                <w:sz w:val="24"/>
              </w:rPr>
            </w:pPr>
          </w:p>
        </w:tc>
      </w:tr>
      <w:bookmarkEnd w:id="15"/>
    </w:tbl>
    <w:p w14:paraId="4893FD71" w14:textId="77777777" w:rsidR="003B777E" w:rsidRPr="009B5839" w:rsidRDefault="003B777E">
      <w:pPr>
        <w:rPr>
          <w:rFonts w:ascii="Aptos" w:hAnsi="Aptos"/>
        </w:rPr>
        <w:sectPr w:rsidR="003B777E" w:rsidRPr="009B5839" w:rsidSect="00F76136">
          <w:pgSz w:w="11910" w:h="16840"/>
          <w:pgMar w:top="1418" w:right="1418" w:bottom="1134" w:left="1418" w:header="472" w:footer="1083" w:gutter="0"/>
          <w:cols w:space="720"/>
          <w:docGrid w:linePitch="299"/>
        </w:sectPr>
      </w:pPr>
    </w:p>
    <w:p w14:paraId="706EC093" w14:textId="77777777" w:rsidR="003B777E" w:rsidRPr="009B5839" w:rsidRDefault="003B777E">
      <w:pPr>
        <w:rPr>
          <w:rFonts w:ascii="Aptos" w:hAnsi="Aptos"/>
          <w:sz w:val="20"/>
        </w:rPr>
      </w:pPr>
    </w:p>
    <w:p w14:paraId="63DEB026" w14:textId="77777777" w:rsidR="003B777E" w:rsidRPr="009B5839" w:rsidRDefault="003B777E">
      <w:pPr>
        <w:spacing w:before="4"/>
        <w:rPr>
          <w:rFonts w:ascii="Aptos" w:hAnsi="Aptos"/>
          <w:sz w:val="21"/>
        </w:rPr>
      </w:pPr>
    </w:p>
    <w:p w14:paraId="1CE69F2F" w14:textId="77777777" w:rsidR="00F76136" w:rsidRDefault="00F76136" w:rsidP="00F76136">
      <w:pPr>
        <w:pStyle w:val="Heading2"/>
        <w:rPr>
          <w:rFonts w:ascii="Aptos" w:hAnsi="Aptos"/>
          <w:b/>
          <w:bCs/>
          <w:color w:val="FF0000"/>
          <w:sz w:val="24"/>
          <w:szCs w:val="24"/>
        </w:rPr>
      </w:pPr>
      <w:bookmarkStart w:id="16" w:name="Distortion_of_competition_due_to_importe"/>
      <w:bookmarkStart w:id="17" w:name="_bookmark5"/>
      <w:bookmarkStart w:id="18" w:name="_Toc168584191"/>
      <w:bookmarkStart w:id="19" w:name="_Hlk170381406"/>
      <w:bookmarkEnd w:id="16"/>
      <w:bookmarkEnd w:id="17"/>
    </w:p>
    <w:p w14:paraId="71189F9B" w14:textId="0CF48D8A" w:rsidR="003B777E" w:rsidRDefault="00000000" w:rsidP="00F76136">
      <w:pPr>
        <w:pStyle w:val="Heading2"/>
        <w:rPr>
          <w:rFonts w:ascii="Aptos" w:hAnsi="Aptos"/>
          <w:b/>
          <w:bCs/>
          <w:color w:val="FF0000"/>
          <w:sz w:val="24"/>
          <w:szCs w:val="24"/>
        </w:rPr>
      </w:pPr>
      <w:r w:rsidRPr="000E5FB9">
        <w:rPr>
          <w:rFonts w:ascii="Aptos" w:hAnsi="Aptos"/>
          <w:b/>
          <w:bCs/>
          <w:color w:val="FF0000"/>
          <w:sz w:val="24"/>
          <w:szCs w:val="24"/>
        </w:rPr>
        <w:t xml:space="preserve">Distortion of competition due to imported products from third countries </w:t>
      </w:r>
      <w:r w:rsidR="002F336D">
        <w:rPr>
          <w:rFonts w:ascii="Aptos" w:hAnsi="Aptos"/>
          <w:b/>
          <w:bCs/>
          <w:color w:val="FF0000"/>
          <w:sz w:val="24"/>
          <w:szCs w:val="24"/>
        </w:rPr>
        <w:t>–</w:t>
      </w:r>
      <w:r w:rsidRPr="000E5FB9">
        <w:rPr>
          <w:rFonts w:ascii="Aptos" w:hAnsi="Aptos"/>
          <w:b/>
          <w:bCs/>
          <w:color w:val="FF0000"/>
          <w:sz w:val="24"/>
          <w:szCs w:val="24"/>
        </w:rPr>
        <w:t xml:space="preserve"> CBAM</w:t>
      </w:r>
      <w:bookmarkEnd w:id="18"/>
    </w:p>
    <w:p w14:paraId="777E4635" w14:textId="77777777" w:rsidR="00F76136" w:rsidRPr="00F76136" w:rsidRDefault="00F76136" w:rsidP="00F76136"/>
    <w:p w14:paraId="7277FE17" w14:textId="77777777" w:rsidR="003B777E" w:rsidRPr="009B5839" w:rsidRDefault="003B777E">
      <w:pPr>
        <w:pStyle w:val="BodyText"/>
        <w:spacing w:before="2" w:after="1"/>
        <w:rPr>
          <w:rFonts w:ascii="Aptos" w:hAnsi="Aptos"/>
          <w:sz w:val="15"/>
        </w:rPr>
      </w:pPr>
    </w:p>
    <w:tbl>
      <w:tblPr>
        <w:tblStyle w:val="TableNormal1"/>
        <w:tblpPr w:leftFromText="141" w:rightFromText="141" w:vertAnchor="text" w:horzAnchor="margin" w:tblpXSpec="center" w:tblpY="-47"/>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77"/>
      </w:tblGrid>
      <w:tr w:rsidR="003B777E" w:rsidRPr="009B5839" w14:paraId="58514874" w14:textId="77777777" w:rsidTr="002A5707">
        <w:trPr>
          <w:trHeight w:val="490"/>
        </w:trPr>
        <w:tc>
          <w:tcPr>
            <w:tcW w:w="9077" w:type="dxa"/>
            <w:shd w:val="clear" w:color="auto" w:fill="D9D9D9"/>
          </w:tcPr>
          <w:p w14:paraId="005BAEE5" w14:textId="77777777" w:rsidR="003B777E" w:rsidRPr="009B5839" w:rsidRDefault="00000000" w:rsidP="002A5707">
            <w:pPr>
              <w:pStyle w:val="TableParagraph"/>
              <w:spacing w:before="115"/>
              <w:rPr>
                <w:rFonts w:ascii="Aptos" w:hAnsi="Aptos"/>
                <w:b/>
              </w:rPr>
            </w:pPr>
            <w:r w:rsidRPr="009B5839">
              <w:rPr>
                <w:rFonts w:ascii="Aptos" w:hAnsi="Aptos"/>
                <w:b/>
              </w:rPr>
              <w:t>Question</w:t>
            </w:r>
          </w:p>
        </w:tc>
      </w:tr>
      <w:tr w:rsidR="003B777E" w:rsidRPr="009B5839" w14:paraId="051D0668" w14:textId="77777777" w:rsidTr="002A5707">
        <w:trPr>
          <w:trHeight w:val="2271"/>
        </w:trPr>
        <w:tc>
          <w:tcPr>
            <w:tcW w:w="9077" w:type="dxa"/>
          </w:tcPr>
          <w:p w14:paraId="41556C00" w14:textId="443BDC3E" w:rsidR="003B777E" w:rsidRPr="009B5839" w:rsidRDefault="00FB4C76" w:rsidP="002A5707">
            <w:pPr>
              <w:pStyle w:val="TableParagraph"/>
              <w:spacing w:before="120"/>
              <w:ind w:right="93"/>
              <w:jc w:val="both"/>
              <w:rPr>
                <w:rFonts w:ascii="Aptos" w:hAnsi="Aptos"/>
                <w:b/>
              </w:rPr>
            </w:pPr>
            <w:r w:rsidRPr="00FB4C76">
              <w:rPr>
                <w:rFonts w:ascii="Aptos" w:hAnsi="Aptos"/>
                <w:color w:val="0D0D0D"/>
              </w:rPr>
              <w:t xml:space="preserve">The import of products from other third countries can </w:t>
            </w:r>
            <w:r w:rsidR="00A27B70" w:rsidRPr="00A27B70">
              <w:rPr>
                <w:rFonts w:ascii="Aptos" w:hAnsi="Aptos"/>
                <w:color w:val="0D0D0D"/>
              </w:rPr>
              <w:t>have a detrimental effect on</w:t>
            </w:r>
            <w:r w:rsidR="00A27B70">
              <w:rPr>
                <w:rFonts w:ascii="Aptos" w:hAnsi="Aptos"/>
                <w:color w:val="0D0D0D"/>
              </w:rPr>
              <w:t xml:space="preserve"> </w:t>
            </w:r>
            <w:r w:rsidRPr="00FB4C76">
              <w:rPr>
                <w:rFonts w:ascii="Aptos" w:hAnsi="Aptos"/>
                <w:color w:val="0D0D0D"/>
              </w:rPr>
              <w:t xml:space="preserve">competition in the EU by allowing importers to achieve cost advantages through lower environmental or labour standards. The European Union has </w:t>
            </w:r>
            <w:r w:rsidR="00A27B70">
              <w:rPr>
                <w:rFonts w:ascii="Aptos" w:hAnsi="Aptos"/>
                <w:color w:val="0D0D0D"/>
              </w:rPr>
              <w:t>implemented</w:t>
            </w:r>
            <w:r w:rsidRPr="00FB4C76">
              <w:rPr>
                <w:rFonts w:ascii="Aptos" w:hAnsi="Aptos"/>
                <w:color w:val="0D0D0D"/>
              </w:rPr>
              <w:t xml:space="preserve"> the Carbon Border Adjustment Mechanism (CBAM) as a regulatory framework for imports from countries with lower environmental standards. The objective is to ensure that imported products are subject to the same CO2 emission standards as domestic goods by imposing a levy on carbon-intensive imports. </w:t>
            </w:r>
            <w:r w:rsidRPr="00FB4C76">
              <w:rPr>
                <w:rFonts w:ascii="Aptos" w:hAnsi="Aptos"/>
                <w:b/>
                <w:bCs/>
                <w:color w:val="0D0D0D"/>
              </w:rPr>
              <w:t>Please outline your position on the Carbon Border Adjustment Mechanism (CBAM) and any further initiatives you plan to implement to prevent distortions of competition for products imported from third countries.</w:t>
            </w:r>
          </w:p>
        </w:tc>
      </w:tr>
      <w:tr w:rsidR="003B777E" w:rsidRPr="009B5839" w14:paraId="148A3835" w14:textId="77777777" w:rsidTr="002A5707">
        <w:trPr>
          <w:trHeight w:val="495"/>
        </w:trPr>
        <w:tc>
          <w:tcPr>
            <w:tcW w:w="9077" w:type="dxa"/>
            <w:shd w:val="clear" w:color="auto" w:fill="D9D9D9"/>
          </w:tcPr>
          <w:p w14:paraId="458B856B" w14:textId="297E1601" w:rsidR="003B777E" w:rsidRPr="009B5839" w:rsidRDefault="00F95277" w:rsidP="002A5707">
            <w:pPr>
              <w:pStyle w:val="TableParagraph"/>
              <w:spacing w:before="115"/>
              <w:rPr>
                <w:rFonts w:ascii="Aptos" w:hAnsi="Aptos"/>
                <w:b/>
              </w:rPr>
            </w:pPr>
            <w:r>
              <w:rPr>
                <w:rFonts w:ascii="Aptos" w:hAnsi="Aptos"/>
                <w:b/>
              </w:rPr>
              <w:t>Further questions</w:t>
            </w:r>
          </w:p>
        </w:tc>
      </w:tr>
      <w:tr w:rsidR="003B777E" w:rsidRPr="009B5839" w14:paraId="222B3A53" w14:textId="77777777" w:rsidTr="002A5707">
        <w:trPr>
          <w:trHeight w:val="1014"/>
        </w:trPr>
        <w:tc>
          <w:tcPr>
            <w:tcW w:w="9077" w:type="dxa"/>
          </w:tcPr>
          <w:p w14:paraId="389A0C1B" w14:textId="77777777" w:rsidR="00FB4C76" w:rsidRPr="00FB4C76" w:rsidRDefault="00FB4C76" w:rsidP="002A5707">
            <w:pPr>
              <w:pStyle w:val="TableParagraph"/>
              <w:numPr>
                <w:ilvl w:val="0"/>
                <w:numId w:val="37"/>
              </w:numPr>
              <w:tabs>
                <w:tab w:val="left" w:pos="831"/>
              </w:tabs>
              <w:spacing w:before="115"/>
              <w:ind w:right="96"/>
              <w:jc w:val="both"/>
              <w:rPr>
                <w:rFonts w:ascii="Aptos" w:hAnsi="Aptos"/>
              </w:rPr>
            </w:pPr>
            <w:r w:rsidRPr="00FB4C76">
              <w:rPr>
                <w:rFonts w:ascii="Aptos" w:hAnsi="Aptos"/>
              </w:rPr>
              <w:t>Are you planning to implement measures to address the impact of import subsidies from third countries on competition?</w:t>
            </w:r>
          </w:p>
          <w:p w14:paraId="79CF5635" w14:textId="08CF2C5F" w:rsidR="003B777E" w:rsidRPr="009B5839" w:rsidRDefault="00FB4C76" w:rsidP="002A5707">
            <w:pPr>
              <w:pStyle w:val="TableParagraph"/>
              <w:numPr>
                <w:ilvl w:val="0"/>
                <w:numId w:val="37"/>
              </w:numPr>
              <w:spacing w:before="115"/>
              <w:ind w:right="96"/>
              <w:jc w:val="both"/>
              <w:rPr>
                <w:rFonts w:ascii="Aptos" w:hAnsi="Aptos"/>
              </w:rPr>
            </w:pPr>
            <w:r w:rsidRPr="00FB4C76">
              <w:rPr>
                <w:rFonts w:ascii="Aptos" w:hAnsi="Aptos"/>
              </w:rPr>
              <w:t>What other initiatives are you planning to create a level playing field for EU producers and importers from third countries?</w:t>
            </w:r>
          </w:p>
        </w:tc>
      </w:tr>
    </w:tbl>
    <w:p w14:paraId="5C3FC704" w14:textId="56757C74" w:rsidR="003B777E" w:rsidRDefault="003B777E">
      <w:pPr>
        <w:rPr>
          <w:rFonts w:ascii="Aptos" w:hAnsi="Aptos"/>
        </w:rPr>
      </w:pPr>
    </w:p>
    <w:tbl>
      <w:tblPr>
        <w:tblStyle w:val="TableNormal1"/>
        <w:tblW w:w="0" w:type="auto"/>
        <w:tblLayout w:type="fixed"/>
        <w:tblLook w:val="01E0" w:firstRow="1" w:lastRow="1" w:firstColumn="1" w:lastColumn="1" w:noHBand="0" w:noVBand="0"/>
      </w:tblPr>
      <w:tblGrid>
        <w:gridCol w:w="9066"/>
      </w:tblGrid>
      <w:tr w:rsidR="00A27B70" w:rsidRPr="00E02801" w14:paraId="6E0D7242" w14:textId="77777777" w:rsidTr="00F76136">
        <w:trPr>
          <w:trHeight w:val="277"/>
        </w:trPr>
        <w:tc>
          <w:tcPr>
            <w:tcW w:w="9066" w:type="dxa"/>
            <w:shd w:val="clear" w:color="auto" w:fill="D9D9D9"/>
          </w:tcPr>
          <w:p w14:paraId="15C2D260" w14:textId="77777777" w:rsidR="00A27B70" w:rsidRPr="00E02801" w:rsidRDefault="00A27B70" w:rsidP="000858DA">
            <w:pPr>
              <w:pStyle w:val="TableParagraph"/>
              <w:spacing w:line="258" w:lineRule="exact"/>
              <w:ind w:left="0"/>
              <w:rPr>
                <w:rFonts w:ascii="Aptos" w:hAnsi="Aptos"/>
                <w:b/>
                <w:sz w:val="24"/>
              </w:rPr>
            </w:pPr>
            <w:r w:rsidRPr="004D0DD6">
              <w:rPr>
                <w:rFonts w:ascii="Aptos" w:hAnsi="Aptos"/>
                <w:b/>
                <w:szCs w:val="20"/>
              </w:rPr>
              <w:t>Background</w:t>
            </w:r>
          </w:p>
        </w:tc>
      </w:tr>
      <w:tr w:rsidR="00A27B70" w:rsidRPr="00E02801" w14:paraId="375A817B" w14:textId="77777777" w:rsidTr="00F76136">
        <w:trPr>
          <w:trHeight w:val="1296"/>
        </w:trPr>
        <w:tc>
          <w:tcPr>
            <w:tcW w:w="9066" w:type="dxa"/>
          </w:tcPr>
          <w:p w14:paraId="0C60D5D4" w14:textId="6C80D405" w:rsidR="000128C1" w:rsidRDefault="00A27B70" w:rsidP="002A6988">
            <w:pPr>
              <w:pStyle w:val="TableParagraph"/>
              <w:spacing w:before="3" w:line="239" w:lineRule="exact"/>
              <w:ind w:left="0"/>
              <w:jc w:val="both"/>
              <w:rPr>
                <w:rFonts w:ascii="Aptos" w:hAnsi="Aptos"/>
                <w:color w:val="0D0D0D"/>
              </w:rPr>
            </w:pPr>
            <w:r w:rsidRPr="00A27B70">
              <w:rPr>
                <w:rFonts w:ascii="Aptos" w:hAnsi="Aptos"/>
                <w:color w:val="0D0D0D"/>
              </w:rPr>
              <w:t>Supply chains also play a pivotal role in enabling the EU to achieve its social and environmental goals. The import of products from third countries can have a significant impact on competition in the EU. Importers gain cost advantages through lower environmental or labour standards, which can distort the market. Such unfair trade practices disadvantage European companies, which are subject to stricter environmental and labour standards and therefore have higher production costs. The Carbon Border Adjustment Mechanism (CBAM) is a significant initiative of the European Union designed to address these competitive imbalances</w:t>
            </w:r>
            <w:r w:rsidR="002F336D">
              <w:rPr>
                <w:rStyle w:val="FootnoteReference"/>
                <w:rFonts w:ascii="Aptos" w:hAnsi="Aptos"/>
                <w:color w:val="0D0D0D"/>
              </w:rPr>
              <w:footnoteReference w:id="1"/>
            </w:r>
            <w:r w:rsidRPr="00A27B70">
              <w:rPr>
                <w:rFonts w:ascii="Aptos" w:hAnsi="Aptos"/>
                <w:color w:val="0D0D0D"/>
              </w:rPr>
              <w:t>. The CBAM works by imposing a charge on imports from countries with lower environmental standards. This charge is calculated as the difference between the lower CO</w:t>
            </w:r>
            <w:r w:rsidRPr="00E47FB6">
              <w:rPr>
                <w:rFonts w:ascii="Aptos" w:hAnsi="Aptos"/>
                <w:color w:val="0D0D0D"/>
                <w:vertAlign w:val="subscript"/>
              </w:rPr>
              <w:t>2</w:t>
            </w:r>
            <w:r w:rsidRPr="00A27B70">
              <w:rPr>
                <w:rFonts w:ascii="Aptos" w:hAnsi="Aptos"/>
                <w:color w:val="0D0D0D"/>
              </w:rPr>
              <w:t xml:space="preserve"> emission costs of the exporting countries and the higher standards of the EU. The objective is to ensure that imported products are subject to the same CO</w:t>
            </w:r>
            <w:r w:rsidRPr="00E47FB6">
              <w:rPr>
                <w:rFonts w:ascii="Aptos" w:hAnsi="Aptos"/>
                <w:color w:val="0D0D0D"/>
                <w:vertAlign w:val="subscript"/>
              </w:rPr>
              <w:t>2</w:t>
            </w:r>
            <w:r w:rsidRPr="00A27B70">
              <w:rPr>
                <w:rFonts w:ascii="Aptos" w:hAnsi="Aptos"/>
                <w:color w:val="0D0D0D"/>
              </w:rPr>
              <w:t xml:space="preserve"> emission standards as domestic products. This measure ensures a level playing field, providing equal competitive conditions for domestic and foreign products. In light of this, it is also important to consider the need for initiatives to address the impact of subsidies on importers from third countries, particularly in the context of services of general interest.</w:t>
            </w:r>
          </w:p>
          <w:p w14:paraId="34D56325" w14:textId="77777777" w:rsidR="000128C1" w:rsidRDefault="000128C1" w:rsidP="002A6988">
            <w:pPr>
              <w:pStyle w:val="TableParagraph"/>
              <w:spacing w:before="3" w:line="239" w:lineRule="exact"/>
              <w:ind w:left="0"/>
              <w:jc w:val="both"/>
              <w:rPr>
                <w:rFonts w:ascii="Aptos" w:hAnsi="Aptos"/>
                <w:color w:val="0D0D0D"/>
              </w:rPr>
            </w:pPr>
          </w:p>
          <w:p w14:paraId="0C04A340" w14:textId="77777777" w:rsidR="000128C1" w:rsidRDefault="000128C1" w:rsidP="002A6988">
            <w:pPr>
              <w:pStyle w:val="TableParagraph"/>
              <w:spacing w:before="3" w:line="239" w:lineRule="exact"/>
              <w:ind w:left="0"/>
              <w:jc w:val="both"/>
              <w:rPr>
                <w:rFonts w:ascii="Aptos" w:hAnsi="Aptos"/>
                <w:color w:val="0D0D0D"/>
              </w:rPr>
            </w:pPr>
          </w:p>
          <w:p w14:paraId="12D7571F" w14:textId="77777777" w:rsidR="002F336D" w:rsidRPr="00273AD5" w:rsidRDefault="002F336D" w:rsidP="002F336D">
            <w:pPr>
              <w:pStyle w:val="FootnoteText"/>
              <w:rPr>
                <w:lang w:val="en-US"/>
              </w:rPr>
            </w:pPr>
          </w:p>
          <w:p w14:paraId="14E52F76" w14:textId="031F1830" w:rsidR="00A27B70" w:rsidRPr="00A27B70" w:rsidRDefault="00A27B70" w:rsidP="000128C1">
            <w:pPr>
              <w:pStyle w:val="ListParagraph"/>
              <w:spacing w:before="80" w:after="80"/>
              <w:ind w:left="360"/>
              <w:jc w:val="both"/>
              <w:rPr>
                <w:rFonts w:ascii="Aptos" w:hAnsi="Aptos"/>
                <w:color w:val="0D0D0D"/>
              </w:rPr>
            </w:pPr>
          </w:p>
        </w:tc>
      </w:tr>
      <w:bookmarkEnd w:id="19"/>
    </w:tbl>
    <w:p w14:paraId="47EDDC77" w14:textId="4A91789C" w:rsidR="00A27B70" w:rsidRPr="00A27B70" w:rsidRDefault="00A27B70" w:rsidP="00A27B70">
      <w:pPr>
        <w:rPr>
          <w:rFonts w:ascii="Aptos" w:hAnsi="Aptos"/>
        </w:rPr>
        <w:sectPr w:rsidR="00A27B70" w:rsidRPr="00A27B70" w:rsidSect="00F76136">
          <w:footnotePr>
            <w:numRestart w:val="eachPage"/>
          </w:footnotePr>
          <w:pgSz w:w="11910" w:h="16840"/>
          <w:pgMar w:top="1418" w:right="1418" w:bottom="1134" w:left="1418" w:header="472" w:footer="1083" w:gutter="0"/>
          <w:cols w:space="720"/>
          <w:docGrid w:linePitch="299"/>
        </w:sectPr>
      </w:pPr>
    </w:p>
    <w:p w14:paraId="0B2F898A" w14:textId="77777777" w:rsidR="003B777E" w:rsidRPr="009B5839" w:rsidRDefault="003B777E">
      <w:pPr>
        <w:rPr>
          <w:rFonts w:ascii="Aptos" w:hAnsi="Aptos"/>
          <w:sz w:val="20"/>
        </w:rPr>
      </w:pPr>
    </w:p>
    <w:p w14:paraId="39BC3179" w14:textId="77777777" w:rsidR="003B777E" w:rsidRPr="009B5839" w:rsidRDefault="003B777E">
      <w:pPr>
        <w:rPr>
          <w:rFonts w:ascii="Aptos" w:hAnsi="Aptos"/>
          <w:sz w:val="23"/>
        </w:rPr>
      </w:pPr>
    </w:p>
    <w:p w14:paraId="03C2CD98" w14:textId="77777777" w:rsidR="003B777E" w:rsidRDefault="00000000" w:rsidP="00B716EE">
      <w:pPr>
        <w:pStyle w:val="Heading2"/>
        <w:spacing w:before="120"/>
        <w:rPr>
          <w:rFonts w:ascii="Aptos" w:hAnsi="Aptos"/>
          <w:b/>
          <w:bCs/>
          <w:color w:val="FF0000"/>
          <w:sz w:val="24"/>
          <w:szCs w:val="24"/>
        </w:rPr>
      </w:pPr>
      <w:bookmarkStart w:id="20" w:name="Public_investment_at_local_level_(fiscal"/>
      <w:bookmarkStart w:id="21" w:name="_bookmark6"/>
      <w:bookmarkStart w:id="22" w:name="_Toc168584192"/>
      <w:bookmarkStart w:id="23" w:name="_Hlk170381671"/>
      <w:bookmarkEnd w:id="20"/>
      <w:bookmarkEnd w:id="21"/>
      <w:r w:rsidRPr="000E5FB9">
        <w:rPr>
          <w:rFonts w:ascii="Aptos" w:hAnsi="Aptos"/>
          <w:b/>
          <w:bCs/>
          <w:color w:val="FF0000"/>
          <w:sz w:val="24"/>
          <w:szCs w:val="24"/>
        </w:rPr>
        <w:t>Public investment at local level (fiscal rules)</w:t>
      </w:r>
      <w:bookmarkEnd w:id="22"/>
    </w:p>
    <w:p w14:paraId="75D14A0C" w14:textId="77777777" w:rsidR="003B777E" w:rsidRPr="00EA071B" w:rsidRDefault="003B777E">
      <w:pPr>
        <w:pStyle w:val="BodyText"/>
        <w:spacing w:before="10" w:after="1"/>
        <w:rPr>
          <w:rFonts w:ascii="Aptos" w:hAnsi="Aptos"/>
          <w:sz w:val="22"/>
          <w:szCs w:val="36"/>
        </w:rPr>
      </w:pP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3B777E" w:rsidRPr="009B5839" w14:paraId="58DA28DC" w14:textId="77777777" w:rsidTr="00EA071B">
        <w:trPr>
          <w:trHeight w:val="494"/>
        </w:trPr>
        <w:tc>
          <w:tcPr>
            <w:tcW w:w="9066" w:type="dxa"/>
            <w:shd w:val="clear" w:color="auto" w:fill="D9D9D9"/>
          </w:tcPr>
          <w:p w14:paraId="7912948F" w14:textId="77777777" w:rsidR="003B777E" w:rsidRPr="009B5839" w:rsidRDefault="00000000">
            <w:pPr>
              <w:pStyle w:val="TableParagraph"/>
              <w:spacing w:before="115"/>
              <w:rPr>
                <w:rFonts w:ascii="Aptos" w:hAnsi="Aptos"/>
                <w:b/>
              </w:rPr>
            </w:pPr>
            <w:r w:rsidRPr="009B5839">
              <w:rPr>
                <w:rFonts w:ascii="Aptos" w:hAnsi="Aptos"/>
                <w:b/>
              </w:rPr>
              <w:t>Question</w:t>
            </w:r>
          </w:p>
        </w:tc>
      </w:tr>
      <w:tr w:rsidR="003B777E" w:rsidRPr="009B5839" w14:paraId="742D4DEC" w14:textId="77777777" w:rsidTr="00EA071B">
        <w:trPr>
          <w:trHeight w:val="2515"/>
        </w:trPr>
        <w:tc>
          <w:tcPr>
            <w:tcW w:w="9066" w:type="dxa"/>
          </w:tcPr>
          <w:p w14:paraId="445E63F4" w14:textId="0CF0E6A7" w:rsidR="003B777E" w:rsidRPr="009B5839" w:rsidRDefault="00FB4C76">
            <w:pPr>
              <w:pStyle w:val="TableParagraph"/>
              <w:spacing w:before="120"/>
              <w:ind w:right="97"/>
              <w:jc w:val="both"/>
              <w:rPr>
                <w:rFonts w:ascii="Aptos" w:hAnsi="Aptos"/>
                <w:b/>
              </w:rPr>
            </w:pPr>
            <w:r w:rsidRPr="00FB4C76">
              <w:rPr>
                <w:rFonts w:ascii="Aptos" w:hAnsi="Aptos"/>
                <w:color w:val="0D0D0D"/>
              </w:rPr>
              <w:t xml:space="preserve">The fight against the climate crisis is primarily taking place at the local level. This is why cities and municipalities in the EU require sufficient financial resources, such as municipal climate investment funds, as well as the right to have a say. Cities, municipalities and other public actors are essential for the delivery of services of general interest. The lack of financial resources makes it challenging for EU citizens to access local services. Furthermore, the </w:t>
            </w:r>
            <w:r w:rsidR="00A27B70">
              <w:rPr>
                <w:rFonts w:ascii="Aptos" w:hAnsi="Aptos"/>
                <w:color w:val="0D0D0D"/>
              </w:rPr>
              <w:t xml:space="preserve">current </w:t>
            </w:r>
            <w:r w:rsidRPr="00FB4C76">
              <w:rPr>
                <w:rFonts w:ascii="Aptos" w:hAnsi="Aptos"/>
                <w:color w:val="0D0D0D"/>
              </w:rPr>
              <w:t xml:space="preserve">fiscal rules in member states can impede the timely investment in public infrastructure at the local level. </w:t>
            </w:r>
            <w:r w:rsidRPr="00FB4C76">
              <w:rPr>
                <w:rFonts w:ascii="Aptos" w:hAnsi="Aptos"/>
                <w:b/>
                <w:bCs/>
                <w:color w:val="0D0D0D"/>
              </w:rPr>
              <w:t>How do you intend to ensure that cities, municipalities and other public actors can continue to carry out their current expenditure and investments in future areas such as digitalisation and climate change, given the constraints of strict fiscal rules?</w:t>
            </w:r>
          </w:p>
        </w:tc>
      </w:tr>
      <w:tr w:rsidR="003B777E" w:rsidRPr="009B5839" w14:paraId="4268F00F" w14:textId="77777777" w:rsidTr="00EA071B">
        <w:trPr>
          <w:trHeight w:val="493"/>
        </w:trPr>
        <w:tc>
          <w:tcPr>
            <w:tcW w:w="9066" w:type="dxa"/>
            <w:shd w:val="clear" w:color="auto" w:fill="D9D9D9"/>
          </w:tcPr>
          <w:p w14:paraId="09133F1D" w14:textId="5321B210" w:rsidR="003B777E" w:rsidRPr="009B5839" w:rsidRDefault="00F95277">
            <w:pPr>
              <w:pStyle w:val="TableParagraph"/>
              <w:spacing w:before="115"/>
              <w:rPr>
                <w:rFonts w:ascii="Aptos" w:hAnsi="Aptos"/>
                <w:b/>
              </w:rPr>
            </w:pPr>
            <w:r>
              <w:rPr>
                <w:rFonts w:ascii="Aptos" w:hAnsi="Aptos"/>
                <w:b/>
              </w:rPr>
              <w:t>Further questions</w:t>
            </w:r>
          </w:p>
        </w:tc>
      </w:tr>
      <w:tr w:rsidR="003B777E" w:rsidRPr="009B5839" w14:paraId="6E99A17F" w14:textId="77777777" w:rsidTr="00EA071B">
        <w:trPr>
          <w:trHeight w:val="1132"/>
        </w:trPr>
        <w:tc>
          <w:tcPr>
            <w:tcW w:w="9066" w:type="dxa"/>
          </w:tcPr>
          <w:p w14:paraId="248C2DC3" w14:textId="77777777" w:rsidR="00FB4C76" w:rsidRPr="00FB4C76" w:rsidRDefault="00FB4C76" w:rsidP="00B716EE">
            <w:pPr>
              <w:pStyle w:val="TableParagraph"/>
              <w:numPr>
                <w:ilvl w:val="0"/>
                <w:numId w:val="37"/>
              </w:numPr>
              <w:tabs>
                <w:tab w:val="left" w:pos="831"/>
              </w:tabs>
              <w:spacing w:before="120" w:after="120"/>
              <w:ind w:left="834" w:right="96" w:hanging="363"/>
              <w:jc w:val="both"/>
              <w:rPr>
                <w:rFonts w:ascii="Aptos" w:hAnsi="Aptos"/>
              </w:rPr>
            </w:pPr>
            <w:r w:rsidRPr="00FB4C76">
              <w:rPr>
                <w:rFonts w:ascii="Aptos" w:hAnsi="Aptos"/>
              </w:rPr>
              <w:t>Please clarify whether the fiscal rules provide for exemptions for social or ecological investments, in accordance with the so-called "golden rule".</w:t>
            </w:r>
          </w:p>
          <w:p w14:paraId="5CC437B2" w14:textId="30C44DA2" w:rsidR="003B777E" w:rsidRPr="009B5839" w:rsidRDefault="00FB4C76" w:rsidP="00B716EE">
            <w:pPr>
              <w:pStyle w:val="TableParagraph"/>
              <w:numPr>
                <w:ilvl w:val="0"/>
                <w:numId w:val="37"/>
              </w:numPr>
              <w:tabs>
                <w:tab w:val="left" w:pos="831"/>
              </w:tabs>
              <w:spacing w:before="120" w:after="120"/>
              <w:ind w:left="834" w:right="96" w:hanging="363"/>
              <w:jc w:val="both"/>
              <w:rPr>
                <w:rFonts w:ascii="Aptos" w:hAnsi="Aptos"/>
              </w:rPr>
            </w:pPr>
            <w:r w:rsidRPr="00FB4C76">
              <w:rPr>
                <w:rFonts w:ascii="Aptos" w:hAnsi="Aptos"/>
              </w:rPr>
              <w:t>How do you intend to prevent the current set of rules from encouraging people to circumvent them?</w:t>
            </w:r>
          </w:p>
        </w:tc>
      </w:tr>
    </w:tbl>
    <w:p w14:paraId="16D56C51" w14:textId="77777777" w:rsidR="003B777E" w:rsidRPr="009B5839" w:rsidRDefault="003B777E">
      <w:pPr>
        <w:pStyle w:val="BodyText"/>
        <w:rPr>
          <w:rFonts w:ascii="Aptos" w:hAnsi="Aptos"/>
        </w:rPr>
      </w:pPr>
    </w:p>
    <w:tbl>
      <w:tblPr>
        <w:tblStyle w:val="TableNormal1"/>
        <w:tblW w:w="9072" w:type="dxa"/>
        <w:tblLayout w:type="fixed"/>
        <w:tblLook w:val="01E0" w:firstRow="1" w:lastRow="1" w:firstColumn="1" w:lastColumn="1" w:noHBand="0" w:noVBand="0"/>
      </w:tblPr>
      <w:tblGrid>
        <w:gridCol w:w="9072"/>
      </w:tblGrid>
      <w:tr w:rsidR="00A27B70" w:rsidRPr="00E02801" w14:paraId="3B7981B7" w14:textId="77777777" w:rsidTr="00EA071B">
        <w:trPr>
          <w:trHeight w:val="277"/>
        </w:trPr>
        <w:tc>
          <w:tcPr>
            <w:tcW w:w="9072" w:type="dxa"/>
            <w:shd w:val="clear" w:color="auto" w:fill="D9D9D9"/>
          </w:tcPr>
          <w:p w14:paraId="4E58B08A" w14:textId="77777777" w:rsidR="00A27B70" w:rsidRPr="00E02801" w:rsidRDefault="00A27B70" w:rsidP="000858DA">
            <w:pPr>
              <w:pStyle w:val="TableParagraph"/>
              <w:spacing w:line="258" w:lineRule="exact"/>
              <w:ind w:left="0"/>
              <w:rPr>
                <w:rFonts w:ascii="Aptos" w:hAnsi="Aptos"/>
                <w:b/>
                <w:sz w:val="24"/>
              </w:rPr>
            </w:pPr>
            <w:r w:rsidRPr="004D0DD6">
              <w:rPr>
                <w:rFonts w:ascii="Aptos" w:hAnsi="Aptos"/>
                <w:b/>
                <w:szCs w:val="20"/>
              </w:rPr>
              <w:t>Background</w:t>
            </w:r>
          </w:p>
        </w:tc>
      </w:tr>
      <w:tr w:rsidR="00A27B70" w:rsidRPr="00826A6F" w14:paraId="154F5A2B" w14:textId="77777777" w:rsidTr="00EA071B">
        <w:trPr>
          <w:trHeight w:val="3989"/>
        </w:trPr>
        <w:tc>
          <w:tcPr>
            <w:tcW w:w="9072" w:type="dxa"/>
          </w:tcPr>
          <w:p w14:paraId="4EA3A2BC" w14:textId="6DB748EE" w:rsidR="00A27B70" w:rsidRDefault="005A733C" w:rsidP="002A6988">
            <w:pPr>
              <w:pStyle w:val="TableParagraph"/>
              <w:spacing w:before="3" w:line="239" w:lineRule="exact"/>
              <w:ind w:left="0"/>
              <w:jc w:val="both"/>
              <w:rPr>
                <w:rFonts w:ascii="Aptos" w:hAnsi="Aptos"/>
                <w:color w:val="0D0D0D"/>
              </w:rPr>
            </w:pPr>
            <w:r w:rsidRPr="005A733C">
              <w:rPr>
                <w:rFonts w:ascii="Aptos" w:hAnsi="Aptos"/>
                <w:color w:val="0D0D0D"/>
              </w:rPr>
              <w:t xml:space="preserve">To ensure that cities, municipalities and other public actors can make their current expenditures and investments in future fields such as </w:t>
            </w:r>
            <w:r w:rsidR="009642E0">
              <w:rPr>
                <w:rFonts w:ascii="Aptos" w:hAnsi="Aptos"/>
                <w:color w:val="0D0D0D"/>
              </w:rPr>
              <w:t>digitalisation</w:t>
            </w:r>
            <w:r w:rsidRPr="005A733C">
              <w:rPr>
                <w:rFonts w:ascii="Aptos" w:hAnsi="Aptos"/>
                <w:color w:val="0D0D0D"/>
              </w:rPr>
              <w:t xml:space="preserve"> and climate change, it is important to find a balance between budgetary discipline and the necessary flexibility for future investments. The application of the ‘golden rule’ for public investments in budgetary law could prove beneficial in this regard</w:t>
            </w:r>
            <w:r w:rsidR="006E0F2F">
              <w:rPr>
                <w:rFonts w:ascii="Aptos" w:hAnsi="Aptos"/>
                <w:color w:val="0D0D0D"/>
              </w:rPr>
              <w:t xml:space="preserve"> </w:t>
            </w:r>
            <w:r w:rsidR="006E0F2F">
              <w:rPr>
                <w:rStyle w:val="FootnoteReference"/>
                <w:rFonts w:ascii="Aptos" w:hAnsi="Aptos"/>
                <w:color w:val="0D0D0D"/>
              </w:rPr>
              <w:footnoteReference w:id="2"/>
            </w:r>
            <w:r w:rsidR="006E0F2F">
              <w:rPr>
                <w:rFonts w:ascii="Aptos" w:hAnsi="Aptos"/>
                <w:color w:val="0D0D0D"/>
              </w:rPr>
              <w:t>.</w:t>
            </w:r>
            <w:r w:rsidRPr="005A733C">
              <w:rPr>
                <w:rFonts w:ascii="Aptos" w:hAnsi="Aptos"/>
                <w:color w:val="0D0D0D"/>
              </w:rPr>
              <w:t xml:space="preserve"> The golden rule differentiates between current budgetary expenditures and investments. It is advisable that public budgets finance their current expenditure from current income, while an expansive financial policy can be implemented in durable goods and infrastructure projects. This would enable cities and municipalities to invest in important future areas without compromising budgetary discipline. From the perspective of ensuring the provision of basic services, it is important that budgetary law allows for exceptions to be made for social and ecological investments. Furthermore, transparent rules of the game must be in place to enable these investments without creating incentives for rule violations.</w:t>
            </w:r>
          </w:p>
          <w:p w14:paraId="7B9DE8A0" w14:textId="77777777" w:rsidR="005A733C" w:rsidRDefault="005A733C" w:rsidP="00C83B29">
            <w:pPr>
              <w:pStyle w:val="TableParagraph"/>
              <w:spacing w:before="3" w:line="239" w:lineRule="exact"/>
              <w:jc w:val="both"/>
              <w:rPr>
                <w:rFonts w:ascii="Aptos" w:hAnsi="Aptos"/>
                <w:color w:val="0D0D0D"/>
              </w:rPr>
            </w:pPr>
          </w:p>
          <w:p w14:paraId="3F720C51" w14:textId="3A42A3D8" w:rsidR="005A733C" w:rsidRPr="002F336D" w:rsidRDefault="005A733C" w:rsidP="005A733C">
            <w:pPr>
              <w:pStyle w:val="TableParagraph"/>
              <w:spacing w:before="3" w:line="239" w:lineRule="exact"/>
              <w:ind w:left="360"/>
              <w:jc w:val="both"/>
              <w:rPr>
                <w:rFonts w:ascii="Aptos" w:hAnsi="Aptos"/>
                <w:color w:val="0D0D0D"/>
              </w:rPr>
            </w:pPr>
          </w:p>
        </w:tc>
      </w:tr>
      <w:tr w:rsidR="005A733C" w:rsidRPr="00826A6F" w14:paraId="57F1A260" w14:textId="77777777" w:rsidTr="00EA071B">
        <w:trPr>
          <w:trHeight w:val="1296"/>
        </w:trPr>
        <w:tc>
          <w:tcPr>
            <w:tcW w:w="9072" w:type="dxa"/>
          </w:tcPr>
          <w:p w14:paraId="261A3F0D" w14:textId="77777777" w:rsidR="005A733C" w:rsidRPr="002F336D" w:rsidRDefault="005A733C" w:rsidP="000128C1">
            <w:pPr>
              <w:pStyle w:val="TableParagraph"/>
              <w:spacing w:before="3" w:line="239" w:lineRule="exact"/>
              <w:ind w:left="0"/>
              <w:jc w:val="both"/>
              <w:rPr>
                <w:rFonts w:ascii="Aptos" w:hAnsi="Aptos"/>
                <w:color w:val="0D0D0D"/>
              </w:rPr>
            </w:pPr>
          </w:p>
        </w:tc>
      </w:tr>
      <w:bookmarkEnd w:id="23"/>
      <w:tr w:rsidR="005A733C" w:rsidRPr="00826A6F" w14:paraId="0E4705CE" w14:textId="77777777" w:rsidTr="00EA071B">
        <w:trPr>
          <w:trHeight w:val="87"/>
        </w:trPr>
        <w:tc>
          <w:tcPr>
            <w:tcW w:w="9072" w:type="dxa"/>
          </w:tcPr>
          <w:p w14:paraId="4D3BE82E" w14:textId="77777777" w:rsidR="005A733C" w:rsidRPr="002F336D" w:rsidRDefault="005A733C" w:rsidP="000128C1">
            <w:pPr>
              <w:pStyle w:val="TableParagraph"/>
              <w:spacing w:before="3" w:line="239" w:lineRule="exact"/>
              <w:ind w:left="0"/>
              <w:jc w:val="both"/>
              <w:rPr>
                <w:rFonts w:ascii="Aptos" w:hAnsi="Aptos"/>
                <w:color w:val="0D0D0D"/>
              </w:rPr>
            </w:pPr>
          </w:p>
        </w:tc>
      </w:tr>
    </w:tbl>
    <w:p w14:paraId="33EF9478" w14:textId="77777777" w:rsidR="00B716EE" w:rsidRPr="002F336D" w:rsidRDefault="00B716EE">
      <w:pPr>
        <w:rPr>
          <w:rFonts w:ascii="Aptos" w:hAnsi="Aptos"/>
        </w:rPr>
        <w:sectPr w:rsidR="00B716EE" w:rsidRPr="002F336D" w:rsidSect="00EA071B">
          <w:pgSz w:w="11910" w:h="16840"/>
          <w:pgMar w:top="1418" w:right="1418" w:bottom="1134" w:left="1418" w:header="472" w:footer="1083" w:gutter="0"/>
          <w:cols w:space="720"/>
          <w:docGrid w:linePitch="299"/>
        </w:sectPr>
      </w:pPr>
    </w:p>
    <w:p w14:paraId="4CFC341F" w14:textId="77777777" w:rsidR="00BC4DE4" w:rsidRPr="002F336D" w:rsidRDefault="00BC4DE4">
      <w:pPr>
        <w:spacing w:before="1"/>
        <w:rPr>
          <w:rFonts w:ascii="Aptos" w:hAnsi="Aptos"/>
          <w:sz w:val="20"/>
        </w:rPr>
      </w:pPr>
    </w:p>
    <w:p w14:paraId="4C99AD38" w14:textId="77777777" w:rsidR="00ED2EDD" w:rsidRDefault="00ED2EDD" w:rsidP="00BC4DE4">
      <w:pPr>
        <w:pStyle w:val="Heading2"/>
        <w:rPr>
          <w:rFonts w:ascii="Aptos" w:hAnsi="Aptos"/>
          <w:b/>
          <w:bCs/>
          <w:color w:val="FF0000"/>
          <w:sz w:val="24"/>
          <w:szCs w:val="24"/>
        </w:rPr>
      </w:pPr>
      <w:bookmarkStart w:id="24" w:name="Strengthening_the_monetary_union_by_inve"/>
      <w:bookmarkStart w:id="25" w:name="_bookmark7"/>
      <w:bookmarkStart w:id="26" w:name="_Toc168584193"/>
      <w:bookmarkStart w:id="27" w:name="_Hlk170381872"/>
      <w:bookmarkEnd w:id="24"/>
      <w:bookmarkEnd w:id="25"/>
    </w:p>
    <w:p w14:paraId="308A4D10" w14:textId="1FEC7037" w:rsidR="003B777E" w:rsidRDefault="00000000" w:rsidP="00BC4DE4">
      <w:pPr>
        <w:pStyle w:val="Heading2"/>
        <w:rPr>
          <w:rFonts w:ascii="Aptos" w:hAnsi="Aptos"/>
          <w:b/>
          <w:bCs/>
          <w:color w:val="FF0000"/>
          <w:sz w:val="24"/>
          <w:szCs w:val="24"/>
        </w:rPr>
      </w:pPr>
      <w:r w:rsidRPr="000E5FB9">
        <w:rPr>
          <w:rFonts w:ascii="Aptos" w:hAnsi="Aptos"/>
          <w:b/>
          <w:bCs/>
          <w:color w:val="FF0000"/>
          <w:sz w:val="24"/>
          <w:szCs w:val="24"/>
        </w:rPr>
        <w:t>Strengthening the monetary union by investing in safe asset markets</w:t>
      </w:r>
      <w:bookmarkEnd w:id="26"/>
    </w:p>
    <w:p w14:paraId="44BB1A61" w14:textId="77777777" w:rsidR="003B777E" w:rsidRPr="009B5839" w:rsidRDefault="003B777E">
      <w:pPr>
        <w:pStyle w:val="BodyText"/>
        <w:rPr>
          <w:rFonts w:ascii="Aptos" w:hAnsi="Aptos"/>
          <w:sz w:val="20"/>
        </w:rPr>
      </w:pP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3B777E" w:rsidRPr="009B5839" w14:paraId="434E3CF2" w14:textId="77777777" w:rsidTr="00BC4DE4">
        <w:trPr>
          <w:trHeight w:val="493"/>
        </w:trPr>
        <w:tc>
          <w:tcPr>
            <w:tcW w:w="9066" w:type="dxa"/>
            <w:shd w:val="clear" w:color="auto" w:fill="D9D9D9"/>
          </w:tcPr>
          <w:p w14:paraId="0621372C" w14:textId="77777777" w:rsidR="003B777E" w:rsidRPr="009B5839" w:rsidRDefault="00000000">
            <w:pPr>
              <w:pStyle w:val="TableParagraph"/>
              <w:spacing w:before="115"/>
              <w:rPr>
                <w:rFonts w:ascii="Aptos" w:hAnsi="Aptos"/>
                <w:b/>
              </w:rPr>
            </w:pPr>
            <w:r w:rsidRPr="009B5839">
              <w:rPr>
                <w:rFonts w:ascii="Aptos" w:hAnsi="Aptos"/>
                <w:b/>
              </w:rPr>
              <w:t>Question</w:t>
            </w:r>
          </w:p>
        </w:tc>
      </w:tr>
      <w:tr w:rsidR="003B777E" w:rsidRPr="009B5839" w14:paraId="236A7569" w14:textId="77777777" w:rsidTr="00BC4DE4">
        <w:trPr>
          <w:trHeight w:val="2011"/>
        </w:trPr>
        <w:tc>
          <w:tcPr>
            <w:tcW w:w="9066" w:type="dxa"/>
          </w:tcPr>
          <w:p w14:paraId="2B84DEF7" w14:textId="3050830C" w:rsidR="003B777E" w:rsidRPr="009B5839" w:rsidRDefault="00FB4C76">
            <w:pPr>
              <w:pStyle w:val="TableParagraph"/>
              <w:spacing w:before="120"/>
              <w:ind w:right="98"/>
              <w:jc w:val="both"/>
              <w:rPr>
                <w:rFonts w:ascii="Aptos" w:hAnsi="Aptos"/>
                <w:b/>
              </w:rPr>
            </w:pPr>
            <w:r w:rsidRPr="00FB4C76">
              <w:rPr>
                <w:rFonts w:ascii="Aptos" w:hAnsi="Aptos"/>
              </w:rPr>
              <w:t xml:space="preserve">The strengthening of monetary union in the EU is of great importance. It not only ensures the stability of the euro and strengthens confidence in the markets, but also contributes to the creation of a single market for safe assets. Safe asset markets are essential for investors seeking stable returns and low default risk. The closer integration of the monetary union can foster the development of such markets by increasing the availability of safe assets while strengthening the euro area's resilience to economic shocks. </w:t>
            </w:r>
            <w:r w:rsidRPr="00FB4C76">
              <w:rPr>
                <w:rFonts w:ascii="Aptos" w:hAnsi="Aptos"/>
                <w:b/>
                <w:bCs/>
              </w:rPr>
              <w:t>Please outline the initiatives you intend to implement to strengthen the monetary union.</w:t>
            </w:r>
          </w:p>
        </w:tc>
      </w:tr>
      <w:tr w:rsidR="003B777E" w:rsidRPr="009B5839" w14:paraId="618A772B" w14:textId="77777777" w:rsidTr="00BC4DE4">
        <w:trPr>
          <w:trHeight w:val="494"/>
        </w:trPr>
        <w:tc>
          <w:tcPr>
            <w:tcW w:w="9066" w:type="dxa"/>
            <w:shd w:val="clear" w:color="auto" w:fill="D9D9D9"/>
          </w:tcPr>
          <w:p w14:paraId="46270227" w14:textId="1E65EB76" w:rsidR="003B777E" w:rsidRPr="009B5839" w:rsidRDefault="00F95277">
            <w:pPr>
              <w:pStyle w:val="TableParagraph"/>
              <w:spacing w:before="115"/>
              <w:rPr>
                <w:rFonts w:ascii="Aptos" w:hAnsi="Aptos"/>
                <w:b/>
              </w:rPr>
            </w:pPr>
            <w:r>
              <w:rPr>
                <w:rFonts w:ascii="Aptos" w:hAnsi="Aptos"/>
                <w:b/>
              </w:rPr>
              <w:t>Further questions</w:t>
            </w:r>
          </w:p>
        </w:tc>
      </w:tr>
      <w:tr w:rsidR="003B777E" w:rsidRPr="009B5839" w14:paraId="6B5395D9" w14:textId="77777777" w:rsidTr="00BC4DE4">
        <w:trPr>
          <w:trHeight w:val="1012"/>
        </w:trPr>
        <w:tc>
          <w:tcPr>
            <w:tcW w:w="9066" w:type="dxa"/>
          </w:tcPr>
          <w:p w14:paraId="4B06DFBD" w14:textId="77777777" w:rsidR="00FB4C76" w:rsidRPr="00FB4C76" w:rsidRDefault="00FB4C76" w:rsidP="00FB4C76">
            <w:pPr>
              <w:pStyle w:val="TableParagraph"/>
              <w:numPr>
                <w:ilvl w:val="0"/>
                <w:numId w:val="37"/>
              </w:numPr>
              <w:tabs>
                <w:tab w:val="left" w:pos="831"/>
              </w:tabs>
              <w:spacing w:before="115"/>
              <w:ind w:right="96"/>
              <w:jc w:val="both"/>
              <w:rPr>
                <w:rFonts w:ascii="Aptos" w:hAnsi="Aptos"/>
              </w:rPr>
            </w:pPr>
            <w:r w:rsidRPr="00FB4C76">
              <w:rPr>
                <w:rFonts w:ascii="Aptos" w:hAnsi="Aptos"/>
              </w:rPr>
              <w:t>Please provide an overview of the considerations for investing in safe investment markets in order to stabilise the single currency.</w:t>
            </w:r>
          </w:p>
          <w:p w14:paraId="6BBA7627" w14:textId="61C2399D" w:rsidR="003B777E" w:rsidRPr="009B5839" w:rsidRDefault="00FB4C76" w:rsidP="00FB4C76">
            <w:pPr>
              <w:pStyle w:val="TableParagraph"/>
              <w:numPr>
                <w:ilvl w:val="0"/>
                <w:numId w:val="37"/>
              </w:numPr>
              <w:tabs>
                <w:tab w:val="left" w:pos="831"/>
              </w:tabs>
              <w:spacing w:before="115"/>
              <w:ind w:right="96"/>
              <w:jc w:val="both"/>
              <w:rPr>
                <w:rFonts w:ascii="Aptos" w:hAnsi="Aptos"/>
              </w:rPr>
            </w:pPr>
            <w:r w:rsidRPr="00FB4C76">
              <w:rPr>
                <w:rFonts w:ascii="Aptos" w:hAnsi="Aptos"/>
              </w:rPr>
              <w:t>How do you intend to ensure that additional EU spending is initiated for relevant sectors in order to strengthen the EU market?</w:t>
            </w:r>
          </w:p>
        </w:tc>
      </w:tr>
    </w:tbl>
    <w:p w14:paraId="00A8A464" w14:textId="77777777" w:rsidR="003B777E" w:rsidRPr="009B5839" w:rsidRDefault="003B777E">
      <w:pPr>
        <w:pStyle w:val="BodyText"/>
        <w:spacing w:before="7"/>
        <w:rPr>
          <w:rFonts w:ascii="Aptos" w:hAnsi="Aptos"/>
          <w:sz w:val="23"/>
        </w:rPr>
      </w:pPr>
    </w:p>
    <w:tbl>
      <w:tblPr>
        <w:tblStyle w:val="TableNormal1"/>
        <w:tblW w:w="0" w:type="auto"/>
        <w:tblLayout w:type="fixed"/>
        <w:tblLook w:val="01E0" w:firstRow="1" w:lastRow="1" w:firstColumn="1" w:lastColumn="1" w:noHBand="0" w:noVBand="0"/>
      </w:tblPr>
      <w:tblGrid>
        <w:gridCol w:w="9066"/>
      </w:tblGrid>
      <w:tr w:rsidR="00E47FB6" w:rsidRPr="00E02801" w14:paraId="48210159" w14:textId="77777777" w:rsidTr="00BC4DE4">
        <w:trPr>
          <w:trHeight w:val="277"/>
        </w:trPr>
        <w:tc>
          <w:tcPr>
            <w:tcW w:w="9066" w:type="dxa"/>
            <w:shd w:val="clear" w:color="auto" w:fill="D9D9D9"/>
          </w:tcPr>
          <w:p w14:paraId="219ABBBD" w14:textId="77777777" w:rsidR="00E47FB6" w:rsidRPr="00E02801" w:rsidRDefault="00E47FB6" w:rsidP="000858DA">
            <w:pPr>
              <w:pStyle w:val="TableParagraph"/>
              <w:spacing w:line="258" w:lineRule="exact"/>
              <w:ind w:left="0"/>
              <w:rPr>
                <w:rFonts w:ascii="Aptos" w:hAnsi="Aptos"/>
                <w:b/>
                <w:sz w:val="24"/>
              </w:rPr>
            </w:pPr>
            <w:r w:rsidRPr="004D0DD6">
              <w:rPr>
                <w:rFonts w:ascii="Aptos" w:hAnsi="Aptos"/>
                <w:b/>
                <w:szCs w:val="20"/>
              </w:rPr>
              <w:t>Background</w:t>
            </w:r>
          </w:p>
        </w:tc>
      </w:tr>
      <w:tr w:rsidR="00E47FB6" w:rsidRPr="00E47FB6" w14:paraId="71CB3427" w14:textId="77777777" w:rsidTr="00BC4DE4">
        <w:trPr>
          <w:trHeight w:val="1296"/>
        </w:trPr>
        <w:tc>
          <w:tcPr>
            <w:tcW w:w="9066" w:type="dxa"/>
          </w:tcPr>
          <w:p w14:paraId="067FAFFC" w14:textId="73BDEF6B" w:rsidR="00E47FB6" w:rsidRDefault="00E47FB6" w:rsidP="002D73DA">
            <w:pPr>
              <w:pStyle w:val="TableParagraph"/>
              <w:spacing w:before="3" w:line="239" w:lineRule="exact"/>
              <w:ind w:left="0"/>
              <w:jc w:val="both"/>
              <w:rPr>
                <w:rFonts w:ascii="Aptos" w:hAnsi="Aptos"/>
                <w:color w:val="0D0D0D"/>
              </w:rPr>
            </w:pPr>
            <w:r w:rsidRPr="00E47FB6">
              <w:rPr>
                <w:rFonts w:ascii="Aptos" w:hAnsi="Aptos"/>
                <w:color w:val="0D0D0D"/>
              </w:rPr>
              <w:t>A strong euro is a key factor in the prosperity of Europe. In this context, the strengthening of the monetary union in the EU is a key building block for the confidence of financial market participants and the creation of a common market for safe assets. Investors are keen to access markets for safe assets, as they offer stable returns and low default risk</w:t>
            </w:r>
            <w:r w:rsidR="000636A7">
              <w:rPr>
                <w:rFonts w:ascii="Aptos" w:hAnsi="Aptos"/>
                <w:color w:val="0D0D0D"/>
              </w:rPr>
              <w:t xml:space="preserve"> </w:t>
            </w:r>
            <w:r w:rsidR="000636A7">
              <w:rPr>
                <w:rStyle w:val="FootnoteReference"/>
                <w:rFonts w:ascii="Aptos" w:hAnsi="Aptos"/>
                <w:color w:val="0D0D0D"/>
              </w:rPr>
              <w:footnoteReference w:id="3"/>
            </w:r>
            <w:r w:rsidRPr="00E47FB6">
              <w:rPr>
                <w:rFonts w:ascii="Aptos" w:hAnsi="Aptos"/>
                <w:color w:val="0D0D0D"/>
              </w:rPr>
              <w:t>. Such markets typically comprise high-quality government bonds and other financial instruments that are considered very safe. In the EU, for instance, joint bond issues or highly rated government bonds from member states could serve as safe assets. The closer integration of the monetary union can foster the development of such markets by increasing the availability of safe assets while strengthening the euro area's resilience to economic shocks. From the perspective of the provision of public services, stable capital markets that promote relevant sectors and safeguard future investments are of great importance.</w:t>
            </w:r>
          </w:p>
          <w:p w14:paraId="6B748359" w14:textId="77777777" w:rsidR="002D73DA" w:rsidRDefault="002D73DA" w:rsidP="002D73DA">
            <w:pPr>
              <w:pStyle w:val="TableParagraph"/>
              <w:spacing w:before="3" w:line="239" w:lineRule="exact"/>
              <w:ind w:left="0"/>
              <w:jc w:val="both"/>
              <w:rPr>
                <w:rFonts w:ascii="Aptos" w:hAnsi="Aptos"/>
                <w:color w:val="0D0D0D"/>
              </w:rPr>
            </w:pPr>
          </w:p>
          <w:p w14:paraId="789DA112" w14:textId="77777777" w:rsidR="002D73DA" w:rsidRDefault="002D73DA" w:rsidP="002D73DA">
            <w:pPr>
              <w:pStyle w:val="TableParagraph"/>
              <w:spacing w:before="3" w:line="239" w:lineRule="exact"/>
              <w:ind w:left="0"/>
              <w:jc w:val="both"/>
              <w:rPr>
                <w:rFonts w:ascii="Aptos" w:hAnsi="Aptos"/>
                <w:color w:val="0D0D0D"/>
              </w:rPr>
            </w:pPr>
          </w:p>
          <w:p w14:paraId="7C26A66A" w14:textId="2BD4B047" w:rsidR="002D73DA" w:rsidRPr="00E47FB6" w:rsidRDefault="002D73DA" w:rsidP="002D73DA">
            <w:pPr>
              <w:pStyle w:val="TableParagraph"/>
              <w:spacing w:before="3" w:line="239" w:lineRule="exact"/>
              <w:ind w:left="0"/>
              <w:jc w:val="both"/>
              <w:rPr>
                <w:rFonts w:ascii="Aptos" w:hAnsi="Aptos"/>
                <w:color w:val="0D0D0D"/>
              </w:rPr>
            </w:pPr>
          </w:p>
        </w:tc>
      </w:tr>
      <w:bookmarkEnd w:id="27"/>
    </w:tbl>
    <w:p w14:paraId="065212AC" w14:textId="77777777" w:rsidR="003B777E" w:rsidRPr="00E47FB6" w:rsidRDefault="003B777E">
      <w:pPr>
        <w:rPr>
          <w:rFonts w:ascii="Aptos" w:hAnsi="Aptos"/>
        </w:rPr>
        <w:sectPr w:rsidR="003B777E" w:rsidRPr="00E47FB6" w:rsidSect="00F76136">
          <w:pgSz w:w="11910" w:h="16840"/>
          <w:pgMar w:top="1418" w:right="1418" w:bottom="1134" w:left="1418" w:header="471" w:footer="1083" w:gutter="0"/>
          <w:cols w:space="720"/>
        </w:sectPr>
      </w:pPr>
    </w:p>
    <w:p w14:paraId="15A31559" w14:textId="77777777" w:rsidR="003B777E" w:rsidRPr="00E47FB6" w:rsidRDefault="003B777E">
      <w:pPr>
        <w:rPr>
          <w:rFonts w:ascii="Aptos" w:hAnsi="Aptos"/>
          <w:sz w:val="20"/>
        </w:rPr>
      </w:pPr>
    </w:p>
    <w:p w14:paraId="2C76A809" w14:textId="77777777" w:rsidR="003B777E" w:rsidRPr="00E47FB6" w:rsidRDefault="003B777E">
      <w:pPr>
        <w:spacing w:before="10"/>
        <w:rPr>
          <w:rFonts w:ascii="Aptos" w:hAnsi="Aptos"/>
          <w:sz w:val="15"/>
        </w:rPr>
      </w:pPr>
    </w:p>
    <w:tbl>
      <w:tblPr>
        <w:tblStyle w:val="TableNormal1"/>
        <w:tblpPr w:leftFromText="141" w:rightFromText="141" w:vertAnchor="text" w:horzAnchor="margin" w:tblpY="60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ED2EDD" w:rsidRPr="009B5839" w14:paraId="39C9621E" w14:textId="77777777" w:rsidTr="00ED2EDD">
        <w:trPr>
          <w:trHeight w:val="494"/>
        </w:trPr>
        <w:tc>
          <w:tcPr>
            <w:tcW w:w="9066" w:type="dxa"/>
            <w:shd w:val="clear" w:color="auto" w:fill="D9D9D9"/>
          </w:tcPr>
          <w:p w14:paraId="3EFAE253" w14:textId="77777777" w:rsidR="00ED2EDD" w:rsidRPr="009B5839" w:rsidRDefault="00ED2EDD" w:rsidP="00ED2EDD">
            <w:pPr>
              <w:pStyle w:val="TableParagraph"/>
              <w:spacing w:before="115"/>
              <w:rPr>
                <w:rFonts w:ascii="Aptos" w:hAnsi="Aptos"/>
                <w:b/>
              </w:rPr>
            </w:pPr>
            <w:bookmarkStart w:id="28" w:name="New_public_financing_methods_(ASFINAG_mo"/>
            <w:bookmarkStart w:id="29" w:name="_bookmark8"/>
            <w:bookmarkStart w:id="30" w:name="_Toc168584194"/>
            <w:bookmarkStart w:id="31" w:name="_Hlk170382191"/>
            <w:bookmarkEnd w:id="28"/>
            <w:bookmarkEnd w:id="29"/>
            <w:r w:rsidRPr="009B5839">
              <w:rPr>
                <w:rFonts w:ascii="Aptos" w:hAnsi="Aptos"/>
                <w:b/>
              </w:rPr>
              <w:t>Question</w:t>
            </w:r>
          </w:p>
        </w:tc>
      </w:tr>
      <w:tr w:rsidR="00ED2EDD" w:rsidRPr="009B5839" w14:paraId="2F683E0A" w14:textId="77777777" w:rsidTr="00ED2EDD">
        <w:trPr>
          <w:trHeight w:val="2011"/>
        </w:trPr>
        <w:tc>
          <w:tcPr>
            <w:tcW w:w="9066" w:type="dxa"/>
          </w:tcPr>
          <w:p w14:paraId="7DC5FC2D" w14:textId="77777777" w:rsidR="00ED2EDD" w:rsidRPr="009B5839" w:rsidRDefault="00ED2EDD" w:rsidP="00ED2EDD">
            <w:pPr>
              <w:pStyle w:val="TableParagraph"/>
              <w:spacing w:before="120"/>
              <w:ind w:right="92"/>
              <w:jc w:val="both"/>
              <w:rPr>
                <w:rFonts w:ascii="Aptos" w:hAnsi="Aptos"/>
                <w:b/>
              </w:rPr>
            </w:pPr>
            <w:r w:rsidRPr="0090586E">
              <w:rPr>
                <w:rFonts w:ascii="Aptos" w:hAnsi="Aptos"/>
              </w:rPr>
              <w:t xml:space="preserve">The current regulatory framework, which includes restrictive deficit rules, makes it challenging for infrastructure projects to be financed through debt. Government guarantees can help to bridge this gap. The Austrian ASFINAG provides a successful example of how state-guaranteed financing can facilitate significant investment, which in turn stimulates the economy. A similar model could be implemented for social housing by the state subsidising low interest rates. In light of the current economic climate, which is characterised by rising inflation and high interest rates, such forms of financing are particularly urgent. </w:t>
            </w:r>
            <w:r w:rsidRPr="0090586E">
              <w:rPr>
                <w:rFonts w:ascii="Aptos" w:hAnsi="Aptos"/>
                <w:b/>
                <w:bCs/>
              </w:rPr>
              <w:t>Please outline your views on the role of state guarantees in the financing of infrastructure projects.</w:t>
            </w:r>
          </w:p>
        </w:tc>
      </w:tr>
      <w:tr w:rsidR="00ED2EDD" w:rsidRPr="009B5839" w14:paraId="7E051AD6" w14:textId="77777777" w:rsidTr="00ED2EDD">
        <w:trPr>
          <w:trHeight w:val="494"/>
        </w:trPr>
        <w:tc>
          <w:tcPr>
            <w:tcW w:w="9066" w:type="dxa"/>
            <w:shd w:val="clear" w:color="auto" w:fill="D9D9D9"/>
          </w:tcPr>
          <w:p w14:paraId="4D20CA7E" w14:textId="77777777" w:rsidR="00ED2EDD" w:rsidRPr="009B5839" w:rsidRDefault="00ED2EDD" w:rsidP="00ED2EDD">
            <w:pPr>
              <w:pStyle w:val="TableParagraph"/>
              <w:spacing w:before="115"/>
              <w:rPr>
                <w:rFonts w:ascii="Aptos" w:hAnsi="Aptos"/>
                <w:b/>
              </w:rPr>
            </w:pPr>
            <w:r>
              <w:rPr>
                <w:rFonts w:ascii="Aptos" w:hAnsi="Aptos"/>
                <w:b/>
              </w:rPr>
              <w:t>Further question</w:t>
            </w:r>
          </w:p>
        </w:tc>
      </w:tr>
      <w:tr w:rsidR="00ED2EDD" w:rsidRPr="009B5839" w14:paraId="47AB6843" w14:textId="77777777" w:rsidTr="00ED2EDD">
        <w:trPr>
          <w:trHeight w:val="743"/>
        </w:trPr>
        <w:tc>
          <w:tcPr>
            <w:tcW w:w="9066" w:type="dxa"/>
          </w:tcPr>
          <w:p w14:paraId="24E3867E" w14:textId="77777777" w:rsidR="00ED2EDD" w:rsidRPr="0090586E" w:rsidRDefault="00ED2EDD" w:rsidP="00ED2EDD">
            <w:pPr>
              <w:pStyle w:val="TableParagraph"/>
              <w:numPr>
                <w:ilvl w:val="0"/>
                <w:numId w:val="30"/>
              </w:numPr>
              <w:tabs>
                <w:tab w:val="left" w:pos="831"/>
              </w:tabs>
              <w:spacing w:before="120"/>
              <w:ind w:right="111"/>
              <w:rPr>
                <w:rFonts w:ascii="Aptos" w:hAnsi="Aptos"/>
              </w:rPr>
            </w:pPr>
            <w:r w:rsidRPr="0090586E">
              <w:rPr>
                <w:rFonts w:ascii="Aptos" w:hAnsi="Aptos"/>
              </w:rPr>
              <w:t>Please outline the initiatives you plan to implement to enable public players to finance infrastructure projects (housing, roads, energy) outside of PPP models.</w:t>
            </w:r>
          </w:p>
        </w:tc>
      </w:tr>
    </w:tbl>
    <w:p w14:paraId="5F193DA8" w14:textId="0BA70B83" w:rsidR="003B777E" w:rsidRDefault="00000000" w:rsidP="00ED2EDD">
      <w:pPr>
        <w:pStyle w:val="Heading2"/>
        <w:rPr>
          <w:rFonts w:ascii="Aptos" w:hAnsi="Aptos"/>
          <w:b/>
          <w:bCs/>
          <w:color w:val="FF0000"/>
          <w:sz w:val="24"/>
          <w:szCs w:val="24"/>
        </w:rPr>
      </w:pPr>
      <w:r w:rsidRPr="000E5FB9">
        <w:rPr>
          <w:rFonts w:ascii="Aptos" w:hAnsi="Aptos"/>
          <w:b/>
          <w:bCs/>
          <w:color w:val="FF0000"/>
          <w:sz w:val="24"/>
          <w:szCs w:val="24"/>
        </w:rPr>
        <w:t>New public financing methods (</w:t>
      </w:r>
      <w:r w:rsidR="00167133" w:rsidRPr="000E5FB9">
        <w:rPr>
          <w:rFonts w:ascii="Aptos" w:hAnsi="Aptos"/>
          <w:b/>
          <w:bCs/>
          <w:color w:val="FF0000"/>
          <w:sz w:val="24"/>
          <w:szCs w:val="24"/>
        </w:rPr>
        <w:t xml:space="preserve">Austrians </w:t>
      </w:r>
      <w:r w:rsidRPr="000E5FB9">
        <w:rPr>
          <w:rFonts w:ascii="Aptos" w:hAnsi="Aptos"/>
          <w:b/>
          <w:bCs/>
          <w:color w:val="FF0000"/>
          <w:sz w:val="24"/>
          <w:szCs w:val="24"/>
        </w:rPr>
        <w:t>ASFINAG model)</w:t>
      </w:r>
      <w:bookmarkEnd w:id="30"/>
    </w:p>
    <w:p w14:paraId="37A393AD" w14:textId="77777777" w:rsidR="002E44BC" w:rsidRPr="002E44BC" w:rsidRDefault="002E44BC" w:rsidP="002E44BC"/>
    <w:p w14:paraId="251CC2EC" w14:textId="77777777" w:rsidR="003B777E" w:rsidRPr="009B5839" w:rsidRDefault="003B777E">
      <w:pPr>
        <w:pStyle w:val="BodyText"/>
        <w:rPr>
          <w:rFonts w:ascii="Aptos" w:hAnsi="Aptos"/>
        </w:rPr>
      </w:pPr>
    </w:p>
    <w:tbl>
      <w:tblPr>
        <w:tblStyle w:val="TableNormal1"/>
        <w:tblW w:w="9072" w:type="dxa"/>
        <w:tblLayout w:type="fixed"/>
        <w:tblLook w:val="01E0" w:firstRow="1" w:lastRow="1" w:firstColumn="1" w:lastColumn="1" w:noHBand="0" w:noVBand="0"/>
      </w:tblPr>
      <w:tblGrid>
        <w:gridCol w:w="9072"/>
      </w:tblGrid>
      <w:tr w:rsidR="00E47FB6" w:rsidRPr="00E02801" w14:paraId="6BEF4C85" w14:textId="77777777" w:rsidTr="00ED2EDD">
        <w:trPr>
          <w:trHeight w:val="277"/>
        </w:trPr>
        <w:tc>
          <w:tcPr>
            <w:tcW w:w="9072" w:type="dxa"/>
            <w:shd w:val="clear" w:color="auto" w:fill="D9D9D9"/>
          </w:tcPr>
          <w:p w14:paraId="557E5E2A" w14:textId="77777777" w:rsidR="00E47FB6" w:rsidRPr="00E02801" w:rsidRDefault="00E47FB6" w:rsidP="000858DA">
            <w:pPr>
              <w:pStyle w:val="TableParagraph"/>
              <w:spacing w:line="258" w:lineRule="exact"/>
              <w:ind w:left="0"/>
              <w:rPr>
                <w:rFonts w:ascii="Aptos" w:hAnsi="Aptos"/>
                <w:b/>
                <w:sz w:val="24"/>
              </w:rPr>
            </w:pPr>
            <w:r w:rsidRPr="004D0DD6">
              <w:rPr>
                <w:rFonts w:ascii="Aptos" w:hAnsi="Aptos"/>
                <w:b/>
                <w:szCs w:val="20"/>
              </w:rPr>
              <w:t>Background</w:t>
            </w:r>
          </w:p>
        </w:tc>
      </w:tr>
      <w:tr w:rsidR="00E47FB6" w:rsidRPr="00826A6F" w14:paraId="4BEC1E93" w14:textId="77777777" w:rsidTr="00ED2EDD">
        <w:trPr>
          <w:trHeight w:val="5351"/>
        </w:trPr>
        <w:tc>
          <w:tcPr>
            <w:tcW w:w="9072" w:type="dxa"/>
          </w:tcPr>
          <w:p w14:paraId="7308D47F" w14:textId="6B207C26" w:rsidR="00E47FB6" w:rsidRDefault="00E47FB6" w:rsidP="002A6988">
            <w:pPr>
              <w:pStyle w:val="TableParagraph"/>
              <w:spacing w:before="3" w:line="239" w:lineRule="exact"/>
              <w:ind w:left="0"/>
              <w:jc w:val="both"/>
              <w:rPr>
                <w:rFonts w:ascii="Aptos" w:hAnsi="Aptos"/>
                <w:color w:val="0D0D0D"/>
              </w:rPr>
            </w:pPr>
            <w:r w:rsidRPr="00E47FB6">
              <w:rPr>
                <w:rFonts w:ascii="Aptos" w:hAnsi="Aptos"/>
                <w:color w:val="0D0D0D"/>
              </w:rPr>
              <w:t>In order to facilitate the necessary infrastructure investments in the EU, new models of public financing are required. For instance, debt with state guarantees can facilitate the necessary capital, as evidenced by the success of ASFINAG. ASFINAG (</w:t>
            </w:r>
            <w:r w:rsidR="002A6988">
              <w:rPr>
                <w:rFonts w:ascii="Aptos" w:hAnsi="Aptos"/>
                <w:color w:val="0D0D0D"/>
              </w:rPr>
              <w:t>“</w:t>
            </w:r>
            <w:r w:rsidRPr="00E47FB6">
              <w:rPr>
                <w:rFonts w:ascii="Aptos" w:hAnsi="Aptos"/>
                <w:color w:val="0D0D0D"/>
              </w:rPr>
              <w:t>Autobahnen- und Schnellstraßen-Finanzierungs-Aktiengesellschaft</w:t>
            </w:r>
            <w:r w:rsidR="002A6988">
              <w:rPr>
                <w:rFonts w:ascii="Aptos" w:hAnsi="Aptos"/>
                <w:color w:val="0D0D0D"/>
              </w:rPr>
              <w:t>”</w:t>
            </w:r>
            <w:r w:rsidRPr="00E47FB6">
              <w:rPr>
                <w:rFonts w:ascii="Aptos" w:hAnsi="Aptos"/>
                <w:color w:val="0D0D0D"/>
              </w:rPr>
              <w:t>) is an Austrian company responsible for the planning, construction, financing and operation of motorways and expressways in Austria. ASFINAG is primarily financed through tolls and government-guaranteed bonds. The government guarantees enable ASFINAG to borrow money on favourable terms on the capital markets, allowing it to finance the necessary infrastructure projects. This method has proven</w:t>
            </w:r>
            <w:r w:rsidR="009642E0">
              <w:rPr>
                <w:rFonts w:ascii="Aptos" w:hAnsi="Aptos"/>
                <w:color w:val="0D0D0D"/>
              </w:rPr>
              <w:t xml:space="preserve"> to be</w:t>
            </w:r>
            <w:r w:rsidRPr="00E47FB6">
              <w:rPr>
                <w:rFonts w:ascii="Aptos" w:hAnsi="Aptos"/>
                <w:color w:val="0D0D0D"/>
              </w:rPr>
              <w:t xml:space="preserve"> effective, enabling ASFINAG to make significant investments in transport infrastructure without contravening government budgetary constraints</w:t>
            </w:r>
            <w:r w:rsidR="002D73DA">
              <w:rPr>
                <w:rFonts w:ascii="Aptos" w:hAnsi="Aptos"/>
                <w:color w:val="0D0D0D"/>
              </w:rPr>
              <w:t xml:space="preserve"> </w:t>
            </w:r>
            <w:r w:rsidR="002D73DA">
              <w:rPr>
                <w:rStyle w:val="FootnoteReference"/>
                <w:rFonts w:ascii="Aptos" w:hAnsi="Aptos"/>
                <w:color w:val="0D0D0D"/>
              </w:rPr>
              <w:footnoteReference w:id="4"/>
            </w:r>
            <w:r w:rsidRPr="00E47FB6">
              <w:rPr>
                <w:rFonts w:ascii="Aptos" w:hAnsi="Aptos"/>
                <w:color w:val="0D0D0D"/>
              </w:rPr>
              <w:t xml:space="preserve">. Similar models could also be </w:t>
            </w:r>
            <w:r w:rsidR="009642E0" w:rsidRPr="009642E0">
              <w:rPr>
                <w:rFonts w:ascii="Aptos" w:hAnsi="Aptos"/>
                <w:color w:val="0D0D0D"/>
              </w:rPr>
              <w:t xml:space="preserve">applied to the construction of social housing </w:t>
            </w:r>
            <w:r w:rsidRPr="00E47FB6">
              <w:rPr>
                <w:rFonts w:ascii="Aptos" w:hAnsi="Aptos"/>
                <w:color w:val="0D0D0D"/>
              </w:rPr>
              <w:t xml:space="preserve">through government interest subsidies. In light of rising inflation and high interest rates, such forms of financing are essential to create </w:t>
            </w:r>
            <w:r w:rsidR="009642E0">
              <w:rPr>
                <w:rFonts w:ascii="Aptos" w:hAnsi="Aptos"/>
                <w:color w:val="0D0D0D"/>
              </w:rPr>
              <w:t xml:space="preserve">a </w:t>
            </w:r>
            <w:r w:rsidRPr="00E47FB6">
              <w:rPr>
                <w:rFonts w:ascii="Aptos" w:hAnsi="Aptos"/>
                <w:color w:val="0D0D0D"/>
              </w:rPr>
              <w:t xml:space="preserve">much-needed living space while minimising the burden on the state budget. State guarantees would ensure that investments in social projects could continue even in unfavourable market conditions. From the perspective of ensuring the provision of essential services, such forms of financing are attractive alternatives to risky public-private partnership models, allowing for the secure investment of necessary infrastructure. </w:t>
            </w:r>
          </w:p>
          <w:p w14:paraId="3769F19D" w14:textId="77777777" w:rsidR="00E47FB6" w:rsidRDefault="00E47FB6" w:rsidP="00C83B29">
            <w:pPr>
              <w:pStyle w:val="TableParagraph"/>
              <w:spacing w:before="3" w:line="239" w:lineRule="exact"/>
              <w:jc w:val="both"/>
              <w:rPr>
                <w:rFonts w:ascii="Aptos" w:hAnsi="Aptos"/>
                <w:color w:val="0D0D0D"/>
              </w:rPr>
            </w:pPr>
          </w:p>
          <w:p w14:paraId="39BE1303" w14:textId="0C7BCB8D" w:rsidR="00E47FB6" w:rsidRPr="002F336D" w:rsidRDefault="00E47FB6" w:rsidP="00E47FB6">
            <w:pPr>
              <w:pStyle w:val="TableParagraph"/>
              <w:spacing w:before="3" w:line="239" w:lineRule="exact"/>
              <w:ind w:left="360"/>
              <w:jc w:val="both"/>
              <w:rPr>
                <w:rFonts w:ascii="Aptos" w:hAnsi="Aptos"/>
                <w:color w:val="0D0D0D"/>
              </w:rPr>
            </w:pPr>
          </w:p>
        </w:tc>
      </w:tr>
      <w:bookmarkEnd w:id="31"/>
    </w:tbl>
    <w:p w14:paraId="2EB0B6FF" w14:textId="77777777" w:rsidR="003B777E" w:rsidRPr="002F336D" w:rsidRDefault="003B777E">
      <w:pPr>
        <w:rPr>
          <w:rFonts w:ascii="Aptos" w:hAnsi="Aptos"/>
        </w:rPr>
        <w:sectPr w:rsidR="003B777E" w:rsidRPr="002F336D" w:rsidSect="00ED2EDD">
          <w:pgSz w:w="11910" w:h="16840"/>
          <w:pgMar w:top="1418" w:right="1418" w:bottom="1134" w:left="1418" w:header="472" w:footer="1083" w:gutter="0"/>
          <w:cols w:space="720"/>
          <w:docGrid w:linePitch="299"/>
        </w:sectPr>
      </w:pPr>
    </w:p>
    <w:p w14:paraId="4C6912C0" w14:textId="77777777" w:rsidR="003B777E" w:rsidRPr="002F336D" w:rsidRDefault="003B777E">
      <w:pPr>
        <w:rPr>
          <w:rFonts w:ascii="Aptos" w:hAnsi="Aptos"/>
          <w:sz w:val="20"/>
        </w:rPr>
      </w:pPr>
    </w:p>
    <w:p w14:paraId="76013FD7" w14:textId="77777777" w:rsidR="003B777E" w:rsidRPr="002F336D" w:rsidRDefault="003B777E">
      <w:pPr>
        <w:spacing w:before="10"/>
        <w:rPr>
          <w:rFonts w:ascii="Aptos" w:hAnsi="Aptos"/>
          <w:sz w:val="15"/>
        </w:rPr>
      </w:pPr>
    </w:p>
    <w:p w14:paraId="28FB111F" w14:textId="77777777" w:rsidR="003B777E" w:rsidRPr="000E5FB9" w:rsidRDefault="00000000" w:rsidP="00ED2EDD">
      <w:pPr>
        <w:pStyle w:val="Heading2"/>
        <w:rPr>
          <w:rFonts w:ascii="Aptos" w:hAnsi="Aptos"/>
          <w:b/>
          <w:bCs/>
          <w:color w:val="FF0000"/>
          <w:sz w:val="24"/>
          <w:szCs w:val="24"/>
        </w:rPr>
      </w:pPr>
      <w:bookmarkStart w:id="32" w:name="Deepening_the_capital_markets_union"/>
      <w:bookmarkStart w:id="33" w:name="_bookmark9"/>
      <w:bookmarkStart w:id="34" w:name="_Toc168584195"/>
      <w:bookmarkStart w:id="35" w:name="_Hlk170382292"/>
      <w:bookmarkEnd w:id="32"/>
      <w:bookmarkEnd w:id="33"/>
      <w:r w:rsidRPr="000E5FB9">
        <w:rPr>
          <w:rFonts w:ascii="Aptos" w:hAnsi="Aptos"/>
          <w:b/>
          <w:bCs/>
          <w:color w:val="FF0000"/>
          <w:sz w:val="24"/>
          <w:szCs w:val="24"/>
        </w:rPr>
        <w:t>Deepening the capital markets union</w:t>
      </w:r>
      <w:bookmarkEnd w:id="34"/>
    </w:p>
    <w:p w14:paraId="3BB1EFA4" w14:textId="77777777" w:rsidR="003B777E" w:rsidRPr="009B5839" w:rsidRDefault="003B777E">
      <w:pPr>
        <w:pStyle w:val="BodyText"/>
        <w:spacing w:before="11"/>
        <w:rPr>
          <w:rFonts w:ascii="Aptos" w:hAnsi="Aptos"/>
          <w:sz w:val="23"/>
        </w:rPr>
      </w:pPr>
    </w:p>
    <w:tbl>
      <w:tblPr>
        <w:tblStyle w:val="TableNormal1"/>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66"/>
      </w:tblGrid>
      <w:tr w:rsidR="003B777E" w:rsidRPr="009B5839" w14:paraId="148C4937" w14:textId="77777777" w:rsidTr="00ED2EDD">
        <w:trPr>
          <w:trHeight w:val="489"/>
        </w:trPr>
        <w:tc>
          <w:tcPr>
            <w:tcW w:w="9066" w:type="dxa"/>
            <w:shd w:val="clear" w:color="auto" w:fill="D9D9D9"/>
          </w:tcPr>
          <w:p w14:paraId="34434A75" w14:textId="77777777" w:rsidR="003B777E" w:rsidRPr="009B5839" w:rsidRDefault="00000000">
            <w:pPr>
              <w:pStyle w:val="TableParagraph"/>
              <w:spacing w:before="115"/>
              <w:ind w:left="115"/>
              <w:rPr>
                <w:rFonts w:ascii="Aptos" w:hAnsi="Aptos"/>
                <w:b/>
              </w:rPr>
            </w:pPr>
            <w:r w:rsidRPr="009B5839">
              <w:rPr>
                <w:rFonts w:ascii="Aptos" w:hAnsi="Aptos"/>
                <w:b/>
              </w:rPr>
              <w:t>Question</w:t>
            </w:r>
          </w:p>
        </w:tc>
      </w:tr>
      <w:tr w:rsidR="003B777E" w:rsidRPr="009B5839" w14:paraId="3BF410DC" w14:textId="77777777" w:rsidTr="00ED2EDD">
        <w:trPr>
          <w:trHeight w:val="1756"/>
        </w:trPr>
        <w:tc>
          <w:tcPr>
            <w:tcW w:w="9066" w:type="dxa"/>
          </w:tcPr>
          <w:p w14:paraId="64E18D3C" w14:textId="024C4C85" w:rsidR="003B777E" w:rsidRPr="009B5839" w:rsidRDefault="00167133">
            <w:pPr>
              <w:pStyle w:val="TableParagraph"/>
              <w:spacing w:before="120"/>
              <w:ind w:right="98"/>
              <w:jc w:val="both"/>
              <w:rPr>
                <w:rFonts w:ascii="Aptos" w:hAnsi="Aptos"/>
                <w:b/>
              </w:rPr>
            </w:pPr>
            <w:r w:rsidRPr="00167133">
              <w:rPr>
                <w:rFonts w:ascii="Aptos" w:hAnsi="Aptos"/>
              </w:rPr>
              <w:t>The Capital Markets Union is a cornerstone of European financial integration, facilitating the cross-border movement of capital. It is also an important factor in Europe’s attractiveness as a business location, from a geopolitical perspective. However, there is still tax competition between member states, which has the effect of reducing the services available to EU citizens at the expense of public revenue.</w:t>
            </w:r>
            <w:r w:rsidRPr="00167133">
              <w:rPr>
                <w:rFonts w:ascii="Aptos" w:hAnsi="Aptos"/>
                <w:b/>
                <w:bCs/>
              </w:rPr>
              <w:t xml:space="preserve"> Please outline your plans for further deepening the Capital Markets Union.</w:t>
            </w:r>
          </w:p>
        </w:tc>
      </w:tr>
      <w:tr w:rsidR="003B777E" w:rsidRPr="009B5839" w14:paraId="7C2E3186" w14:textId="77777777" w:rsidTr="00ED2EDD">
        <w:trPr>
          <w:trHeight w:val="494"/>
        </w:trPr>
        <w:tc>
          <w:tcPr>
            <w:tcW w:w="9066" w:type="dxa"/>
            <w:shd w:val="clear" w:color="auto" w:fill="D9D9D9"/>
          </w:tcPr>
          <w:p w14:paraId="1D37AE80" w14:textId="72DB73B6" w:rsidR="003B777E" w:rsidRPr="009B5839" w:rsidRDefault="00F95277">
            <w:pPr>
              <w:pStyle w:val="TableParagraph"/>
              <w:spacing w:before="120"/>
              <w:rPr>
                <w:rFonts w:ascii="Aptos" w:hAnsi="Aptos"/>
                <w:b/>
              </w:rPr>
            </w:pPr>
            <w:r>
              <w:rPr>
                <w:rFonts w:ascii="Aptos" w:hAnsi="Aptos"/>
                <w:b/>
              </w:rPr>
              <w:t>Further questions</w:t>
            </w:r>
          </w:p>
        </w:tc>
      </w:tr>
      <w:tr w:rsidR="003B777E" w:rsidRPr="009B5839" w14:paraId="2586B880" w14:textId="77777777" w:rsidTr="00ED2EDD">
        <w:trPr>
          <w:trHeight w:val="748"/>
        </w:trPr>
        <w:tc>
          <w:tcPr>
            <w:tcW w:w="9066" w:type="dxa"/>
          </w:tcPr>
          <w:p w14:paraId="62697225" w14:textId="77777777" w:rsidR="00167133" w:rsidRPr="00167133" w:rsidRDefault="00167133" w:rsidP="00ED2EDD">
            <w:pPr>
              <w:pStyle w:val="TableParagraph"/>
              <w:numPr>
                <w:ilvl w:val="0"/>
                <w:numId w:val="37"/>
              </w:numPr>
              <w:tabs>
                <w:tab w:val="left" w:pos="831"/>
              </w:tabs>
              <w:spacing w:before="120" w:after="120"/>
              <w:ind w:left="811" w:right="96" w:hanging="340"/>
              <w:jc w:val="both"/>
              <w:rPr>
                <w:rFonts w:ascii="Aptos" w:hAnsi="Aptos"/>
              </w:rPr>
            </w:pPr>
            <w:r w:rsidRPr="00167133">
              <w:rPr>
                <w:rFonts w:ascii="Aptos" w:hAnsi="Aptos"/>
              </w:rPr>
              <w:t>Please provide your views on the role of harmonising tax systems.</w:t>
            </w:r>
          </w:p>
          <w:p w14:paraId="0709FEF5" w14:textId="024CD1D5" w:rsidR="003B777E" w:rsidRPr="009B5839" w:rsidRDefault="00167133" w:rsidP="00ED2EDD">
            <w:pPr>
              <w:pStyle w:val="TableParagraph"/>
              <w:numPr>
                <w:ilvl w:val="0"/>
                <w:numId w:val="37"/>
              </w:numPr>
              <w:tabs>
                <w:tab w:val="left" w:pos="831"/>
              </w:tabs>
              <w:spacing w:before="120" w:after="120"/>
              <w:ind w:left="811" w:right="96" w:hanging="340"/>
              <w:jc w:val="both"/>
              <w:rPr>
                <w:rFonts w:ascii="Aptos" w:hAnsi="Aptos"/>
              </w:rPr>
            </w:pPr>
            <w:r w:rsidRPr="00167133">
              <w:rPr>
                <w:rFonts w:ascii="Aptos" w:hAnsi="Aptos"/>
              </w:rPr>
              <w:t>Are you planning to harmonise corporation tax and insolvency law?</w:t>
            </w:r>
          </w:p>
        </w:tc>
      </w:tr>
    </w:tbl>
    <w:p w14:paraId="3C60C285" w14:textId="77777777" w:rsidR="003B777E" w:rsidRPr="009B5839" w:rsidRDefault="003B777E">
      <w:pPr>
        <w:pStyle w:val="BodyText"/>
        <w:rPr>
          <w:rFonts w:ascii="Aptos" w:hAnsi="Aptos"/>
        </w:rPr>
      </w:pPr>
    </w:p>
    <w:tbl>
      <w:tblPr>
        <w:tblStyle w:val="TableNormal1"/>
        <w:tblW w:w="9072" w:type="dxa"/>
        <w:tblLayout w:type="fixed"/>
        <w:tblLook w:val="01E0" w:firstRow="1" w:lastRow="1" w:firstColumn="1" w:lastColumn="1" w:noHBand="0" w:noVBand="0"/>
      </w:tblPr>
      <w:tblGrid>
        <w:gridCol w:w="9072"/>
      </w:tblGrid>
      <w:tr w:rsidR="00E47FB6" w:rsidRPr="00E02801" w14:paraId="66B0B499" w14:textId="77777777" w:rsidTr="00ED2EDD">
        <w:trPr>
          <w:trHeight w:val="277"/>
        </w:trPr>
        <w:tc>
          <w:tcPr>
            <w:tcW w:w="9072" w:type="dxa"/>
            <w:shd w:val="clear" w:color="auto" w:fill="D9D9D9"/>
          </w:tcPr>
          <w:p w14:paraId="5D782F05" w14:textId="77777777" w:rsidR="00E47FB6" w:rsidRPr="00E02801" w:rsidRDefault="00E47FB6" w:rsidP="000858DA">
            <w:pPr>
              <w:pStyle w:val="TableParagraph"/>
              <w:spacing w:line="258" w:lineRule="exact"/>
              <w:ind w:left="0"/>
              <w:rPr>
                <w:rFonts w:ascii="Aptos" w:hAnsi="Aptos"/>
                <w:b/>
                <w:sz w:val="24"/>
              </w:rPr>
            </w:pPr>
            <w:r w:rsidRPr="004D0DD6">
              <w:rPr>
                <w:rFonts w:ascii="Aptos" w:hAnsi="Aptos"/>
                <w:b/>
                <w:szCs w:val="20"/>
              </w:rPr>
              <w:t>Background</w:t>
            </w:r>
          </w:p>
        </w:tc>
      </w:tr>
      <w:tr w:rsidR="00E47FB6" w:rsidRPr="00E47FB6" w14:paraId="2A3EE09F" w14:textId="77777777" w:rsidTr="00ED2EDD">
        <w:trPr>
          <w:trHeight w:val="3238"/>
        </w:trPr>
        <w:tc>
          <w:tcPr>
            <w:tcW w:w="9072" w:type="dxa"/>
          </w:tcPr>
          <w:p w14:paraId="2883FD31" w14:textId="371A4A1A" w:rsidR="00E47FB6" w:rsidRDefault="00E47FB6" w:rsidP="002A6988">
            <w:pPr>
              <w:pStyle w:val="TableParagraph"/>
              <w:spacing w:before="3" w:line="239" w:lineRule="exact"/>
              <w:ind w:left="0"/>
              <w:jc w:val="both"/>
              <w:rPr>
                <w:rFonts w:ascii="Aptos" w:hAnsi="Aptos"/>
                <w:color w:val="0D0D0D"/>
              </w:rPr>
            </w:pPr>
            <w:r w:rsidRPr="00E47FB6">
              <w:rPr>
                <w:rFonts w:ascii="Aptos" w:hAnsi="Aptos"/>
                <w:color w:val="0D0D0D"/>
              </w:rPr>
              <w:t>The Capital Markets Union is designed to integrate and harmonise capital markets in the EU, thereby providing companies and investors with enhanced access to finance. This is to be achieved by removing obstacles and creating a single capital market that strengthens the efficiency and competitiveness of the European financial system. The capital markets union is an essential prerequisite for overcoming the fragmentation of European financial markets and providing companies and investors with better access to financing opportunities. The path towards a capital markets union is paved with important steps, including measures to harmonise regulation</w:t>
            </w:r>
            <w:r w:rsidR="009642E0">
              <w:rPr>
                <w:rFonts w:ascii="Aptos" w:hAnsi="Aptos"/>
                <w:color w:val="0D0D0D"/>
              </w:rPr>
              <w:t>s</w:t>
            </w:r>
            <w:r w:rsidRPr="00E47FB6">
              <w:rPr>
                <w:rFonts w:ascii="Aptos" w:hAnsi="Aptos"/>
                <w:color w:val="0D0D0D"/>
              </w:rPr>
              <w:t>, the development of common standards and the promotion of investments in sustainable projects. The capital markets union is also an important building block for Europe as a business location, offering geopolitical advantages. It strengthens the EU's competitiveness in the global context and increases financial stability. From the perspective of the provision of services of general interest, the harmonisation of tax systems between EU member states is particularly relevant. This will enhance economic resilience and transparency for national supervisory authorities. Furthermore, deepening the capital market union will reduce tax competition between EU member states and the lack of transparency of capital flows. This</w:t>
            </w:r>
            <w:r w:rsidR="009642E0">
              <w:rPr>
                <w:rFonts w:ascii="Aptos" w:hAnsi="Aptos"/>
                <w:color w:val="0D0D0D"/>
              </w:rPr>
              <w:t>,</w:t>
            </w:r>
            <w:r w:rsidRPr="00E47FB6">
              <w:rPr>
                <w:rFonts w:ascii="Aptos" w:hAnsi="Aptos"/>
                <w:color w:val="0D0D0D"/>
              </w:rPr>
              <w:t xml:space="preserve"> in turn</w:t>
            </w:r>
            <w:r w:rsidR="009642E0">
              <w:rPr>
                <w:rFonts w:ascii="Aptos" w:hAnsi="Aptos"/>
                <w:color w:val="0D0D0D"/>
              </w:rPr>
              <w:t>, will curb</w:t>
            </w:r>
            <w:r w:rsidRPr="00E47FB6">
              <w:rPr>
                <w:rFonts w:ascii="Aptos" w:hAnsi="Aptos"/>
                <w:color w:val="0D0D0D"/>
              </w:rPr>
              <w:t xml:space="preserve"> tax evasion and thus free up funds for necessary infrastructure investments.</w:t>
            </w:r>
          </w:p>
          <w:p w14:paraId="4576209C" w14:textId="77777777" w:rsidR="00E47FB6" w:rsidRDefault="00E47FB6" w:rsidP="00C83B29">
            <w:pPr>
              <w:pStyle w:val="TableParagraph"/>
              <w:spacing w:before="3" w:line="239" w:lineRule="exact"/>
              <w:jc w:val="both"/>
              <w:rPr>
                <w:rFonts w:ascii="Aptos" w:hAnsi="Aptos"/>
                <w:color w:val="0D0D0D"/>
              </w:rPr>
            </w:pPr>
          </w:p>
          <w:p w14:paraId="73A208F7" w14:textId="5FCDCA40" w:rsidR="00E47FB6" w:rsidRPr="00F17AFB" w:rsidRDefault="00E47FB6" w:rsidP="00C83B29">
            <w:pPr>
              <w:pStyle w:val="TableParagraph"/>
              <w:spacing w:before="3" w:line="239" w:lineRule="exact"/>
              <w:ind w:left="360"/>
              <w:jc w:val="both"/>
              <w:rPr>
                <w:rFonts w:ascii="Aptos" w:hAnsi="Aptos"/>
                <w:color w:val="0D0D0D"/>
                <w:lang w:val="en-US"/>
              </w:rPr>
            </w:pPr>
          </w:p>
        </w:tc>
      </w:tr>
      <w:bookmarkEnd w:id="35"/>
    </w:tbl>
    <w:p w14:paraId="0E65E49A" w14:textId="77777777" w:rsidR="003B777E" w:rsidRPr="00F17AFB" w:rsidRDefault="003B777E">
      <w:pPr>
        <w:rPr>
          <w:rFonts w:ascii="Aptos" w:hAnsi="Aptos"/>
          <w:lang w:val="en-US"/>
        </w:rPr>
        <w:sectPr w:rsidR="003B777E" w:rsidRPr="00F17AFB" w:rsidSect="00ED2EDD">
          <w:pgSz w:w="11910" w:h="16840"/>
          <w:pgMar w:top="1418" w:right="1418" w:bottom="1134" w:left="1418" w:header="472" w:footer="1083" w:gutter="0"/>
          <w:cols w:space="720"/>
          <w:docGrid w:linePitch="299"/>
        </w:sectPr>
      </w:pPr>
    </w:p>
    <w:p w14:paraId="75FFA1DD" w14:textId="77777777" w:rsidR="003B777E" w:rsidRPr="00F17AFB" w:rsidRDefault="003B777E">
      <w:pPr>
        <w:rPr>
          <w:rFonts w:ascii="Aptos" w:hAnsi="Aptos"/>
          <w:sz w:val="20"/>
          <w:lang w:val="en-US"/>
        </w:rPr>
      </w:pPr>
    </w:p>
    <w:p w14:paraId="6AF184C8" w14:textId="77777777" w:rsidR="003B777E" w:rsidRPr="00F17AFB" w:rsidRDefault="003B777E">
      <w:pPr>
        <w:spacing w:before="4"/>
        <w:rPr>
          <w:rFonts w:ascii="Aptos" w:hAnsi="Aptos"/>
          <w:sz w:val="21"/>
          <w:lang w:val="en-US"/>
        </w:rPr>
      </w:pPr>
    </w:p>
    <w:p w14:paraId="03CE2DF3" w14:textId="77777777" w:rsidR="004212C9" w:rsidRDefault="004212C9" w:rsidP="00ED2EDD">
      <w:pPr>
        <w:pStyle w:val="Heading2"/>
        <w:rPr>
          <w:rFonts w:ascii="Aptos" w:hAnsi="Aptos"/>
          <w:b/>
          <w:bCs/>
          <w:color w:val="FF0000"/>
          <w:sz w:val="24"/>
          <w:szCs w:val="24"/>
        </w:rPr>
      </w:pPr>
      <w:bookmarkStart w:id="36" w:name="Improving_the_framework_conditions_for_i"/>
      <w:bookmarkStart w:id="37" w:name="_bookmark10"/>
      <w:bookmarkStart w:id="38" w:name="_Toc168584196"/>
      <w:bookmarkStart w:id="39" w:name="_Hlk170382616"/>
      <w:bookmarkEnd w:id="36"/>
      <w:bookmarkEnd w:id="37"/>
    </w:p>
    <w:p w14:paraId="4E7FE344" w14:textId="63FD3459" w:rsidR="003B777E" w:rsidRPr="000E5FB9" w:rsidRDefault="00000000" w:rsidP="00ED2EDD">
      <w:pPr>
        <w:pStyle w:val="Heading2"/>
        <w:rPr>
          <w:rFonts w:ascii="Aptos" w:hAnsi="Aptos"/>
          <w:b/>
          <w:bCs/>
          <w:color w:val="FF0000"/>
          <w:sz w:val="24"/>
          <w:szCs w:val="24"/>
        </w:rPr>
      </w:pPr>
      <w:r w:rsidRPr="000E5FB9">
        <w:rPr>
          <w:rFonts w:ascii="Aptos" w:hAnsi="Aptos"/>
          <w:b/>
          <w:bCs/>
          <w:color w:val="FF0000"/>
          <w:sz w:val="24"/>
          <w:szCs w:val="24"/>
        </w:rPr>
        <w:t>Improving the framework conditions for inter</w:t>
      </w:r>
      <w:r w:rsidR="00522880" w:rsidRPr="000E5FB9">
        <w:rPr>
          <w:rFonts w:ascii="Aptos" w:hAnsi="Aptos"/>
          <w:b/>
          <w:bCs/>
          <w:color w:val="FF0000"/>
          <w:sz w:val="24"/>
          <w:szCs w:val="24"/>
        </w:rPr>
        <w:t>-</w:t>
      </w:r>
      <w:r w:rsidRPr="000E5FB9">
        <w:rPr>
          <w:rFonts w:ascii="Aptos" w:hAnsi="Aptos"/>
          <w:b/>
          <w:bCs/>
          <w:color w:val="FF0000"/>
          <w:sz w:val="24"/>
          <w:szCs w:val="24"/>
        </w:rPr>
        <w:t>municipal cooperation</w:t>
      </w:r>
      <w:bookmarkEnd w:id="38"/>
    </w:p>
    <w:p w14:paraId="4B15DF79" w14:textId="77777777" w:rsidR="003B777E" w:rsidRPr="009B5839" w:rsidRDefault="003B777E">
      <w:pPr>
        <w:pStyle w:val="BodyText"/>
        <w:spacing w:before="6" w:after="1"/>
        <w:rPr>
          <w:rFonts w:ascii="Aptos" w:hAnsi="Aptos"/>
          <w:sz w:val="23"/>
        </w:rPr>
      </w:pP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3B777E" w:rsidRPr="009B5839" w14:paraId="0B71D348" w14:textId="77777777" w:rsidTr="004212C9">
        <w:trPr>
          <w:trHeight w:val="494"/>
        </w:trPr>
        <w:tc>
          <w:tcPr>
            <w:tcW w:w="9066" w:type="dxa"/>
            <w:shd w:val="clear" w:color="auto" w:fill="D9D9D9"/>
          </w:tcPr>
          <w:p w14:paraId="212B0BD6" w14:textId="77777777" w:rsidR="003B777E" w:rsidRPr="009B5839" w:rsidRDefault="00000000">
            <w:pPr>
              <w:pStyle w:val="TableParagraph"/>
              <w:spacing w:before="115"/>
              <w:rPr>
                <w:rFonts w:ascii="Aptos" w:hAnsi="Aptos"/>
                <w:b/>
              </w:rPr>
            </w:pPr>
            <w:r w:rsidRPr="009B5839">
              <w:rPr>
                <w:rFonts w:ascii="Aptos" w:hAnsi="Aptos"/>
                <w:b/>
              </w:rPr>
              <w:t>Question</w:t>
            </w:r>
          </w:p>
        </w:tc>
      </w:tr>
      <w:tr w:rsidR="003B777E" w:rsidRPr="009B5839" w14:paraId="631618DD" w14:textId="77777777" w:rsidTr="004212C9">
        <w:trPr>
          <w:trHeight w:val="2770"/>
        </w:trPr>
        <w:tc>
          <w:tcPr>
            <w:tcW w:w="9066" w:type="dxa"/>
          </w:tcPr>
          <w:p w14:paraId="28C33006" w14:textId="64E2A6F1" w:rsidR="003B777E" w:rsidRPr="009B5839" w:rsidRDefault="00167133">
            <w:pPr>
              <w:pStyle w:val="TableParagraph"/>
              <w:spacing w:before="115"/>
              <w:ind w:right="91"/>
              <w:jc w:val="both"/>
              <w:rPr>
                <w:rFonts w:ascii="Aptos" w:hAnsi="Aptos"/>
                <w:b/>
              </w:rPr>
            </w:pPr>
            <w:r w:rsidRPr="00167133">
              <w:rPr>
                <w:rFonts w:ascii="Aptos" w:hAnsi="Aptos"/>
              </w:rPr>
              <w:t xml:space="preserve">Inter-municipal cooperation, public law contracts and administrative communities are key instruments for the efficient fulfilment of public tasks, ensuring the economical and sustainable use of available financial resources. The focus here is on providing more services to citizens while optimising administrative costs. Since 2012, inter-municipal cooperation, specifically in the form of administrative communities and cooperatives, has been subject to VAT. Banks and insurance companies are exempt from this, although they are in the same situation. Despite being provided within the municipalities' own sphere of influence, these services have become 20% more expensive in one fell swoop as a result of inter-municipal cooperation. </w:t>
            </w:r>
            <w:r w:rsidRPr="00167133">
              <w:rPr>
                <w:rFonts w:ascii="Aptos" w:hAnsi="Aptos"/>
                <w:b/>
                <w:bCs/>
              </w:rPr>
              <w:t>Are you planning an initiative to promote inter-municipal cooperation between EU municipalities and EU cities?</w:t>
            </w:r>
          </w:p>
        </w:tc>
      </w:tr>
      <w:tr w:rsidR="003B777E" w:rsidRPr="009B5839" w14:paraId="55712195" w14:textId="77777777" w:rsidTr="004212C9">
        <w:trPr>
          <w:trHeight w:val="493"/>
        </w:trPr>
        <w:tc>
          <w:tcPr>
            <w:tcW w:w="9066" w:type="dxa"/>
            <w:shd w:val="clear" w:color="auto" w:fill="D9D9D9"/>
          </w:tcPr>
          <w:p w14:paraId="61C4C973" w14:textId="0049F269" w:rsidR="003B777E" w:rsidRPr="009B5839" w:rsidRDefault="00F95277">
            <w:pPr>
              <w:pStyle w:val="TableParagraph"/>
              <w:spacing w:before="115"/>
              <w:rPr>
                <w:rFonts w:ascii="Aptos" w:hAnsi="Aptos"/>
                <w:b/>
              </w:rPr>
            </w:pPr>
            <w:r>
              <w:rPr>
                <w:rFonts w:ascii="Aptos" w:hAnsi="Aptos"/>
                <w:b/>
              </w:rPr>
              <w:t>Further question</w:t>
            </w:r>
          </w:p>
        </w:tc>
      </w:tr>
      <w:tr w:rsidR="003B777E" w:rsidRPr="009B5839" w14:paraId="6DBF90C2" w14:textId="77777777" w:rsidTr="004212C9">
        <w:trPr>
          <w:trHeight w:val="744"/>
        </w:trPr>
        <w:tc>
          <w:tcPr>
            <w:tcW w:w="9066" w:type="dxa"/>
          </w:tcPr>
          <w:p w14:paraId="7022450A" w14:textId="50F078EB" w:rsidR="003B777E" w:rsidRPr="009B5839" w:rsidRDefault="00167133">
            <w:pPr>
              <w:pStyle w:val="TableParagraph"/>
              <w:numPr>
                <w:ilvl w:val="0"/>
                <w:numId w:val="28"/>
              </w:numPr>
              <w:tabs>
                <w:tab w:val="left" w:pos="831"/>
              </w:tabs>
              <w:spacing w:before="115"/>
              <w:ind w:right="99"/>
              <w:rPr>
                <w:rFonts w:ascii="Aptos" w:hAnsi="Aptos"/>
              </w:rPr>
            </w:pPr>
            <w:r w:rsidRPr="00167133">
              <w:rPr>
                <w:rFonts w:ascii="Aptos" w:hAnsi="Aptos"/>
              </w:rPr>
              <w:t>Please outline your plans to ensure that VAT can be waived for inter-municipal cooperation (Public Procurement Directive).</w:t>
            </w:r>
          </w:p>
        </w:tc>
      </w:tr>
    </w:tbl>
    <w:p w14:paraId="692153B1" w14:textId="77777777" w:rsidR="003B777E" w:rsidRPr="009B5839" w:rsidRDefault="003B777E">
      <w:pPr>
        <w:pStyle w:val="BodyText"/>
        <w:rPr>
          <w:rFonts w:ascii="Aptos" w:hAnsi="Aptos"/>
        </w:rPr>
      </w:pPr>
    </w:p>
    <w:tbl>
      <w:tblPr>
        <w:tblStyle w:val="TableNormal1"/>
        <w:tblW w:w="9072" w:type="dxa"/>
        <w:tblLayout w:type="fixed"/>
        <w:tblLook w:val="01E0" w:firstRow="1" w:lastRow="1" w:firstColumn="1" w:lastColumn="1" w:noHBand="0" w:noVBand="0"/>
      </w:tblPr>
      <w:tblGrid>
        <w:gridCol w:w="9072"/>
      </w:tblGrid>
      <w:tr w:rsidR="00E47FB6" w:rsidRPr="00E02801" w14:paraId="1F78DF7C" w14:textId="77777777" w:rsidTr="004212C9">
        <w:trPr>
          <w:trHeight w:val="277"/>
        </w:trPr>
        <w:tc>
          <w:tcPr>
            <w:tcW w:w="9072" w:type="dxa"/>
            <w:shd w:val="clear" w:color="auto" w:fill="D9D9D9"/>
          </w:tcPr>
          <w:p w14:paraId="68C66E0D" w14:textId="77777777" w:rsidR="00E47FB6" w:rsidRPr="00E02801" w:rsidRDefault="00E47FB6" w:rsidP="000858DA">
            <w:pPr>
              <w:pStyle w:val="TableParagraph"/>
              <w:spacing w:line="258" w:lineRule="exact"/>
              <w:ind w:left="0"/>
              <w:rPr>
                <w:rFonts w:ascii="Aptos" w:hAnsi="Aptos"/>
                <w:b/>
                <w:sz w:val="24"/>
              </w:rPr>
            </w:pPr>
            <w:r w:rsidRPr="004D0DD6">
              <w:rPr>
                <w:rFonts w:ascii="Aptos" w:hAnsi="Aptos"/>
                <w:b/>
                <w:szCs w:val="20"/>
              </w:rPr>
              <w:t>Background</w:t>
            </w:r>
          </w:p>
        </w:tc>
      </w:tr>
      <w:tr w:rsidR="00E47FB6" w:rsidRPr="00E47FB6" w14:paraId="1563FFF8" w14:textId="77777777" w:rsidTr="004212C9">
        <w:trPr>
          <w:trHeight w:val="4648"/>
        </w:trPr>
        <w:tc>
          <w:tcPr>
            <w:tcW w:w="9072" w:type="dxa"/>
          </w:tcPr>
          <w:p w14:paraId="72E549BB" w14:textId="37EE6755" w:rsidR="00E47FB6" w:rsidRDefault="00E47FB6" w:rsidP="002A6988">
            <w:pPr>
              <w:pStyle w:val="TableParagraph"/>
              <w:spacing w:before="3" w:line="239" w:lineRule="exact"/>
              <w:ind w:left="0"/>
              <w:jc w:val="both"/>
              <w:rPr>
                <w:rFonts w:ascii="Aptos" w:hAnsi="Aptos"/>
                <w:color w:val="0D0D0D"/>
              </w:rPr>
            </w:pPr>
            <w:r w:rsidRPr="00E47FB6">
              <w:rPr>
                <w:rFonts w:ascii="Aptos" w:hAnsi="Aptos"/>
                <w:color w:val="0D0D0D"/>
              </w:rPr>
              <w:t xml:space="preserve">There are currently numerous funding programmes and financial support options in Europe that are designed to help local authorities meet their </w:t>
            </w:r>
            <w:r w:rsidR="009642E0">
              <w:rPr>
                <w:rFonts w:ascii="Aptos" w:hAnsi="Aptos"/>
                <w:color w:val="0D0D0D"/>
              </w:rPr>
              <w:t>goals</w:t>
            </w:r>
            <w:r w:rsidRPr="00E47FB6">
              <w:rPr>
                <w:rFonts w:ascii="Aptos" w:hAnsi="Aptos"/>
                <w:color w:val="0D0D0D"/>
              </w:rPr>
              <w:t>. Unfortunately, these opportunities often go unused because many local authorities lack the resources or expertise to submit suitable project applications and to complete the necessary administrative tasks. Increased cooperation can help to pool existing resources and to share the expertise of different local authorities, which significantly increases the chances of obtaining funding. The topics are diverse and range from modernising infrastructure to promoting education, culture and environmental protection. There are already some positive examples of successful intermunicipal cooperation in some European regions. Municipalities have joined forces to realise joint infrastructure projects, promote tourism or drive forward the energy transition</w:t>
            </w:r>
            <w:r w:rsidR="0079769F">
              <w:rPr>
                <w:rStyle w:val="FootnoteReference"/>
                <w:rFonts w:ascii="Aptos" w:hAnsi="Aptos"/>
                <w:color w:val="0D0D0D"/>
              </w:rPr>
              <w:footnoteReference w:id="5"/>
            </w:r>
            <w:r w:rsidRPr="00E47FB6">
              <w:rPr>
                <w:rFonts w:ascii="Aptos" w:hAnsi="Aptos"/>
                <w:color w:val="0D0D0D"/>
              </w:rPr>
              <w:t xml:space="preserve">. These projects show that a coordinated and cooperative approach is beneficial for municipalities and can lead to positive results. However, unlike banks and insurance companies, intermunicipal cooperation – specifically administrative associations and partnerships – has been subject to VAT since 2012. Despite the fact that these services are provided within the municipalities' own sphere of influence, they have become 20 per cent more expensive overnight as a result of intermunicipal cooperation. From the perspective of public services, it is crucial to fully exploit the potential of European funding programmes and to sustainably improve the quality of life in the municipalities. </w:t>
            </w:r>
          </w:p>
          <w:p w14:paraId="728EE9BE" w14:textId="77777777" w:rsidR="00E47FB6" w:rsidRDefault="00E47FB6" w:rsidP="00C83B29">
            <w:pPr>
              <w:pStyle w:val="TableParagraph"/>
              <w:spacing w:before="3" w:line="239" w:lineRule="exact"/>
              <w:jc w:val="both"/>
              <w:rPr>
                <w:rFonts w:ascii="Aptos" w:hAnsi="Aptos"/>
                <w:color w:val="0D0D0D"/>
              </w:rPr>
            </w:pPr>
          </w:p>
          <w:p w14:paraId="00BAB2A4" w14:textId="315B4A2B" w:rsidR="00E47FB6" w:rsidRPr="00E47FB6" w:rsidRDefault="00E47FB6" w:rsidP="0079769F">
            <w:pPr>
              <w:pStyle w:val="ListParagraph"/>
              <w:ind w:left="360"/>
              <w:rPr>
                <w:rFonts w:ascii="Aptos" w:hAnsi="Aptos"/>
                <w:color w:val="0D0D0D"/>
              </w:rPr>
            </w:pPr>
          </w:p>
        </w:tc>
      </w:tr>
      <w:bookmarkEnd w:id="39"/>
    </w:tbl>
    <w:p w14:paraId="52F69F5D" w14:textId="77777777" w:rsidR="003B777E" w:rsidRPr="00E47FB6" w:rsidRDefault="003B777E">
      <w:pPr>
        <w:rPr>
          <w:rFonts w:ascii="Aptos" w:hAnsi="Aptos"/>
          <w:sz w:val="20"/>
        </w:rPr>
      </w:pPr>
    </w:p>
    <w:p w14:paraId="5A4C88F4" w14:textId="77777777" w:rsidR="003B777E" w:rsidRPr="00E47FB6" w:rsidRDefault="003B777E">
      <w:pPr>
        <w:rPr>
          <w:rFonts w:ascii="Aptos" w:hAnsi="Aptos"/>
          <w:sz w:val="20"/>
        </w:rPr>
      </w:pPr>
    </w:p>
    <w:p w14:paraId="452ECE22" w14:textId="77777777" w:rsidR="003B777E" w:rsidRPr="00E47FB6" w:rsidRDefault="003B777E">
      <w:pPr>
        <w:rPr>
          <w:rFonts w:ascii="Aptos" w:hAnsi="Aptos"/>
          <w:sz w:val="20"/>
        </w:rPr>
      </w:pPr>
    </w:p>
    <w:p w14:paraId="7ECBDBA7" w14:textId="77777777" w:rsidR="003B777E" w:rsidRPr="00E47FB6" w:rsidRDefault="003B777E">
      <w:pPr>
        <w:rPr>
          <w:rFonts w:ascii="Aptos" w:hAnsi="Aptos"/>
          <w:sz w:val="20"/>
        </w:rPr>
        <w:sectPr w:rsidR="003B777E" w:rsidRPr="00E47FB6" w:rsidSect="00ED2EDD">
          <w:pgSz w:w="11910" w:h="16840"/>
          <w:pgMar w:top="1418" w:right="1418" w:bottom="1134" w:left="1418" w:header="472" w:footer="1083" w:gutter="0"/>
          <w:cols w:space="720"/>
          <w:docGrid w:linePitch="299"/>
        </w:sectPr>
      </w:pPr>
    </w:p>
    <w:p w14:paraId="6DB68EE6" w14:textId="77777777" w:rsidR="003B777E" w:rsidRDefault="003B777E">
      <w:pPr>
        <w:pStyle w:val="BodyText"/>
        <w:spacing w:before="6"/>
        <w:rPr>
          <w:rFonts w:ascii="Aptos" w:hAnsi="Aptos"/>
          <w:b w:val="0"/>
          <w:sz w:val="27"/>
        </w:rPr>
      </w:pPr>
    </w:p>
    <w:p w14:paraId="4EC1CE62" w14:textId="77777777" w:rsidR="00117379" w:rsidRDefault="00117379" w:rsidP="00117379">
      <w:pPr>
        <w:pStyle w:val="Heading2"/>
        <w:rPr>
          <w:rFonts w:ascii="Aptos" w:hAnsi="Aptos"/>
          <w:b/>
          <w:bCs/>
          <w:color w:val="FF0000"/>
          <w:sz w:val="24"/>
          <w:szCs w:val="24"/>
        </w:rPr>
      </w:pPr>
      <w:bookmarkStart w:id="40" w:name="Prevention_of_property_industry-induced_"/>
      <w:bookmarkStart w:id="41" w:name="_bookmark11"/>
      <w:bookmarkStart w:id="42" w:name="_Toc168584197"/>
      <w:bookmarkStart w:id="43" w:name="_Hlk170387283"/>
      <w:bookmarkEnd w:id="40"/>
      <w:bookmarkEnd w:id="41"/>
    </w:p>
    <w:p w14:paraId="0F9509DD" w14:textId="0130F8B4" w:rsidR="003B777E" w:rsidRPr="000E5FB9" w:rsidRDefault="00000000" w:rsidP="00117379">
      <w:pPr>
        <w:pStyle w:val="Heading2"/>
        <w:rPr>
          <w:rFonts w:ascii="Aptos" w:hAnsi="Aptos"/>
          <w:b/>
          <w:bCs/>
          <w:color w:val="FF0000"/>
          <w:sz w:val="24"/>
          <w:szCs w:val="24"/>
        </w:rPr>
      </w:pPr>
      <w:r w:rsidRPr="000E5FB9">
        <w:rPr>
          <w:rFonts w:ascii="Aptos" w:hAnsi="Aptos"/>
          <w:b/>
          <w:bCs/>
          <w:color w:val="FF0000"/>
          <w:sz w:val="24"/>
          <w:szCs w:val="24"/>
        </w:rPr>
        <w:t>Prevention of property industry-induced financial crises</w:t>
      </w:r>
      <w:bookmarkEnd w:id="42"/>
    </w:p>
    <w:p w14:paraId="4477F1C0" w14:textId="77777777" w:rsidR="003B777E" w:rsidRPr="009B5839" w:rsidRDefault="003B777E">
      <w:pPr>
        <w:pStyle w:val="BodyText"/>
        <w:spacing w:before="6"/>
        <w:rPr>
          <w:rFonts w:ascii="Aptos" w:hAnsi="Aptos"/>
          <w:sz w:val="23"/>
        </w:rPr>
      </w:pP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3B777E" w:rsidRPr="009B5839" w14:paraId="456E2918" w14:textId="77777777" w:rsidTr="00117379">
        <w:trPr>
          <w:trHeight w:val="494"/>
        </w:trPr>
        <w:tc>
          <w:tcPr>
            <w:tcW w:w="9066" w:type="dxa"/>
            <w:shd w:val="clear" w:color="auto" w:fill="D9D9D9"/>
          </w:tcPr>
          <w:p w14:paraId="48822FBC" w14:textId="77777777" w:rsidR="003B777E" w:rsidRPr="009B5839" w:rsidRDefault="00000000">
            <w:pPr>
              <w:pStyle w:val="TableParagraph"/>
              <w:spacing w:before="115"/>
              <w:rPr>
                <w:rFonts w:ascii="Aptos" w:hAnsi="Aptos"/>
                <w:b/>
              </w:rPr>
            </w:pPr>
            <w:r w:rsidRPr="009B5839">
              <w:rPr>
                <w:rFonts w:ascii="Aptos" w:hAnsi="Aptos"/>
                <w:b/>
              </w:rPr>
              <w:t>Question</w:t>
            </w:r>
          </w:p>
        </w:tc>
      </w:tr>
      <w:tr w:rsidR="003B777E" w:rsidRPr="009B5839" w14:paraId="52883B11" w14:textId="77777777" w:rsidTr="00117379">
        <w:trPr>
          <w:trHeight w:val="1756"/>
        </w:trPr>
        <w:tc>
          <w:tcPr>
            <w:tcW w:w="9066" w:type="dxa"/>
          </w:tcPr>
          <w:p w14:paraId="2E2B69D7" w14:textId="070B2FEA" w:rsidR="003B777E" w:rsidRPr="009B5839" w:rsidRDefault="00167133">
            <w:pPr>
              <w:pStyle w:val="TableParagraph"/>
              <w:spacing w:before="120"/>
              <w:ind w:right="97"/>
              <w:jc w:val="both"/>
              <w:rPr>
                <w:rFonts w:ascii="Aptos" w:hAnsi="Aptos"/>
                <w:b/>
              </w:rPr>
            </w:pPr>
            <w:r w:rsidRPr="00167133">
              <w:rPr>
                <w:rFonts w:ascii="Aptos" w:hAnsi="Aptos"/>
                <w:color w:val="0D0D0D"/>
              </w:rPr>
              <w:t xml:space="preserve">The 2007-2008 financial crisis was primarily triggered by a combination of excessive mortgage lending to high-risk borrowers, inadequate regulation and the collapse of the US property market, which led to a massive loss in asset values and destabilised the entire financial system. The European property market has also been characterised by a period of generous private and public lending over the last 15 years. </w:t>
            </w:r>
            <w:r w:rsidRPr="00167133">
              <w:rPr>
                <w:rFonts w:ascii="Aptos" w:hAnsi="Aptos"/>
                <w:b/>
                <w:bCs/>
                <w:color w:val="0D0D0D"/>
              </w:rPr>
              <w:t>How will you mitigate the risk of a property-induced financial crisis in Europe?</w:t>
            </w:r>
          </w:p>
        </w:tc>
      </w:tr>
      <w:tr w:rsidR="003B777E" w:rsidRPr="009B5839" w14:paraId="1D071ADF" w14:textId="77777777" w:rsidTr="00117379">
        <w:trPr>
          <w:trHeight w:val="494"/>
        </w:trPr>
        <w:tc>
          <w:tcPr>
            <w:tcW w:w="9066" w:type="dxa"/>
            <w:shd w:val="clear" w:color="auto" w:fill="D9D9D9"/>
          </w:tcPr>
          <w:p w14:paraId="4F4ECC79" w14:textId="42D4CC4E" w:rsidR="003B777E" w:rsidRPr="009B5839" w:rsidRDefault="00F95277">
            <w:pPr>
              <w:pStyle w:val="TableParagraph"/>
              <w:spacing w:before="115"/>
              <w:rPr>
                <w:rFonts w:ascii="Aptos" w:hAnsi="Aptos"/>
                <w:b/>
              </w:rPr>
            </w:pPr>
            <w:r>
              <w:rPr>
                <w:rFonts w:ascii="Aptos" w:hAnsi="Aptos"/>
                <w:b/>
              </w:rPr>
              <w:t>Further questions</w:t>
            </w:r>
          </w:p>
        </w:tc>
      </w:tr>
      <w:tr w:rsidR="003B777E" w:rsidRPr="009B5839" w14:paraId="2644EAE6" w14:textId="77777777" w:rsidTr="00117379">
        <w:trPr>
          <w:trHeight w:val="1266"/>
        </w:trPr>
        <w:tc>
          <w:tcPr>
            <w:tcW w:w="9066" w:type="dxa"/>
          </w:tcPr>
          <w:p w14:paraId="08B3C146" w14:textId="77777777" w:rsidR="00167133" w:rsidRPr="00167133" w:rsidRDefault="00167133" w:rsidP="00167133">
            <w:pPr>
              <w:pStyle w:val="TableParagraph"/>
              <w:numPr>
                <w:ilvl w:val="0"/>
                <w:numId w:val="37"/>
              </w:numPr>
              <w:tabs>
                <w:tab w:val="left" w:pos="831"/>
              </w:tabs>
              <w:spacing w:before="115"/>
              <w:ind w:right="96"/>
              <w:jc w:val="both"/>
              <w:rPr>
                <w:rFonts w:ascii="Aptos" w:hAnsi="Aptos"/>
              </w:rPr>
            </w:pPr>
            <w:r w:rsidRPr="00167133">
              <w:rPr>
                <w:rFonts w:ascii="Aptos" w:hAnsi="Aptos"/>
              </w:rPr>
              <w:t>Please outline the steps you intend to take to ensure that very large affiliated companies (e.g. with a balance sheet total of 1 billion or more) are required to present a consolidated balance sheet.</w:t>
            </w:r>
          </w:p>
          <w:p w14:paraId="4372CD90" w14:textId="730A44E9" w:rsidR="003B777E" w:rsidRPr="009B5839" w:rsidRDefault="00167133" w:rsidP="00167133">
            <w:pPr>
              <w:pStyle w:val="TableParagraph"/>
              <w:numPr>
                <w:ilvl w:val="0"/>
                <w:numId w:val="37"/>
              </w:numPr>
              <w:tabs>
                <w:tab w:val="left" w:pos="831"/>
              </w:tabs>
              <w:spacing w:before="115"/>
              <w:ind w:right="96"/>
              <w:jc w:val="both"/>
              <w:rPr>
                <w:rFonts w:ascii="Aptos" w:hAnsi="Aptos"/>
              </w:rPr>
            </w:pPr>
            <w:r w:rsidRPr="00167133">
              <w:rPr>
                <w:rFonts w:ascii="Aptos" w:hAnsi="Aptos"/>
              </w:rPr>
              <w:t>Are there any further considerations to be made with regard to stabilising the financial market in the event of potential over-indebtedness of major players in the real estate market?</w:t>
            </w:r>
          </w:p>
        </w:tc>
      </w:tr>
    </w:tbl>
    <w:p w14:paraId="3CF44E60" w14:textId="77777777" w:rsidR="003B777E" w:rsidRPr="009B5839" w:rsidRDefault="003B777E">
      <w:pPr>
        <w:pStyle w:val="BodyText"/>
        <w:rPr>
          <w:rFonts w:ascii="Aptos" w:hAnsi="Aptos"/>
        </w:rPr>
      </w:pPr>
    </w:p>
    <w:tbl>
      <w:tblPr>
        <w:tblStyle w:val="TableNormal1"/>
        <w:tblW w:w="9072" w:type="dxa"/>
        <w:tblLayout w:type="fixed"/>
        <w:tblLook w:val="01E0" w:firstRow="1" w:lastRow="1" w:firstColumn="1" w:lastColumn="1" w:noHBand="0" w:noVBand="0"/>
      </w:tblPr>
      <w:tblGrid>
        <w:gridCol w:w="9072"/>
      </w:tblGrid>
      <w:tr w:rsidR="00E47FB6" w:rsidRPr="00E02801" w14:paraId="6C64B375" w14:textId="77777777" w:rsidTr="00117379">
        <w:trPr>
          <w:trHeight w:val="277"/>
        </w:trPr>
        <w:tc>
          <w:tcPr>
            <w:tcW w:w="9072" w:type="dxa"/>
            <w:shd w:val="clear" w:color="auto" w:fill="D9D9D9"/>
          </w:tcPr>
          <w:p w14:paraId="076297C2" w14:textId="4D936169" w:rsidR="00E47FB6" w:rsidRPr="00E02801" w:rsidRDefault="000858DA" w:rsidP="000858DA">
            <w:pPr>
              <w:pStyle w:val="TableParagraph"/>
              <w:spacing w:line="258" w:lineRule="exact"/>
              <w:ind w:left="0"/>
              <w:rPr>
                <w:rFonts w:ascii="Aptos" w:hAnsi="Aptos"/>
                <w:b/>
                <w:sz w:val="24"/>
              </w:rPr>
            </w:pPr>
            <w:r w:rsidRPr="004D0DD6">
              <w:rPr>
                <w:rFonts w:ascii="Aptos" w:hAnsi="Aptos"/>
                <w:b/>
                <w:szCs w:val="20"/>
              </w:rPr>
              <w:t>B</w:t>
            </w:r>
            <w:r w:rsidR="00E47FB6" w:rsidRPr="004D0DD6">
              <w:rPr>
                <w:rFonts w:ascii="Aptos" w:hAnsi="Aptos"/>
                <w:b/>
                <w:szCs w:val="20"/>
              </w:rPr>
              <w:t>ackground</w:t>
            </w:r>
          </w:p>
        </w:tc>
      </w:tr>
      <w:tr w:rsidR="00E47FB6" w:rsidRPr="00E47FB6" w14:paraId="4C69F7B0" w14:textId="77777777" w:rsidTr="00117379">
        <w:trPr>
          <w:trHeight w:val="4648"/>
        </w:trPr>
        <w:tc>
          <w:tcPr>
            <w:tcW w:w="9072" w:type="dxa"/>
          </w:tcPr>
          <w:p w14:paraId="6D47D11A" w14:textId="03D576D2" w:rsidR="00E47FB6" w:rsidRDefault="00E47FB6" w:rsidP="002A6988">
            <w:pPr>
              <w:pStyle w:val="TableParagraph"/>
              <w:spacing w:before="3" w:line="239" w:lineRule="exact"/>
              <w:ind w:left="0"/>
              <w:jc w:val="both"/>
              <w:rPr>
                <w:rFonts w:ascii="Aptos" w:hAnsi="Aptos"/>
                <w:color w:val="0D0D0D"/>
              </w:rPr>
            </w:pPr>
            <w:r w:rsidRPr="00E47FB6">
              <w:rPr>
                <w:rFonts w:ascii="Aptos" w:hAnsi="Aptos"/>
                <w:color w:val="0D0D0D"/>
              </w:rPr>
              <w:t>The current situation on the European property market is characterised by a number of factors, including high interest rates, high inflation and a sharp rise in energy costs. These circumstances differ from those that led to the 2007–2008 financial crisis, which was primarily caused by excessive mortgage lending to high-risk borrowers, inadequate regulation and the collapse of the US property market. This resulted in a significant loss of value of assets and the destabilisation of the entire financial system. Nevertheless, the European property market has been characterised by generous private and public lending over the last 15 years and is sensitive to economic downturns. From the perspective of the provision of essential services, it is important to reduce the risk of future financial crises. In this context, transparency of large private companies and sensible regulations are important in order to avoid over-indebtedness and insolvency.</w:t>
            </w:r>
          </w:p>
          <w:p w14:paraId="2ED0A48C" w14:textId="77777777" w:rsidR="00E47FB6" w:rsidRDefault="00E47FB6" w:rsidP="00C83B29">
            <w:pPr>
              <w:pStyle w:val="TableParagraph"/>
              <w:spacing w:before="3" w:line="239" w:lineRule="exact"/>
              <w:jc w:val="both"/>
              <w:rPr>
                <w:rFonts w:ascii="Aptos" w:hAnsi="Aptos"/>
                <w:color w:val="0D0D0D"/>
              </w:rPr>
            </w:pPr>
          </w:p>
          <w:p w14:paraId="42D04EC0" w14:textId="77777777" w:rsidR="00E47FB6" w:rsidRPr="00E47FB6" w:rsidRDefault="00E47FB6" w:rsidP="00E47FB6">
            <w:pPr>
              <w:pStyle w:val="ListParagraph"/>
              <w:ind w:left="360"/>
              <w:rPr>
                <w:rFonts w:ascii="Aptos" w:hAnsi="Aptos"/>
                <w:color w:val="0D0D0D"/>
              </w:rPr>
            </w:pPr>
          </w:p>
        </w:tc>
      </w:tr>
      <w:bookmarkEnd w:id="43"/>
    </w:tbl>
    <w:p w14:paraId="035FC6FE" w14:textId="77777777" w:rsidR="003B777E" w:rsidRPr="00E47FB6" w:rsidRDefault="003B777E">
      <w:pPr>
        <w:rPr>
          <w:rFonts w:ascii="Aptos" w:hAnsi="Aptos"/>
        </w:rPr>
        <w:sectPr w:rsidR="003B777E" w:rsidRPr="00E47FB6" w:rsidSect="00117379">
          <w:pgSz w:w="11910" w:h="16840"/>
          <w:pgMar w:top="1418" w:right="1418" w:bottom="1134" w:left="1418" w:header="472" w:footer="1083" w:gutter="0"/>
          <w:cols w:space="720"/>
          <w:docGrid w:linePitch="299"/>
        </w:sectPr>
      </w:pPr>
    </w:p>
    <w:p w14:paraId="0C61A970" w14:textId="77777777" w:rsidR="003B777E" w:rsidRPr="009B5839" w:rsidRDefault="003B777E" w:rsidP="002A6988">
      <w:pPr>
        <w:pStyle w:val="BodyText"/>
        <w:spacing w:before="6"/>
        <w:rPr>
          <w:rFonts w:ascii="Aptos" w:hAnsi="Aptos"/>
          <w:sz w:val="17"/>
        </w:rPr>
      </w:pPr>
    </w:p>
    <w:p w14:paraId="6E022971" w14:textId="77777777" w:rsidR="00117379" w:rsidRDefault="00117379" w:rsidP="00117379">
      <w:pPr>
        <w:pStyle w:val="Heading2"/>
        <w:rPr>
          <w:rFonts w:ascii="Aptos" w:hAnsi="Aptos"/>
          <w:b/>
          <w:bCs/>
          <w:color w:val="FF0000"/>
          <w:sz w:val="24"/>
          <w:szCs w:val="24"/>
        </w:rPr>
      </w:pPr>
      <w:bookmarkStart w:id="44" w:name="Expansion_of_fiscal_instruments_for_futu"/>
      <w:bookmarkStart w:id="45" w:name="_bookmark12"/>
      <w:bookmarkStart w:id="46" w:name="_Toc168584198"/>
      <w:bookmarkStart w:id="47" w:name="_Hlk170387461"/>
      <w:bookmarkEnd w:id="44"/>
      <w:bookmarkEnd w:id="45"/>
    </w:p>
    <w:p w14:paraId="3C7BF2C3" w14:textId="579AF051" w:rsidR="003B777E" w:rsidRPr="009B5839" w:rsidRDefault="00000000" w:rsidP="00117379">
      <w:pPr>
        <w:pStyle w:val="Heading2"/>
        <w:rPr>
          <w:rFonts w:ascii="Aptos" w:hAnsi="Aptos"/>
          <w:sz w:val="20"/>
        </w:rPr>
      </w:pPr>
      <w:r w:rsidRPr="000E5FB9">
        <w:rPr>
          <w:rFonts w:ascii="Aptos" w:hAnsi="Aptos"/>
          <w:b/>
          <w:bCs/>
          <w:color w:val="FF0000"/>
          <w:sz w:val="24"/>
          <w:szCs w:val="24"/>
        </w:rPr>
        <w:t>Expansion of fiscal instruments for future investments</w:t>
      </w:r>
      <w:bookmarkEnd w:id="46"/>
    </w:p>
    <w:p w14:paraId="7A1CEDD7" w14:textId="77777777" w:rsidR="003B777E" w:rsidRPr="009B5839" w:rsidRDefault="003B777E" w:rsidP="002A6988">
      <w:pPr>
        <w:pStyle w:val="BodyText"/>
        <w:spacing w:before="6"/>
        <w:rPr>
          <w:rFonts w:ascii="Aptos" w:hAnsi="Aptos"/>
          <w:sz w:val="23"/>
        </w:rPr>
      </w:pP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3B777E" w:rsidRPr="009B5839" w14:paraId="3E7F8124" w14:textId="77777777" w:rsidTr="00117379">
        <w:trPr>
          <w:trHeight w:val="494"/>
        </w:trPr>
        <w:tc>
          <w:tcPr>
            <w:tcW w:w="9066" w:type="dxa"/>
            <w:shd w:val="clear" w:color="auto" w:fill="D9D9D9"/>
          </w:tcPr>
          <w:p w14:paraId="42DD4A7D" w14:textId="77777777" w:rsidR="003B777E" w:rsidRPr="009B5839" w:rsidRDefault="00000000">
            <w:pPr>
              <w:pStyle w:val="TableParagraph"/>
              <w:spacing w:before="115"/>
              <w:rPr>
                <w:rFonts w:ascii="Aptos" w:hAnsi="Aptos"/>
                <w:b/>
              </w:rPr>
            </w:pPr>
            <w:r w:rsidRPr="009B5839">
              <w:rPr>
                <w:rFonts w:ascii="Aptos" w:hAnsi="Aptos"/>
                <w:b/>
              </w:rPr>
              <w:t>Question</w:t>
            </w:r>
          </w:p>
        </w:tc>
      </w:tr>
      <w:tr w:rsidR="003B777E" w:rsidRPr="009B5839" w14:paraId="180207B2" w14:textId="77777777" w:rsidTr="00117379">
        <w:trPr>
          <w:trHeight w:val="2011"/>
        </w:trPr>
        <w:tc>
          <w:tcPr>
            <w:tcW w:w="9066" w:type="dxa"/>
          </w:tcPr>
          <w:p w14:paraId="3C8A12DA" w14:textId="415E1630" w:rsidR="003B777E" w:rsidRPr="009B5839" w:rsidRDefault="002439BF">
            <w:pPr>
              <w:pStyle w:val="TableParagraph"/>
              <w:spacing w:before="120"/>
              <w:ind w:right="98"/>
              <w:jc w:val="both"/>
              <w:rPr>
                <w:rFonts w:ascii="Aptos" w:hAnsi="Aptos"/>
                <w:b/>
              </w:rPr>
            </w:pPr>
            <w:r w:rsidRPr="002439BF">
              <w:rPr>
                <w:rFonts w:ascii="Aptos" w:hAnsi="Aptos"/>
                <w:color w:val="0D0D0D"/>
              </w:rPr>
              <w:t xml:space="preserve">Given the high investment needs in social policy, climate protection and critical infrastructure, a robust EU budget and financially robust member states are essential. The use of effective fiscal instruments enables a fairer distribution of the financial burden and helps to close tax loopholes, which in turn strengthens the integrity of the EU financial system. </w:t>
            </w:r>
            <w:r w:rsidRPr="002439BF">
              <w:rPr>
                <w:rFonts w:ascii="Aptos" w:hAnsi="Aptos"/>
                <w:b/>
                <w:bCs/>
                <w:color w:val="0D0D0D"/>
              </w:rPr>
              <w:t>Please indicate which fiscal instruments (e.g., a kerosene tax, a financial transaction tax, an ownership tax, etc.) you consider to be fundamental in order to be able to finance social and climate policy programmes across the EU.</w:t>
            </w:r>
          </w:p>
        </w:tc>
      </w:tr>
      <w:tr w:rsidR="003B777E" w:rsidRPr="009B5839" w14:paraId="624E76A7" w14:textId="77777777" w:rsidTr="00117379">
        <w:trPr>
          <w:trHeight w:val="494"/>
        </w:trPr>
        <w:tc>
          <w:tcPr>
            <w:tcW w:w="9066" w:type="dxa"/>
            <w:shd w:val="clear" w:color="auto" w:fill="D9D9D9"/>
          </w:tcPr>
          <w:p w14:paraId="20EDEA9E" w14:textId="073C84A9" w:rsidR="003B777E" w:rsidRPr="009B5839" w:rsidRDefault="00F95277">
            <w:pPr>
              <w:pStyle w:val="TableParagraph"/>
              <w:spacing w:before="115"/>
              <w:rPr>
                <w:rFonts w:ascii="Aptos" w:hAnsi="Aptos"/>
                <w:b/>
              </w:rPr>
            </w:pPr>
            <w:r>
              <w:rPr>
                <w:rFonts w:ascii="Aptos" w:hAnsi="Aptos"/>
                <w:b/>
              </w:rPr>
              <w:t>Further questions</w:t>
            </w:r>
          </w:p>
        </w:tc>
      </w:tr>
      <w:tr w:rsidR="003B777E" w:rsidRPr="009B5839" w14:paraId="0DFC20DD" w14:textId="77777777" w:rsidTr="00117379">
        <w:trPr>
          <w:trHeight w:val="2265"/>
        </w:trPr>
        <w:tc>
          <w:tcPr>
            <w:tcW w:w="9066" w:type="dxa"/>
          </w:tcPr>
          <w:p w14:paraId="6B90C2B9" w14:textId="77777777" w:rsidR="002439BF" w:rsidRPr="002439BF" w:rsidRDefault="002439BF" w:rsidP="002439BF">
            <w:pPr>
              <w:pStyle w:val="TableParagraph"/>
              <w:numPr>
                <w:ilvl w:val="0"/>
                <w:numId w:val="37"/>
              </w:numPr>
              <w:tabs>
                <w:tab w:val="left" w:pos="831"/>
              </w:tabs>
              <w:spacing w:before="115"/>
              <w:ind w:right="96"/>
              <w:jc w:val="both"/>
              <w:rPr>
                <w:rFonts w:ascii="Aptos" w:hAnsi="Aptos"/>
              </w:rPr>
            </w:pPr>
            <w:r w:rsidRPr="002439BF">
              <w:rPr>
                <w:rFonts w:ascii="Aptos" w:hAnsi="Aptos"/>
              </w:rPr>
              <w:t>Please outline the fiscal measures you intend to implement to strengthen the EU budget in order to finance major transnational transformation projects (railway networks, energy networks).</w:t>
            </w:r>
          </w:p>
          <w:p w14:paraId="2B8B36C8" w14:textId="77777777" w:rsidR="002439BF" w:rsidRPr="002439BF" w:rsidRDefault="002439BF" w:rsidP="002439BF">
            <w:pPr>
              <w:pStyle w:val="TableParagraph"/>
              <w:numPr>
                <w:ilvl w:val="0"/>
                <w:numId w:val="37"/>
              </w:numPr>
              <w:tabs>
                <w:tab w:val="left" w:pos="831"/>
              </w:tabs>
              <w:spacing w:before="115"/>
              <w:ind w:right="96"/>
              <w:jc w:val="both"/>
              <w:rPr>
                <w:rFonts w:ascii="Aptos" w:hAnsi="Aptos"/>
              </w:rPr>
            </w:pPr>
            <w:r w:rsidRPr="002439BF">
              <w:rPr>
                <w:rFonts w:ascii="Aptos" w:hAnsi="Aptos"/>
              </w:rPr>
              <w:t>What measures do you intend to implement to reduce tax competition between EU member states?</w:t>
            </w:r>
          </w:p>
          <w:p w14:paraId="6446DF94" w14:textId="16C16F00" w:rsidR="003B777E" w:rsidRPr="009B5839" w:rsidRDefault="002439BF" w:rsidP="002439BF">
            <w:pPr>
              <w:pStyle w:val="TableParagraph"/>
              <w:numPr>
                <w:ilvl w:val="0"/>
                <w:numId w:val="37"/>
              </w:numPr>
              <w:tabs>
                <w:tab w:val="left" w:pos="831"/>
              </w:tabs>
              <w:spacing w:before="115"/>
              <w:ind w:right="96"/>
              <w:jc w:val="both"/>
              <w:rPr>
                <w:rFonts w:ascii="Aptos" w:hAnsi="Aptos"/>
              </w:rPr>
            </w:pPr>
            <w:r w:rsidRPr="002439BF">
              <w:rPr>
                <w:rFonts w:ascii="Aptos" w:hAnsi="Aptos"/>
              </w:rPr>
              <w:t>What initiatives do you consider important to provide member states with greater flexibility in their tax laws to implement social and climate policy programmes?</w:t>
            </w:r>
          </w:p>
        </w:tc>
      </w:tr>
    </w:tbl>
    <w:p w14:paraId="1C856793" w14:textId="77777777" w:rsidR="003B777E" w:rsidRPr="009B5839" w:rsidRDefault="003B777E">
      <w:pPr>
        <w:pStyle w:val="BodyText"/>
        <w:spacing w:before="6"/>
        <w:rPr>
          <w:rFonts w:ascii="Aptos" w:hAnsi="Aptos"/>
          <w:sz w:val="23"/>
        </w:rPr>
      </w:pPr>
    </w:p>
    <w:tbl>
      <w:tblPr>
        <w:tblStyle w:val="TableNormal1"/>
        <w:tblW w:w="0" w:type="auto"/>
        <w:tblLayout w:type="fixed"/>
        <w:tblLook w:val="01E0" w:firstRow="1" w:lastRow="1" w:firstColumn="1" w:lastColumn="1" w:noHBand="0" w:noVBand="0"/>
      </w:tblPr>
      <w:tblGrid>
        <w:gridCol w:w="9066"/>
      </w:tblGrid>
      <w:tr w:rsidR="00E47FB6" w:rsidRPr="00E02801" w14:paraId="58C8B33E" w14:textId="77777777" w:rsidTr="00117379">
        <w:trPr>
          <w:trHeight w:val="277"/>
        </w:trPr>
        <w:tc>
          <w:tcPr>
            <w:tcW w:w="9066" w:type="dxa"/>
            <w:shd w:val="clear" w:color="auto" w:fill="D9D9D9"/>
          </w:tcPr>
          <w:p w14:paraId="7B0DBAEB" w14:textId="77777777" w:rsidR="00E47FB6" w:rsidRPr="00E02801" w:rsidRDefault="00E47FB6" w:rsidP="000858DA">
            <w:pPr>
              <w:pStyle w:val="TableParagraph"/>
              <w:spacing w:line="258" w:lineRule="exact"/>
              <w:ind w:left="0"/>
              <w:rPr>
                <w:rFonts w:ascii="Aptos" w:hAnsi="Aptos"/>
                <w:b/>
                <w:sz w:val="24"/>
              </w:rPr>
            </w:pPr>
            <w:r w:rsidRPr="004D0DD6">
              <w:rPr>
                <w:rFonts w:ascii="Aptos" w:hAnsi="Aptos"/>
                <w:b/>
                <w:szCs w:val="20"/>
              </w:rPr>
              <w:t>Background</w:t>
            </w:r>
          </w:p>
        </w:tc>
      </w:tr>
      <w:tr w:rsidR="00E47FB6" w:rsidRPr="00E47FB6" w14:paraId="5AD3BC8E" w14:textId="77777777" w:rsidTr="00117379">
        <w:trPr>
          <w:trHeight w:val="4648"/>
        </w:trPr>
        <w:tc>
          <w:tcPr>
            <w:tcW w:w="9066" w:type="dxa"/>
          </w:tcPr>
          <w:p w14:paraId="2E04F4BF" w14:textId="59560FD0" w:rsidR="00E47FB6" w:rsidRDefault="00E47FB6" w:rsidP="002A6988">
            <w:pPr>
              <w:pStyle w:val="TableParagraph"/>
              <w:spacing w:before="3" w:line="239" w:lineRule="exact"/>
              <w:ind w:left="0"/>
              <w:jc w:val="both"/>
              <w:rPr>
                <w:rFonts w:ascii="Aptos" w:hAnsi="Aptos"/>
                <w:color w:val="0D0D0D"/>
              </w:rPr>
            </w:pPr>
            <w:r w:rsidRPr="00E47FB6">
              <w:rPr>
                <w:rFonts w:ascii="Aptos" w:hAnsi="Aptos"/>
                <w:color w:val="0D0D0D"/>
              </w:rPr>
              <w:t xml:space="preserve">The EU's social and climate policy programmes rely on a range of fiscal instruments to finance their operations. New EU programmes are also needed to support the necessary transnational infrastructure investments, such as the expansion of the European rail network and the optimisation of the energy network. In this context, the question arises as to new fiscal instruments for meeting these challenges. For example, the introduction of taxes and levies on certain sectors or financial transactions could help to generate additional revenue that can be used to finance these programmes. However, fiscal measures for the EU budget should be used with a sense of proportion and should aim to achieve a fairer distribution of the financial burden while at the same time strengthening the integrity of the financial system. Furthermore, it is important that these instruments are designed to be efficient in achieving their objectives and that they are used in a coordinated framework at the EU level to avoid distortions of competition and maximise their effectiveness. From the perspective of services of general interest, it is important to ensure that future investments are possible and that sufficient funds are made available for this in the EU budget.  </w:t>
            </w:r>
          </w:p>
          <w:p w14:paraId="6559AC9A" w14:textId="77777777" w:rsidR="00E47FB6" w:rsidRDefault="00E47FB6" w:rsidP="00C83B29">
            <w:pPr>
              <w:pStyle w:val="TableParagraph"/>
              <w:spacing w:before="3" w:line="239" w:lineRule="exact"/>
              <w:jc w:val="both"/>
              <w:rPr>
                <w:rFonts w:ascii="Aptos" w:hAnsi="Aptos"/>
                <w:color w:val="0D0D0D"/>
              </w:rPr>
            </w:pPr>
          </w:p>
          <w:p w14:paraId="17C77B59" w14:textId="77777777" w:rsidR="00E47FB6" w:rsidRPr="00E47FB6" w:rsidRDefault="00E47FB6" w:rsidP="00E47FB6">
            <w:pPr>
              <w:pStyle w:val="ListParagraph"/>
              <w:ind w:left="360"/>
              <w:rPr>
                <w:rFonts w:ascii="Aptos" w:hAnsi="Aptos"/>
                <w:color w:val="0D0D0D"/>
              </w:rPr>
            </w:pPr>
          </w:p>
        </w:tc>
      </w:tr>
      <w:bookmarkEnd w:id="47"/>
    </w:tbl>
    <w:p w14:paraId="767939B6" w14:textId="77777777" w:rsidR="003B777E" w:rsidRDefault="003B777E">
      <w:pPr>
        <w:spacing w:before="2"/>
        <w:rPr>
          <w:rFonts w:ascii="Aptos" w:hAnsi="Aptos"/>
          <w:sz w:val="19"/>
        </w:rPr>
      </w:pPr>
    </w:p>
    <w:p w14:paraId="3FA14BD7" w14:textId="77777777" w:rsidR="002A6988" w:rsidRDefault="002A6988">
      <w:pPr>
        <w:spacing w:before="2"/>
        <w:rPr>
          <w:rFonts w:ascii="Aptos" w:hAnsi="Aptos"/>
          <w:sz w:val="19"/>
        </w:rPr>
      </w:pPr>
    </w:p>
    <w:p w14:paraId="2772C41C" w14:textId="77777777" w:rsidR="002A6988" w:rsidRDefault="002A6988">
      <w:pPr>
        <w:spacing w:before="2"/>
        <w:rPr>
          <w:rFonts w:ascii="Aptos" w:hAnsi="Aptos"/>
          <w:sz w:val="19"/>
        </w:rPr>
      </w:pPr>
    </w:p>
    <w:p w14:paraId="23C76B6E" w14:textId="77777777" w:rsidR="002A6988" w:rsidRDefault="002A6988">
      <w:pPr>
        <w:spacing w:before="2"/>
        <w:rPr>
          <w:rFonts w:ascii="Aptos" w:hAnsi="Aptos"/>
          <w:sz w:val="19"/>
        </w:rPr>
      </w:pPr>
    </w:p>
    <w:p w14:paraId="5BE42544" w14:textId="77777777" w:rsidR="002A6988" w:rsidRDefault="002A6988">
      <w:pPr>
        <w:spacing w:before="2"/>
        <w:rPr>
          <w:rFonts w:ascii="Aptos" w:hAnsi="Aptos"/>
          <w:sz w:val="19"/>
        </w:rPr>
      </w:pPr>
    </w:p>
    <w:p w14:paraId="121DECCC" w14:textId="77777777" w:rsidR="002A6988" w:rsidRDefault="002A6988">
      <w:pPr>
        <w:spacing w:before="2"/>
        <w:rPr>
          <w:rFonts w:ascii="Aptos" w:hAnsi="Aptos"/>
          <w:sz w:val="19"/>
        </w:rPr>
      </w:pPr>
    </w:p>
    <w:p w14:paraId="0A2CC2D0" w14:textId="77777777" w:rsidR="002A6988" w:rsidRDefault="002A6988">
      <w:pPr>
        <w:spacing w:before="2"/>
        <w:rPr>
          <w:rFonts w:ascii="Aptos" w:hAnsi="Aptos"/>
          <w:sz w:val="19"/>
        </w:rPr>
      </w:pPr>
    </w:p>
    <w:p w14:paraId="30A332FA" w14:textId="77777777" w:rsidR="002A6988" w:rsidRDefault="002A6988">
      <w:pPr>
        <w:spacing w:before="2"/>
        <w:rPr>
          <w:rFonts w:ascii="Aptos" w:hAnsi="Aptos"/>
          <w:sz w:val="19"/>
        </w:rPr>
      </w:pPr>
    </w:p>
    <w:p w14:paraId="35B3B2CA" w14:textId="77777777" w:rsidR="002A6988" w:rsidRPr="009B5839" w:rsidRDefault="002A6988">
      <w:pPr>
        <w:spacing w:before="2"/>
        <w:rPr>
          <w:rFonts w:ascii="Aptos" w:hAnsi="Aptos"/>
          <w:sz w:val="19"/>
        </w:rPr>
      </w:pPr>
    </w:p>
    <w:p w14:paraId="7318258D" w14:textId="77777777" w:rsidR="002A6988" w:rsidRDefault="002A6988" w:rsidP="002A6988">
      <w:bookmarkStart w:id="48" w:name="Municipal_investments_-_accrual/deprecia"/>
      <w:bookmarkStart w:id="49" w:name="_bookmark13"/>
      <w:bookmarkStart w:id="50" w:name="_Toc168584199"/>
      <w:bookmarkEnd w:id="48"/>
      <w:bookmarkEnd w:id="49"/>
    </w:p>
    <w:p w14:paraId="7C927F6E" w14:textId="0E51CC52" w:rsidR="003B777E" w:rsidRPr="009B5839" w:rsidRDefault="00000000" w:rsidP="003B0522">
      <w:pPr>
        <w:pStyle w:val="Heading2"/>
        <w:rPr>
          <w:rFonts w:ascii="Aptos" w:hAnsi="Aptos"/>
          <w:sz w:val="20"/>
        </w:rPr>
      </w:pPr>
      <w:bookmarkStart w:id="51" w:name="_Hlk170387604"/>
      <w:r w:rsidRPr="000E5FB9">
        <w:rPr>
          <w:rFonts w:ascii="Aptos" w:hAnsi="Aptos"/>
          <w:b/>
          <w:bCs/>
          <w:color w:val="FF0000"/>
          <w:sz w:val="24"/>
          <w:szCs w:val="24"/>
        </w:rPr>
        <w:t>Municipal investments - accrual/depreciation and amortisation</w:t>
      </w:r>
      <w:bookmarkEnd w:id="50"/>
    </w:p>
    <w:p w14:paraId="1B2F919B" w14:textId="77777777" w:rsidR="003B777E" w:rsidRPr="009B5839" w:rsidRDefault="003B777E">
      <w:pPr>
        <w:pStyle w:val="BodyText"/>
        <w:spacing w:before="7"/>
        <w:rPr>
          <w:rFonts w:ascii="Aptos" w:hAnsi="Aptos"/>
          <w:sz w:val="23"/>
        </w:rPr>
      </w:pP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3B777E" w:rsidRPr="009B5839" w14:paraId="714D6861" w14:textId="77777777" w:rsidTr="003B0522">
        <w:trPr>
          <w:trHeight w:val="493"/>
        </w:trPr>
        <w:tc>
          <w:tcPr>
            <w:tcW w:w="9066" w:type="dxa"/>
            <w:shd w:val="clear" w:color="auto" w:fill="D9D9D9"/>
          </w:tcPr>
          <w:p w14:paraId="0AF1977E" w14:textId="77777777" w:rsidR="003B777E" w:rsidRPr="009B5839" w:rsidRDefault="00000000">
            <w:pPr>
              <w:pStyle w:val="TableParagraph"/>
              <w:spacing w:before="115"/>
              <w:rPr>
                <w:rFonts w:ascii="Aptos" w:hAnsi="Aptos"/>
                <w:b/>
              </w:rPr>
            </w:pPr>
            <w:r w:rsidRPr="009B5839">
              <w:rPr>
                <w:rFonts w:ascii="Aptos" w:hAnsi="Aptos"/>
                <w:b/>
              </w:rPr>
              <w:t>Question</w:t>
            </w:r>
          </w:p>
        </w:tc>
      </w:tr>
      <w:tr w:rsidR="003B777E" w:rsidRPr="009B5839" w14:paraId="3C5F80AE" w14:textId="77777777" w:rsidTr="003B0522">
        <w:trPr>
          <w:trHeight w:val="2265"/>
        </w:trPr>
        <w:tc>
          <w:tcPr>
            <w:tcW w:w="9066" w:type="dxa"/>
          </w:tcPr>
          <w:p w14:paraId="41AA4680" w14:textId="1D326596" w:rsidR="003B777E" w:rsidRPr="009B5839" w:rsidRDefault="002439BF">
            <w:pPr>
              <w:pStyle w:val="TableParagraph"/>
              <w:spacing w:before="120"/>
              <w:ind w:right="92"/>
              <w:jc w:val="both"/>
              <w:rPr>
                <w:rFonts w:ascii="Aptos" w:hAnsi="Aptos"/>
                <w:b/>
              </w:rPr>
            </w:pPr>
            <w:r w:rsidRPr="002439BF">
              <w:rPr>
                <w:rFonts w:ascii="Aptos" w:hAnsi="Aptos"/>
              </w:rPr>
              <w:t xml:space="preserve">It is of the utmost importance that European cities and regions maintain their prosperity through the implementation of municipal investments. According to the ESA 2010, investments are considered as expenditure and therefore directly affect the government deficit and debt at the time of purchase or conventional construction of an asset. Conversely, every private company treats investments as assets on the balance sheet, which are amortised over time in accordance with accounting rules. This practice makes it challenging to finance public investments. </w:t>
            </w:r>
            <w:r w:rsidRPr="002439BF">
              <w:rPr>
                <w:rFonts w:ascii="Aptos" w:hAnsi="Aptos"/>
                <w:b/>
                <w:bCs/>
              </w:rPr>
              <w:t>Will you adopt accrual accounting for municipal investments, enabling the depreciation of large, long-term investments (such as the construction of an underground) on an annual basis?</w:t>
            </w:r>
          </w:p>
        </w:tc>
      </w:tr>
      <w:tr w:rsidR="003B777E" w:rsidRPr="009B5839" w14:paraId="2704C719" w14:textId="77777777" w:rsidTr="003B0522">
        <w:trPr>
          <w:trHeight w:val="489"/>
        </w:trPr>
        <w:tc>
          <w:tcPr>
            <w:tcW w:w="9066" w:type="dxa"/>
            <w:shd w:val="clear" w:color="auto" w:fill="D9D9D9"/>
          </w:tcPr>
          <w:p w14:paraId="36D8676E" w14:textId="41735328" w:rsidR="003B777E" w:rsidRPr="009B5839" w:rsidRDefault="00F95277">
            <w:pPr>
              <w:pStyle w:val="TableParagraph"/>
              <w:spacing w:before="115"/>
              <w:rPr>
                <w:rFonts w:ascii="Aptos" w:hAnsi="Aptos"/>
                <w:b/>
              </w:rPr>
            </w:pPr>
            <w:r>
              <w:rPr>
                <w:rFonts w:ascii="Aptos" w:hAnsi="Aptos"/>
                <w:b/>
              </w:rPr>
              <w:t>Further question</w:t>
            </w:r>
          </w:p>
        </w:tc>
      </w:tr>
      <w:tr w:rsidR="003B777E" w:rsidRPr="009B5839" w14:paraId="03F505A7" w14:textId="77777777" w:rsidTr="003B0522">
        <w:trPr>
          <w:trHeight w:val="748"/>
        </w:trPr>
        <w:tc>
          <w:tcPr>
            <w:tcW w:w="9066" w:type="dxa"/>
          </w:tcPr>
          <w:p w14:paraId="7D56BF47" w14:textId="13A13FAF" w:rsidR="003B777E" w:rsidRPr="009B5839" w:rsidRDefault="002439BF">
            <w:pPr>
              <w:pStyle w:val="TableParagraph"/>
              <w:numPr>
                <w:ilvl w:val="0"/>
                <w:numId w:val="25"/>
              </w:numPr>
              <w:tabs>
                <w:tab w:val="left" w:pos="831"/>
              </w:tabs>
              <w:spacing w:before="120"/>
              <w:ind w:right="94"/>
              <w:rPr>
                <w:rFonts w:ascii="Aptos" w:hAnsi="Aptos"/>
              </w:rPr>
            </w:pPr>
            <w:r w:rsidRPr="002439BF">
              <w:rPr>
                <w:rFonts w:ascii="Aptos" w:hAnsi="Aptos"/>
              </w:rPr>
              <w:t>Please outline the other initiatives and EU programmes you intend to pursue in order to secure municipal investments in the long term.</w:t>
            </w:r>
          </w:p>
        </w:tc>
      </w:tr>
    </w:tbl>
    <w:p w14:paraId="0403BB64" w14:textId="77777777" w:rsidR="003B777E" w:rsidRDefault="003B777E">
      <w:pPr>
        <w:rPr>
          <w:rFonts w:ascii="Aptos" w:hAnsi="Aptos"/>
        </w:rPr>
      </w:pPr>
    </w:p>
    <w:tbl>
      <w:tblPr>
        <w:tblStyle w:val="TableNormal1"/>
        <w:tblW w:w="0" w:type="auto"/>
        <w:tblLayout w:type="fixed"/>
        <w:tblLook w:val="01E0" w:firstRow="1" w:lastRow="1" w:firstColumn="1" w:lastColumn="1" w:noHBand="0" w:noVBand="0"/>
      </w:tblPr>
      <w:tblGrid>
        <w:gridCol w:w="9066"/>
      </w:tblGrid>
      <w:tr w:rsidR="00E47FB6" w:rsidRPr="00E02801" w14:paraId="7FC918A1" w14:textId="77777777" w:rsidTr="003B0522">
        <w:trPr>
          <w:trHeight w:val="277"/>
        </w:trPr>
        <w:tc>
          <w:tcPr>
            <w:tcW w:w="9066" w:type="dxa"/>
            <w:shd w:val="clear" w:color="auto" w:fill="D9D9D9"/>
          </w:tcPr>
          <w:p w14:paraId="1E38B01D" w14:textId="77777777" w:rsidR="00E47FB6" w:rsidRPr="00E02801" w:rsidRDefault="00E47FB6" w:rsidP="000858DA">
            <w:pPr>
              <w:pStyle w:val="TableParagraph"/>
              <w:spacing w:line="258" w:lineRule="exact"/>
              <w:ind w:left="0"/>
              <w:rPr>
                <w:rFonts w:ascii="Aptos" w:hAnsi="Aptos"/>
                <w:b/>
                <w:sz w:val="24"/>
              </w:rPr>
            </w:pPr>
            <w:r w:rsidRPr="004D0DD6">
              <w:rPr>
                <w:rFonts w:ascii="Aptos" w:hAnsi="Aptos"/>
                <w:b/>
                <w:szCs w:val="20"/>
              </w:rPr>
              <w:t>Background</w:t>
            </w:r>
          </w:p>
        </w:tc>
      </w:tr>
      <w:tr w:rsidR="00E47FB6" w:rsidRPr="00E47FB6" w14:paraId="7EB0A11A" w14:textId="77777777" w:rsidTr="003B0522">
        <w:trPr>
          <w:trHeight w:val="771"/>
        </w:trPr>
        <w:tc>
          <w:tcPr>
            <w:tcW w:w="9066" w:type="dxa"/>
          </w:tcPr>
          <w:p w14:paraId="2EFFA477" w14:textId="78AFFF9A" w:rsidR="00E47FB6" w:rsidRDefault="00E47FB6" w:rsidP="002A6988">
            <w:pPr>
              <w:pStyle w:val="TableParagraph"/>
              <w:spacing w:before="3" w:line="239" w:lineRule="exact"/>
              <w:ind w:left="0"/>
              <w:jc w:val="both"/>
              <w:rPr>
                <w:rFonts w:ascii="Aptos" w:hAnsi="Aptos"/>
                <w:color w:val="0D0D0D"/>
              </w:rPr>
            </w:pPr>
            <w:r w:rsidRPr="00E47FB6">
              <w:rPr>
                <w:rFonts w:ascii="Aptos" w:hAnsi="Aptos"/>
                <w:color w:val="0D0D0D"/>
              </w:rPr>
              <w:t>Cities and municipalities are frequently required to plan and implement significant infrastructure projects, including the expansion of the underground railway network, improvements to the water supply and the creation of new recreational areas for their citizens. It is therefore clear that municipal investments are crucial for maintaining prosperity in European cities and regions. According to the ESA 2010, investments are considered as expenditure and thus directly affect the public deficit and public debt at the time of acquisition or conventional production of an asset</w:t>
            </w:r>
            <w:r w:rsidR="00A2007B">
              <w:rPr>
                <w:rStyle w:val="FootnoteReference"/>
                <w:rFonts w:ascii="Aptos" w:hAnsi="Aptos"/>
                <w:color w:val="0D0D0D"/>
              </w:rPr>
              <w:footnoteReference w:id="6"/>
            </w:r>
            <w:r w:rsidRPr="00E47FB6">
              <w:rPr>
                <w:rFonts w:ascii="Aptos" w:hAnsi="Aptos"/>
                <w:color w:val="0D0D0D"/>
              </w:rPr>
              <w:t>. Conversely, every private company treats investments as assets on their balance sheet, which are depreciated over time in accordance with accounting regulations. This practice makes it challenging to finance public investments. From the perspective of providing public services, it is important that cities and municipalities have the necessary flexibility to make the necessary infrastructure investments. In this context, it would be beneficial to consider the possibility of a periodisation/depreciation for municipal investments. Such a periodisation would enable the financial burden to be distributed more evenly over the life of the investment, thereby improving the financial viability of municipalities.</w:t>
            </w:r>
          </w:p>
          <w:p w14:paraId="6571A1E8" w14:textId="77777777" w:rsidR="00E47FB6" w:rsidRDefault="00E47FB6" w:rsidP="00C83B29">
            <w:pPr>
              <w:pStyle w:val="TableParagraph"/>
              <w:spacing w:before="3" w:line="239" w:lineRule="exact"/>
              <w:jc w:val="both"/>
              <w:rPr>
                <w:rFonts w:ascii="Aptos" w:hAnsi="Aptos"/>
                <w:color w:val="0D0D0D"/>
              </w:rPr>
            </w:pPr>
          </w:p>
          <w:p w14:paraId="3841EAC7" w14:textId="77777777" w:rsidR="00E47FB6" w:rsidRPr="00E47FB6" w:rsidRDefault="00E47FB6" w:rsidP="00C83B29">
            <w:pPr>
              <w:pStyle w:val="TableParagraph"/>
              <w:spacing w:before="3" w:line="239" w:lineRule="exact"/>
              <w:jc w:val="both"/>
              <w:rPr>
                <w:rFonts w:ascii="Aptos" w:hAnsi="Aptos"/>
                <w:color w:val="0D0D0D"/>
              </w:rPr>
            </w:pPr>
          </w:p>
          <w:p w14:paraId="20552D1E" w14:textId="77777777" w:rsidR="00E47FB6" w:rsidRPr="00E47FB6" w:rsidRDefault="00E47FB6" w:rsidP="00C83B29">
            <w:pPr>
              <w:pStyle w:val="ListParagraph"/>
              <w:ind w:left="360"/>
              <w:rPr>
                <w:rFonts w:ascii="Aptos" w:hAnsi="Aptos"/>
                <w:color w:val="0D0D0D"/>
              </w:rPr>
            </w:pPr>
          </w:p>
        </w:tc>
      </w:tr>
      <w:bookmarkEnd w:id="51"/>
    </w:tbl>
    <w:p w14:paraId="448CC971" w14:textId="77777777" w:rsidR="00E47FB6" w:rsidRPr="00E47FB6" w:rsidRDefault="00E47FB6">
      <w:pPr>
        <w:rPr>
          <w:rFonts w:ascii="Aptos" w:hAnsi="Aptos"/>
        </w:rPr>
        <w:sectPr w:rsidR="00E47FB6" w:rsidRPr="00E47FB6" w:rsidSect="00117379">
          <w:pgSz w:w="11910" w:h="16840"/>
          <w:pgMar w:top="1418" w:right="1418" w:bottom="1134" w:left="1418" w:header="472" w:footer="1083" w:gutter="0"/>
          <w:cols w:space="720"/>
          <w:docGrid w:linePitch="299"/>
        </w:sectPr>
      </w:pPr>
    </w:p>
    <w:p w14:paraId="2D1B762D" w14:textId="77777777" w:rsidR="003B0522" w:rsidRDefault="003B0522" w:rsidP="002439BF">
      <w:pPr>
        <w:pStyle w:val="Heading1"/>
        <w:tabs>
          <w:tab w:val="left" w:pos="3571"/>
          <w:tab w:val="left" w:pos="4239"/>
          <w:tab w:val="left" w:pos="4821"/>
          <w:tab w:val="left" w:pos="7155"/>
        </w:tabs>
        <w:spacing w:before="86"/>
        <w:ind w:left="0" w:right="4459"/>
        <w:rPr>
          <w:rFonts w:ascii="Aptos" w:hAnsi="Aptos"/>
        </w:rPr>
      </w:pPr>
      <w:bookmarkStart w:id="52" w:name="Sub-area_II_-_Financing_&amp;_promotion"/>
      <w:bookmarkStart w:id="53" w:name="_bookmark14"/>
      <w:bookmarkEnd w:id="52"/>
      <w:bookmarkEnd w:id="53"/>
    </w:p>
    <w:p w14:paraId="09A74CFA" w14:textId="12D4EA9C" w:rsidR="002439BF" w:rsidRDefault="002439BF" w:rsidP="003B0522">
      <w:pPr>
        <w:pStyle w:val="Heading1"/>
        <w:ind w:left="0" w:right="3121"/>
      </w:pPr>
      <w:bookmarkStart w:id="54" w:name="_Toc168584200"/>
      <w:r w:rsidRPr="009B5839">
        <w:t xml:space="preserve">Subsection </w:t>
      </w:r>
      <w:r>
        <w:t>I</w:t>
      </w:r>
      <w:r w:rsidRPr="009B5839">
        <w:t xml:space="preserve">I - </w:t>
      </w:r>
      <w:r w:rsidRPr="002439BF">
        <w:t>EU financing</w:t>
      </w:r>
      <w:r w:rsidR="003B0522">
        <w:t xml:space="preserve"> </w:t>
      </w:r>
      <w:r w:rsidRPr="002439BF">
        <w:t>and funding programmes</w:t>
      </w:r>
      <w:bookmarkEnd w:id="54"/>
    </w:p>
    <w:p w14:paraId="2456258D" w14:textId="77777777" w:rsidR="000E5FB9" w:rsidRDefault="000E5FB9" w:rsidP="000E5FB9">
      <w:bookmarkStart w:id="55" w:name="Public_financing_for_green_investment_pr"/>
      <w:bookmarkStart w:id="56" w:name="_bookmark15"/>
      <w:bookmarkEnd w:id="55"/>
      <w:bookmarkEnd w:id="56"/>
    </w:p>
    <w:p w14:paraId="5789FFF3" w14:textId="0D391A7F" w:rsidR="00622B7F" w:rsidRPr="003B0522" w:rsidRDefault="00000000" w:rsidP="003B0522">
      <w:pPr>
        <w:pStyle w:val="Heading2"/>
        <w:rPr>
          <w:rFonts w:ascii="Aptos" w:hAnsi="Aptos"/>
          <w:b/>
          <w:bCs/>
          <w:color w:val="FF0000"/>
          <w:sz w:val="24"/>
          <w:szCs w:val="24"/>
        </w:rPr>
      </w:pPr>
      <w:bookmarkStart w:id="57" w:name="_Toc168584201"/>
      <w:r w:rsidRPr="000E5FB9">
        <w:rPr>
          <w:rFonts w:ascii="Aptos" w:hAnsi="Aptos"/>
          <w:b/>
          <w:bCs/>
          <w:color w:val="FF0000"/>
          <w:sz w:val="24"/>
          <w:szCs w:val="24"/>
        </w:rPr>
        <w:t>Public financing for green investment projects</w:t>
      </w:r>
      <w:bookmarkEnd w:id="57"/>
    </w:p>
    <w:p w14:paraId="0DC568C3" w14:textId="77777777" w:rsidR="00622B7F" w:rsidRPr="003B0522" w:rsidRDefault="00622B7F">
      <w:pPr>
        <w:pStyle w:val="BodyText"/>
        <w:spacing w:before="5"/>
        <w:rPr>
          <w:rFonts w:ascii="Aptos" w:hAnsi="Aptos"/>
          <w:sz w:val="22"/>
          <w:szCs w:val="36"/>
        </w:rPr>
      </w:pP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3B777E" w:rsidRPr="009B5839" w14:paraId="07E6F481" w14:textId="77777777" w:rsidTr="003B0522">
        <w:trPr>
          <w:trHeight w:val="277"/>
        </w:trPr>
        <w:tc>
          <w:tcPr>
            <w:tcW w:w="9066" w:type="dxa"/>
            <w:shd w:val="clear" w:color="auto" w:fill="D9D9D9"/>
          </w:tcPr>
          <w:p w14:paraId="646EC0CA" w14:textId="77777777" w:rsidR="003B777E" w:rsidRPr="009B5839" w:rsidRDefault="00000000">
            <w:pPr>
              <w:pStyle w:val="TableParagraph"/>
              <w:spacing w:line="258" w:lineRule="exact"/>
              <w:rPr>
                <w:rFonts w:ascii="Aptos" w:hAnsi="Aptos"/>
                <w:b/>
                <w:sz w:val="24"/>
              </w:rPr>
            </w:pPr>
            <w:r w:rsidRPr="004D0DD6">
              <w:rPr>
                <w:rFonts w:ascii="Aptos" w:hAnsi="Aptos"/>
                <w:b/>
                <w:szCs w:val="20"/>
              </w:rPr>
              <w:t>Question</w:t>
            </w:r>
          </w:p>
        </w:tc>
      </w:tr>
      <w:tr w:rsidR="003B777E" w:rsidRPr="009B5839" w14:paraId="2CB8194D" w14:textId="77777777" w:rsidTr="003B0522">
        <w:trPr>
          <w:trHeight w:val="1516"/>
        </w:trPr>
        <w:tc>
          <w:tcPr>
            <w:tcW w:w="9066" w:type="dxa"/>
          </w:tcPr>
          <w:p w14:paraId="7B8B5E93" w14:textId="67CCC2A1" w:rsidR="003B777E" w:rsidRPr="009B5839" w:rsidRDefault="002439BF" w:rsidP="002439BF">
            <w:pPr>
              <w:pStyle w:val="TableParagraph"/>
              <w:spacing w:before="3" w:line="239" w:lineRule="exact"/>
              <w:jc w:val="both"/>
              <w:rPr>
                <w:rFonts w:ascii="Aptos" w:hAnsi="Aptos"/>
                <w:b/>
              </w:rPr>
            </w:pPr>
            <w:r w:rsidRPr="002439BF">
              <w:rPr>
                <w:rFonts w:ascii="Aptos" w:hAnsi="Aptos"/>
              </w:rPr>
              <w:t xml:space="preserve">Public infrastructure is the foundation of European development and a prerequisite for quality of life, economic growth and price stability. However, energy, transport, buildings and water infrastructure are responsible for around 60% of Europe's greenhouse gas emissions. In order to achieve the European Union's climate change targets, a structural </w:t>
            </w:r>
            <w:r w:rsidR="00607567" w:rsidRPr="002439BF">
              <w:rPr>
                <w:rFonts w:ascii="Aptos" w:hAnsi="Aptos"/>
              </w:rPr>
              <w:t>reorganization</w:t>
            </w:r>
            <w:r w:rsidRPr="002439BF">
              <w:rPr>
                <w:rFonts w:ascii="Aptos" w:hAnsi="Aptos"/>
              </w:rPr>
              <w:t xml:space="preserve"> and expansion of the existing infrastructure systems is essential. </w:t>
            </w:r>
            <w:r w:rsidRPr="002439BF">
              <w:rPr>
                <w:rFonts w:ascii="Aptos" w:hAnsi="Aptos"/>
                <w:b/>
                <w:bCs/>
              </w:rPr>
              <w:t>How do you plan to ensure that public funds are channelled into green investment projects?</w:t>
            </w:r>
          </w:p>
        </w:tc>
      </w:tr>
      <w:tr w:rsidR="003B777E" w:rsidRPr="009B5839" w14:paraId="3D36B234" w14:textId="77777777" w:rsidTr="003B0522">
        <w:trPr>
          <w:trHeight w:val="277"/>
        </w:trPr>
        <w:tc>
          <w:tcPr>
            <w:tcW w:w="9066" w:type="dxa"/>
            <w:shd w:val="clear" w:color="auto" w:fill="D9D9D9"/>
          </w:tcPr>
          <w:p w14:paraId="2DAF6807" w14:textId="02D533C9" w:rsidR="003B777E" w:rsidRPr="009B5839" w:rsidRDefault="00F95277">
            <w:pPr>
              <w:pStyle w:val="TableParagraph"/>
              <w:spacing w:line="258" w:lineRule="exact"/>
              <w:rPr>
                <w:rFonts w:ascii="Aptos" w:hAnsi="Aptos"/>
                <w:b/>
                <w:sz w:val="24"/>
              </w:rPr>
            </w:pPr>
            <w:r>
              <w:rPr>
                <w:rFonts w:ascii="Aptos" w:hAnsi="Aptos"/>
                <w:b/>
              </w:rPr>
              <w:t>Further questions</w:t>
            </w:r>
          </w:p>
        </w:tc>
      </w:tr>
      <w:tr w:rsidR="003B777E" w:rsidRPr="009B5839" w14:paraId="3B752DDB" w14:textId="77777777" w:rsidTr="003B0522">
        <w:trPr>
          <w:trHeight w:val="1409"/>
        </w:trPr>
        <w:tc>
          <w:tcPr>
            <w:tcW w:w="9066" w:type="dxa"/>
          </w:tcPr>
          <w:p w14:paraId="34878A09" w14:textId="4F07D121" w:rsidR="002439BF" w:rsidRPr="002439BF" w:rsidRDefault="002439BF" w:rsidP="002439BF">
            <w:pPr>
              <w:pStyle w:val="TableParagraph"/>
              <w:numPr>
                <w:ilvl w:val="0"/>
                <w:numId w:val="37"/>
              </w:numPr>
              <w:tabs>
                <w:tab w:val="left" w:pos="831"/>
              </w:tabs>
              <w:spacing w:before="115"/>
              <w:ind w:right="96"/>
              <w:jc w:val="both"/>
              <w:rPr>
                <w:rFonts w:ascii="Aptos" w:hAnsi="Aptos"/>
              </w:rPr>
            </w:pPr>
            <w:r w:rsidRPr="002439BF">
              <w:rPr>
                <w:rFonts w:ascii="Aptos" w:hAnsi="Aptos"/>
              </w:rPr>
              <w:t>What EU programmes and initiatives are you planning to stimulate green investment projects?</w:t>
            </w:r>
          </w:p>
          <w:p w14:paraId="41A6EA3E" w14:textId="79EEC03E" w:rsidR="003B777E" w:rsidRPr="009B5839" w:rsidRDefault="002439BF" w:rsidP="002439BF">
            <w:pPr>
              <w:pStyle w:val="TableParagraph"/>
              <w:numPr>
                <w:ilvl w:val="0"/>
                <w:numId w:val="37"/>
              </w:numPr>
              <w:tabs>
                <w:tab w:val="left" w:pos="831"/>
              </w:tabs>
              <w:spacing w:before="115"/>
              <w:ind w:right="96"/>
              <w:jc w:val="both"/>
              <w:rPr>
                <w:rFonts w:ascii="Aptos" w:hAnsi="Aptos"/>
              </w:rPr>
            </w:pPr>
            <w:r w:rsidRPr="002439BF">
              <w:rPr>
                <w:rFonts w:ascii="Aptos" w:hAnsi="Aptos"/>
              </w:rPr>
              <w:t>How do you intend to ensure that there will continue to be a high level of public funding to meet climate and energy objectives and resilience (CEF)?</w:t>
            </w:r>
          </w:p>
        </w:tc>
      </w:tr>
    </w:tbl>
    <w:p w14:paraId="23A18A2B" w14:textId="77777777" w:rsidR="00083990" w:rsidRDefault="00083990">
      <w:pPr>
        <w:pStyle w:val="BodyText"/>
        <w:rPr>
          <w:rFonts w:ascii="Aptos" w:hAnsi="Aptos"/>
          <w:sz w:val="20"/>
        </w:rPr>
      </w:pPr>
    </w:p>
    <w:tbl>
      <w:tblPr>
        <w:tblStyle w:val="TableNormal1"/>
        <w:tblW w:w="0" w:type="auto"/>
        <w:tblLayout w:type="fixed"/>
        <w:tblLook w:val="01E0" w:firstRow="1" w:lastRow="1" w:firstColumn="1" w:lastColumn="1" w:noHBand="0" w:noVBand="0"/>
      </w:tblPr>
      <w:tblGrid>
        <w:gridCol w:w="9066"/>
      </w:tblGrid>
      <w:tr w:rsidR="00CE3E5E" w:rsidRPr="009B5839" w14:paraId="0FE55F4B" w14:textId="77777777" w:rsidTr="003B0522">
        <w:trPr>
          <w:trHeight w:val="277"/>
        </w:trPr>
        <w:tc>
          <w:tcPr>
            <w:tcW w:w="9066" w:type="dxa"/>
            <w:shd w:val="clear" w:color="auto" w:fill="D9D9D9"/>
          </w:tcPr>
          <w:p w14:paraId="7603EE99" w14:textId="71A7989F" w:rsidR="00CE3E5E" w:rsidRPr="009B5839" w:rsidRDefault="00CE3E5E" w:rsidP="000858DA">
            <w:pPr>
              <w:pStyle w:val="TableParagraph"/>
              <w:spacing w:line="258" w:lineRule="exact"/>
              <w:ind w:left="0"/>
              <w:rPr>
                <w:rFonts w:ascii="Aptos" w:hAnsi="Aptos"/>
                <w:b/>
                <w:sz w:val="24"/>
              </w:rPr>
            </w:pPr>
            <w:r w:rsidRPr="004D0DD6">
              <w:rPr>
                <w:rFonts w:ascii="Aptos" w:hAnsi="Aptos"/>
                <w:b/>
                <w:szCs w:val="20"/>
              </w:rPr>
              <w:t>Back</w:t>
            </w:r>
            <w:r w:rsidR="000858DA" w:rsidRPr="004D0DD6">
              <w:rPr>
                <w:rFonts w:ascii="Aptos" w:hAnsi="Aptos"/>
                <w:b/>
                <w:szCs w:val="20"/>
              </w:rPr>
              <w:t>g</w:t>
            </w:r>
            <w:r w:rsidRPr="004D0DD6">
              <w:rPr>
                <w:rFonts w:ascii="Aptos" w:hAnsi="Aptos"/>
                <w:b/>
                <w:szCs w:val="20"/>
              </w:rPr>
              <w:t>round</w:t>
            </w:r>
          </w:p>
        </w:tc>
      </w:tr>
      <w:tr w:rsidR="00CE3E5E" w:rsidRPr="009B5839" w14:paraId="3314591F" w14:textId="77777777" w:rsidTr="003B0522">
        <w:trPr>
          <w:trHeight w:val="1516"/>
        </w:trPr>
        <w:tc>
          <w:tcPr>
            <w:tcW w:w="9066" w:type="dxa"/>
          </w:tcPr>
          <w:p w14:paraId="4B5AA8A6" w14:textId="15897070" w:rsidR="00CE3E5E" w:rsidRDefault="002A6988" w:rsidP="002A6988">
            <w:pPr>
              <w:pStyle w:val="TableParagraph"/>
              <w:spacing w:before="3" w:line="239" w:lineRule="exact"/>
              <w:ind w:left="0"/>
              <w:jc w:val="both"/>
              <w:rPr>
                <w:rFonts w:ascii="Aptos" w:hAnsi="Aptos"/>
                <w:bCs/>
              </w:rPr>
            </w:pPr>
            <w:r w:rsidRPr="002A6988">
              <w:rPr>
                <w:rFonts w:ascii="Aptos" w:hAnsi="Aptos"/>
                <w:bCs/>
              </w:rPr>
              <w:t xml:space="preserve">The European Union is firmly committed to the transition to a low-carbon, more resource-efficient and sustainable economy. The objective is to achieve the climate and energy policy goals agreed as part of the United Nations Sustainable Development Goals for 2030. The Austrian economy is increasingly recognising the need to address climate change. </w:t>
            </w:r>
            <w:r w:rsidR="000E204E" w:rsidRPr="000E204E">
              <w:rPr>
                <w:rFonts w:ascii="Aptos" w:hAnsi="Aptos"/>
                <w:bCs/>
              </w:rPr>
              <w:t>Climate change is a significant issue for public companies, with Austria facing particular challenges. A recent survey by the European Investment Bank (EIBIS 2022) found that 64% of Austrian companies are affected by climate change. This figure is notably higher than in Denmark (36%), Latvia (41%) and Bulgaria (44%), for example.</w:t>
            </w:r>
            <w:r w:rsidR="009642E0">
              <w:rPr>
                <w:rFonts w:ascii="Aptos" w:hAnsi="Aptos"/>
                <w:bCs/>
              </w:rPr>
              <w:t xml:space="preserve"> 40 % </w:t>
            </w:r>
            <w:r w:rsidRPr="002A6988">
              <w:rPr>
                <w:rFonts w:ascii="Aptos" w:hAnsi="Aptos"/>
                <w:bCs/>
              </w:rPr>
              <w:t>of Austrian companies have developed or invested in measures to protect themselves against the physical risks of climate change</w:t>
            </w:r>
            <w:r w:rsidR="006E0F2F">
              <w:rPr>
                <w:rStyle w:val="FootnoteReference"/>
                <w:rFonts w:ascii="Aptos" w:hAnsi="Aptos"/>
                <w:bCs/>
              </w:rPr>
              <w:footnoteReference w:id="7"/>
            </w:r>
            <w:r w:rsidRPr="002A6988">
              <w:rPr>
                <w:rFonts w:ascii="Aptos" w:hAnsi="Aptos"/>
                <w:bCs/>
              </w:rPr>
              <w:t>. This figure is in line with the EU average of 36</w:t>
            </w:r>
            <w:r>
              <w:rPr>
                <w:rFonts w:ascii="Aptos" w:hAnsi="Aptos"/>
                <w:bCs/>
              </w:rPr>
              <w:t xml:space="preserve"> </w:t>
            </w:r>
            <w:r w:rsidRPr="002A6988">
              <w:rPr>
                <w:rFonts w:ascii="Aptos" w:hAnsi="Aptos"/>
                <w:bCs/>
              </w:rPr>
              <w:t>%. Extensive public investment is required to achieve the socio-ecological transformation. To achieve this, it is essential to implement a common policy that is conducive to climate action. This should include: (i) the pricing of CO₂ emissions; (ii) a shift away from environmentally harmful and non-resilient subsidies; (iii) a shift towards sustainable investments; (iv) prioritisation of resilient infrastructure projects; (v) targeted financing of sustainable services of general interest.</w:t>
            </w:r>
          </w:p>
          <w:p w14:paraId="0361E28E" w14:textId="77777777" w:rsidR="009642E0" w:rsidRDefault="009642E0" w:rsidP="002A6988">
            <w:pPr>
              <w:pStyle w:val="TableParagraph"/>
              <w:spacing w:before="3" w:line="239" w:lineRule="exact"/>
              <w:ind w:left="0"/>
              <w:jc w:val="both"/>
              <w:rPr>
                <w:rFonts w:ascii="Aptos" w:hAnsi="Aptos"/>
                <w:bCs/>
              </w:rPr>
            </w:pPr>
          </w:p>
          <w:p w14:paraId="6D856F86" w14:textId="3194EDD3" w:rsidR="009642E0" w:rsidRPr="00CE3E5E" w:rsidRDefault="009642E0" w:rsidP="002A6988">
            <w:pPr>
              <w:pStyle w:val="TableParagraph"/>
              <w:spacing w:before="3" w:line="239" w:lineRule="exact"/>
              <w:ind w:left="0"/>
              <w:jc w:val="both"/>
              <w:rPr>
                <w:rFonts w:ascii="Aptos" w:hAnsi="Aptos"/>
                <w:bCs/>
              </w:rPr>
            </w:pPr>
          </w:p>
        </w:tc>
      </w:tr>
    </w:tbl>
    <w:p w14:paraId="7D8AC559" w14:textId="77777777" w:rsidR="00CE3E5E" w:rsidRPr="009B5839" w:rsidRDefault="00CE3E5E">
      <w:pPr>
        <w:pStyle w:val="BodyText"/>
        <w:rPr>
          <w:rFonts w:ascii="Aptos" w:hAnsi="Aptos"/>
          <w:sz w:val="20"/>
        </w:rPr>
      </w:pPr>
    </w:p>
    <w:p w14:paraId="0606B1F7" w14:textId="77777777" w:rsidR="003B777E" w:rsidRPr="009B5839" w:rsidRDefault="003B777E">
      <w:pPr>
        <w:pStyle w:val="BodyText"/>
        <w:spacing w:before="4"/>
        <w:rPr>
          <w:rFonts w:ascii="Aptos" w:hAnsi="Aptos"/>
          <w:sz w:val="21"/>
        </w:rPr>
      </w:pPr>
    </w:p>
    <w:p w14:paraId="47DB66C6" w14:textId="77777777" w:rsidR="003B777E" w:rsidRDefault="003B777E">
      <w:pPr>
        <w:rPr>
          <w:rFonts w:ascii="Aptos" w:hAnsi="Aptos"/>
          <w:sz w:val="20"/>
        </w:rPr>
      </w:pPr>
    </w:p>
    <w:p w14:paraId="438C3539" w14:textId="77777777" w:rsidR="009642E0" w:rsidRDefault="009642E0">
      <w:pPr>
        <w:rPr>
          <w:rFonts w:ascii="Aptos" w:hAnsi="Aptos"/>
          <w:sz w:val="20"/>
        </w:rPr>
      </w:pPr>
    </w:p>
    <w:p w14:paraId="3857221D" w14:textId="77777777" w:rsidR="009642E0" w:rsidRDefault="009642E0">
      <w:pPr>
        <w:rPr>
          <w:rFonts w:ascii="Aptos" w:hAnsi="Aptos"/>
          <w:sz w:val="20"/>
        </w:rPr>
      </w:pPr>
    </w:p>
    <w:p w14:paraId="4C163AB2" w14:textId="77777777" w:rsidR="009642E0" w:rsidRDefault="009642E0">
      <w:pPr>
        <w:rPr>
          <w:rFonts w:ascii="Aptos" w:hAnsi="Aptos"/>
          <w:sz w:val="20"/>
        </w:rPr>
      </w:pPr>
    </w:p>
    <w:p w14:paraId="389BC438" w14:textId="77777777" w:rsidR="009642E0" w:rsidRDefault="009642E0">
      <w:pPr>
        <w:rPr>
          <w:rFonts w:ascii="Aptos" w:hAnsi="Aptos"/>
          <w:sz w:val="20"/>
        </w:rPr>
      </w:pPr>
    </w:p>
    <w:p w14:paraId="23E3FD2B" w14:textId="77777777" w:rsidR="009642E0" w:rsidRDefault="009642E0">
      <w:pPr>
        <w:rPr>
          <w:rFonts w:ascii="Aptos" w:hAnsi="Aptos"/>
          <w:sz w:val="20"/>
        </w:rPr>
      </w:pPr>
    </w:p>
    <w:p w14:paraId="66C094F6" w14:textId="77777777" w:rsidR="009642E0" w:rsidRPr="009B5839" w:rsidRDefault="009642E0">
      <w:pPr>
        <w:rPr>
          <w:rFonts w:ascii="Aptos" w:hAnsi="Aptos"/>
          <w:sz w:val="20"/>
        </w:rPr>
      </w:pPr>
      <w:bookmarkStart w:id="58" w:name="_Hlk170391974"/>
    </w:p>
    <w:p w14:paraId="0624720C" w14:textId="77777777" w:rsidR="003B0522" w:rsidRDefault="003B0522" w:rsidP="003B0522">
      <w:pPr>
        <w:pStyle w:val="Heading2"/>
        <w:rPr>
          <w:rFonts w:ascii="Aptos" w:hAnsi="Aptos"/>
          <w:b/>
          <w:bCs/>
          <w:color w:val="FF0000"/>
          <w:sz w:val="24"/>
          <w:szCs w:val="24"/>
        </w:rPr>
      </w:pPr>
      <w:bookmarkStart w:id="59" w:name="Continuation_and_evaluation_of_current_f"/>
      <w:bookmarkStart w:id="60" w:name="_bookmark16"/>
      <w:bookmarkStart w:id="61" w:name="_Toc168584202"/>
      <w:bookmarkEnd w:id="59"/>
      <w:bookmarkEnd w:id="60"/>
    </w:p>
    <w:p w14:paraId="5DAB3894" w14:textId="77777777" w:rsidR="003B0522" w:rsidRDefault="003B0522" w:rsidP="003B0522">
      <w:pPr>
        <w:pStyle w:val="Heading2"/>
        <w:rPr>
          <w:rFonts w:ascii="Aptos" w:hAnsi="Aptos"/>
          <w:b/>
          <w:bCs/>
          <w:color w:val="FF0000"/>
          <w:sz w:val="24"/>
          <w:szCs w:val="24"/>
        </w:rPr>
      </w:pPr>
    </w:p>
    <w:p w14:paraId="48B520B2" w14:textId="3F37E078" w:rsidR="003B777E" w:rsidRDefault="00000000" w:rsidP="003B0522">
      <w:pPr>
        <w:pStyle w:val="Heading2"/>
        <w:rPr>
          <w:rFonts w:ascii="Aptos" w:hAnsi="Aptos"/>
          <w:b/>
          <w:bCs/>
          <w:color w:val="FF0000"/>
          <w:sz w:val="24"/>
          <w:szCs w:val="24"/>
        </w:rPr>
      </w:pPr>
      <w:r w:rsidRPr="000E5FB9">
        <w:rPr>
          <w:rFonts w:ascii="Aptos" w:hAnsi="Aptos"/>
          <w:b/>
          <w:bCs/>
          <w:color w:val="FF0000"/>
          <w:sz w:val="24"/>
          <w:szCs w:val="24"/>
        </w:rPr>
        <w:t>Continuation and evaluation of current funding programmes</w:t>
      </w:r>
      <w:r w:rsidR="00076A41" w:rsidRPr="000E5FB9">
        <w:rPr>
          <w:rFonts w:ascii="Aptos" w:hAnsi="Aptos"/>
          <w:b/>
          <w:bCs/>
          <w:color w:val="FF0000"/>
          <w:sz w:val="24"/>
          <w:szCs w:val="24"/>
        </w:rPr>
        <w:t xml:space="preserve"> (RRF)</w:t>
      </w:r>
      <w:bookmarkEnd w:id="61"/>
    </w:p>
    <w:p w14:paraId="67B427A0" w14:textId="77777777" w:rsidR="003B777E" w:rsidRPr="003B0522" w:rsidRDefault="003B777E">
      <w:pPr>
        <w:pStyle w:val="BodyText"/>
        <w:spacing w:before="10"/>
        <w:rPr>
          <w:rFonts w:ascii="Aptos" w:hAnsi="Aptos"/>
          <w:sz w:val="22"/>
          <w:szCs w:val="36"/>
        </w:rPr>
      </w:pP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3B777E" w:rsidRPr="009B5839" w14:paraId="78133984" w14:textId="77777777" w:rsidTr="003B0522">
        <w:trPr>
          <w:trHeight w:val="273"/>
        </w:trPr>
        <w:tc>
          <w:tcPr>
            <w:tcW w:w="9066" w:type="dxa"/>
            <w:shd w:val="clear" w:color="auto" w:fill="D9D9D9"/>
          </w:tcPr>
          <w:p w14:paraId="05611299" w14:textId="77777777" w:rsidR="003B777E" w:rsidRPr="009B5839" w:rsidRDefault="00000000">
            <w:pPr>
              <w:pStyle w:val="TableParagraph"/>
              <w:spacing w:line="253" w:lineRule="exact"/>
              <w:rPr>
                <w:rFonts w:ascii="Aptos" w:hAnsi="Aptos"/>
                <w:b/>
                <w:sz w:val="24"/>
              </w:rPr>
            </w:pPr>
            <w:r w:rsidRPr="004D0DD6">
              <w:rPr>
                <w:rFonts w:ascii="Aptos" w:hAnsi="Aptos"/>
                <w:b/>
                <w:szCs w:val="20"/>
              </w:rPr>
              <w:t>Question</w:t>
            </w:r>
          </w:p>
        </w:tc>
      </w:tr>
      <w:tr w:rsidR="003B777E" w:rsidRPr="009B5839" w14:paraId="561921E6" w14:textId="77777777" w:rsidTr="003B0522">
        <w:trPr>
          <w:trHeight w:val="1771"/>
        </w:trPr>
        <w:tc>
          <w:tcPr>
            <w:tcW w:w="9066" w:type="dxa"/>
          </w:tcPr>
          <w:p w14:paraId="51F243A0" w14:textId="122DC097" w:rsidR="003B777E" w:rsidRPr="009B5839" w:rsidRDefault="002439BF" w:rsidP="002439BF">
            <w:pPr>
              <w:pStyle w:val="TableParagraph"/>
              <w:ind w:right="94"/>
              <w:jc w:val="both"/>
              <w:rPr>
                <w:rFonts w:ascii="Aptos" w:hAnsi="Aptos"/>
                <w:b/>
              </w:rPr>
            </w:pPr>
            <w:r w:rsidRPr="002439BF">
              <w:rPr>
                <w:rFonts w:ascii="Aptos" w:hAnsi="Aptos"/>
              </w:rPr>
              <w:t>The centrepiece of NextGenerationEU, the Recovery and Resilience Facility (</w:t>
            </w:r>
            <w:r>
              <w:rPr>
                <w:rFonts w:ascii="Aptos" w:hAnsi="Aptos"/>
              </w:rPr>
              <w:t>RRF</w:t>
            </w:r>
            <w:r w:rsidRPr="002439BF">
              <w:rPr>
                <w:rFonts w:ascii="Aptos" w:hAnsi="Aptos"/>
              </w:rPr>
              <w:t xml:space="preserve">), has and will provide a total of €672.5 billion in grants and loans to Member States. The funds are raised by the EC on behalf of the EU by issuing bonds on the capital markets. Member States can use these funds to make the investments necessary for a resilient Europe. However, the facility is only a temporary instrument, expiring at the end of 2026. </w:t>
            </w:r>
            <w:r w:rsidRPr="002439BF">
              <w:rPr>
                <w:rFonts w:ascii="Aptos" w:hAnsi="Aptos"/>
                <w:b/>
                <w:bCs/>
              </w:rPr>
              <w:t>How do you assess the relevance of the ARF and do you plan to continue it?</w:t>
            </w:r>
          </w:p>
        </w:tc>
      </w:tr>
      <w:tr w:rsidR="003B777E" w:rsidRPr="009B5839" w14:paraId="4650970A" w14:textId="77777777" w:rsidTr="003B0522">
        <w:trPr>
          <w:trHeight w:val="278"/>
        </w:trPr>
        <w:tc>
          <w:tcPr>
            <w:tcW w:w="9066" w:type="dxa"/>
            <w:shd w:val="clear" w:color="auto" w:fill="D9D9D9"/>
          </w:tcPr>
          <w:p w14:paraId="1D36470E" w14:textId="140563BC" w:rsidR="003B777E" w:rsidRPr="009B5839" w:rsidRDefault="00F95277">
            <w:pPr>
              <w:pStyle w:val="TableParagraph"/>
              <w:spacing w:line="258" w:lineRule="exact"/>
              <w:rPr>
                <w:rFonts w:ascii="Aptos" w:hAnsi="Aptos"/>
                <w:b/>
                <w:sz w:val="24"/>
              </w:rPr>
            </w:pPr>
            <w:r>
              <w:rPr>
                <w:rFonts w:ascii="Aptos" w:hAnsi="Aptos"/>
                <w:b/>
              </w:rPr>
              <w:t>Further questions</w:t>
            </w:r>
          </w:p>
        </w:tc>
      </w:tr>
      <w:tr w:rsidR="003B777E" w:rsidRPr="009B5839" w14:paraId="40C27FFE" w14:textId="77777777" w:rsidTr="003B0522">
        <w:trPr>
          <w:trHeight w:val="1008"/>
        </w:trPr>
        <w:tc>
          <w:tcPr>
            <w:tcW w:w="9066" w:type="dxa"/>
          </w:tcPr>
          <w:p w14:paraId="1CBF21E4" w14:textId="7CB2A428" w:rsidR="003B777E" w:rsidRPr="009B5839" w:rsidRDefault="00000000" w:rsidP="00076A41">
            <w:pPr>
              <w:pStyle w:val="TableParagraph"/>
              <w:numPr>
                <w:ilvl w:val="0"/>
                <w:numId w:val="37"/>
              </w:numPr>
              <w:tabs>
                <w:tab w:val="left" w:pos="831"/>
              </w:tabs>
              <w:spacing w:before="115"/>
              <w:ind w:right="96"/>
              <w:jc w:val="both"/>
              <w:rPr>
                <w:rFonts w:ascii="Aptos" w:hAnsi="Aptos"/>
              </w:rPr>
            </w:pPr>
            <w:r w:rsidRPr="009B5839">
              <w:rPr>
                <w:rFonts w:ascii="Aptos" w:hAnsi="Aptos"/>
              </w:rPr>
              <w:t>What</w:t>
            </w:r>
            <w:r w:rsidRPr="009B5839">
              <w:rPr>
                <w:rFonts w:ascii="Aptos" w:hAnsi="Aptos"/>
                <w:spacing w:val="-5"/>
              </w:rPr>
              <w:t xml:space="preserve"> </w:t>
            </w:r>
            <w:r w:rsidRPr="009B5839">
              <w:rPr>
                <w:rFonts w:ascii="Aptos" w:hAnsi="Aptos"/>
              </w:rPr>
              <w:t>advantages</w:t>
            </w:r>
            <w:r w:rsidRPr="009B5839">
              <w:rPr>
                <w:rFonts w:ascii="Aptos" w:hAnsi="Aptos"/>
                <w:spacing w:val="-6"/>
              </w:rPr>
              <w:t xml:space="preserve"> </w:t>
            </w:r>
            <w:r w:rsidRPr="009B5839">
              <w:rPr>
                <w:rFonts w:ascii="Aptos" w:hAnsi="Aptos"/>
              </w:rPr>
              <w:t>do</w:t>
            </w:r>
            <w:r w:rsidRPr="009B5839">
              <w:rPr>
                <w:rFonts w:ascii="Aptos" w:hAnsi="Aptos"/>
                <w:spacing w:val="-1"/>
              </w:rPr>
              <w:t xml:space="preserve"> </w:t>
            </w:r>
            <w:r w:rsidRPr="009B5839">
              <w:rPr>
                <w:rFonts w:ascii="Aptos" w:hAnsi="Aptos"/>
              </w:rPr>
              <w:t>you</w:t>
            </w:r>
            <w:r w:rsidRPr="009B5839">
              <w:rPr>
                <w:rFonts w:ascii="Aptos" w:hAnsi="Aptos"/>
                <w:spacing w:val="-4"/>
              </w:rPr>
              <w:t xml:space="preserve"> </w:t>
            </w:r>
            <w:r w:rsidRPr="009B5839">
              <w:rPr>
                <w:rFonts w:ascii="Aptos" w:hAnsi="Aptos"/>
              </w:rPr>
              <w:t>think</w:t>
            </w:r>
            <w:r w:rsidRPr="009B5839">
              <w:rPr>
                <w:rFonts w:ascii="Aptos" w:hAnsi="Aptos"/>
                <w:spacing w:val="-6"/>
              </w:rPr>
              <w:t xml:space="preserve"> </w:t>
            </w:r>
            <w:r w:rsidRPr="009B5839">
              <w:rPr>
                <w:rFonts w:ascii="Aptos" w:hAnsi="Aptos"/>
              </w:rPr>
              <w:t>new</w:t>
            </w:r>
            <w:r w:rsidRPr="009B5839">
              <w:rPr>
                <w:rFonts w:ascii="Aptos" w:hAnsi="Aptos"/>
                <w:spacing w:val="-1"/>
              </w:rPr>
              <w:t xml:space="preserve"> </w:t>
            </w:r>
            <w:r w:rsidRPr="009B5839">
              <w:rPr>
                <w:rFonts w:ascii="Aptos" w:hAnsi="Aptos"/>
              </w:rPr>
              <w:t xml:space="preserve">funding </w:t>
            </w:r>
            <w:r w:rsidR="00607567" w:rsidRPr="009B5839">
              <w:rPr>
                <w:rFonts w:ascii="Aptos" w:hAnsi="Aptos"/>
              </w:rPr>
              <w:t>programs</w:t>
            </w:r>
            <w:r w:rsidRPr="009B5839">
              <w:rPr>
                <w:rFonts w:ascii="Aptos" w:hAnsi="Aptos"/>
                <w:spacing w:val="-1"/>
              </w:rPr>
              <w:t xml:space="preserve"> </w:t>
            </w:r>
            <w:r w:rsidRPr="009B5839">
              <w:rPr>
                <w:rFonts w:ascii="Aptos" w:hAnsi="Aptos"/>
              </w:rPr>
              <w:t>would</w:t>
            </w:r>
            <w:r w:rsidRPr="009B5839">
              <w:rPr>
                <w:rFonts w:ascii="Aptos" w:hAnsi="Aptos"/>
                <w:spacing w:val="-4"/>
              </w:rPr>
              <w:t xml:space="preserve"> </w:t>
            </w:r>
            <w:r w:rsidRPr="009B5839">
              <w:rPr>
                <w:rFonts w:ascii="Aptos" w:hAnsi="Aptos"/>
              </w:rPr>
              <w:t>have?</w:t>
            </w:r>
          </w:p>
          <w:p w14:paraId="6B83F7B3" w14:textId="32D252D6" w:rsidR="003B777E" w:rsidRPr="009B5839" w:rsidRDefault="002439BF" w:rsidP="00076A41">
            <w:pPr>
              <w:pStyle w:val="TableParagraph"/>
              <w:numPr>
                <w:ilvl w:val="0"/>
                <w:numId w:val="37"/>
              </w:numPr>
              <w:tabs>
                <w:tab w:val="left" w:pos="831"/>
              </w:tabs>
              <w:spacing w:before="115"/>
              <w:ind w:right="96"/>
              <w:jc w:val="both"/>
              <w:rPr>
                <w:rFonts w:ascii="Aptos" w:hAnsi="Aptos"/>
                <w:sz w:val="24"/>
              </w:rPr>
            </w:pPr>
            <w:r w:rsidRPr="00076A41">
              <w:rPr>
                <w:rFonts w:ascii="Aptos" w:hAnsi="Aptos"/>
              </w:rPr>
              <w:t>Assuming that the RRF</w:t>
            </w:r>
            <w:r w:rsidR="00076A41">
              <w:rPr>
                <w:rFonts w:ascii="Aptos" w:hAnsi="Aptos"/>
              </w:rPr>
              <w:t xml:space="preserve"> </w:t>
            </w:r>
            <w:r w:rsidRPr="00076A41">
              <w:rPr>
                <w:rFonts w:ascii="Aptos" w:hAnsi="Aptos"/>
              </w:rPr>
              <w:t>continues beyond 2026, what conclusions do you draw from the programme so far and what would be different if it continued?</w:t>
            </w:r>
          </w:p>
        </w:tc>
      </w:tr>
    </w:tbl>
    <w:p w14:paraId="00B517C2" w14:textId="77777777" w:rsidR="003B777E" w:rsidRPr="003B0522" w:rsidRDefault="003B777E">
      <w:pPr>
        <w:pStyle w:val="BodyText"/>
        <w:rPr>
          <w:rFonts w:ascii="Aptos" w:hAnsi="Aptos"/>
          <w:sz w:val="22"/>
          <w:szCs w:val="28"/>
        </w:rPr>
      </w:pPr>
    </w:p>
    <w:tbl>
      <w:tblPr>
        <w:tblStyle w:val="TableNormal1"/>
        <w:tblW w:w="0" w:type="auto"/>
        <w:tblLayout w:type="fixed"/>
        <w:tblLook w:val="01E0" w:firstRow="1" w:lastRow="1" w:firstColumn="1" w:lastColumn="1" w:noHBand="0" w:noVBand="0"/>
      </w:tblPr>
      <w:tblGrid>
        <w:gridCol w:w="9066"/>
      </w:tblGrid>
      <w:tr w:rsidR="006F11A1" w:rsidRPr="009B5839" w14:paraId="41DE583F" w14:textId="77777777" w:rsidTr="003B0522">
        <w:trPr>
          <w:trHeight w:val="277"/>
        </w:trPr>
        <w:tc>
          <w:tcPr>
            <w:tcW w:w="9066" w:type="dxa"/>
            <w:shd w:val="clear" w:color="auto" w:fill="D9D9D9"/>
          </w:tcPr>
          <w:p w14:paraId="3A1139AC" w14:textId="03459DF5" w:rsidR="006F11A1" w:rsidRPr="009B5839" w:rsidRDefault="006F11A1" w:rsidP="000858DA">
            <w:pPr>
              <w:pStyle w:val="TableParagraph"/>
              <w:spacing w:line="258" w:lineRule="exact"/>
              <w:ind w:left="0"/>
              <w:rPr>
                <w:rFonts w:ascii="Aptos" w:hAnsi="Aptos"/>
                <w:b/>
                <w:sz w:val="24"/>
              </w:rPr>
            </w:pPr>
            <w:r w:rsidRPr="004D0DD6">
              <w:rPr>
                <w:rFonts w:ascii="Aptos" w:hAnsi="Aptos"/>
                <w:b/>
                <w:szCs w:val="20"/>
              </w:rPr>
              <w:t>Back</w:t>
            </w:r>
            <w:r w:rsidR="000858DA" w:rsidRPr="004D0DD6">
              <w:rPr>
                <w:rFonts w:ascii="Aptos" w:hAnsi="Aptos"/>
                <w:b/>
                <w:szCs w:val="20"/>
              </w:rPr>
              <w:t>g</w:t>
            </w:r>
            <w:r w:rsidRPr="004D0DD6">
              <w:rPr>
                <w:rFonts w:ascii="Aptos" w:hAnsi="Aptos"/>
                <w:b/>
                <w:szCs w:val="20"/>
              </w:rPr>
              <w:t>round</w:t>
            </w:r>
          </w:p>
        </w:tc>
      </w:tr>
      <w:tr w:rsidR="006F11A1" w:rsidRPr="009B5839" w14:paraId="798D2BD9" w14:textId="77777777" w:rsidTr="003B0522">
        <w:trPr>
          <w:trHeight w:val="1516"/>
        </w:trPr>
        <w:tc>
          <w:tcPr>
            <w:tcW w:w="9066" w:type="dxa"/>
          </w:tcPr>
          <w:p w14:paraId="660FAC20" w14:textId="26F81B03" w:rsidR="00083990" w:rsidRDefault="002A6988" w:rsidP="002A6988">
            <w:pPr>
              <w:pStyle w:val="TableParagraph"/>
              <w:spacing w:before="3" w:line="239" w:lineRule="exact"/>
              <w:ind w:left="0"/>
              <w:jc w:val="both"/>
              <w:rPr>
                <w:rFonts w:ascii="Aptos" w:hAnsi="Aptos"/>
                <w:bCs/>
              </w:rPr>
            </w:pPr>
            <w:r w:rsidRPr="002A6988">
              <w:rPr>
                <w:rFonts w:ascii="Aptos" w:hAnsi="Aptos"/>
                <w:bCs/>
              </w:rPr>
              <w:t>The independent High-Level Group on the Future of Cohesion Policy has presented its report, which assesses the functioning of cohesion policy. The report makes recommendations on how to ensure that this policy continues to promote prosperity and convergence across the EU. The Commission has also presented the mid-term review of the Recovery and Resilience Facility (RRF), the EU financial instrument for recovery which forms the centrepiece of the €</w:t>
            </w:r>
            <w:r>
              <w:rPr>
                <w:rFonts w:ascii="Aptos" w:hAnsi="Aptos"/>
                <w:bCs/>
              </w:rPr>
              <w:t xml:space="preserve"> </w:t>
            </w:r>
            <w:r w:rsidRPr="002A6988">
              <w:rPr>
                <w:rFonts w:ascii="Aptos" w:hAnsi="Aptos"/>
                <w:bCs/>
              </w:rPr>
              <w:t>800 billion NextGenerationEU (NGEU) plan. Approximately half of the anticipated increase in public investment between 2019 and 2025 is attributable to EU budget-financed investments, particularly those from the Recovery and Resilience Facility</w:t>
            </w:r>
            <w:r w:rsidR="00995528">
              <w:rPr>
                <w:rFonts w:ascii="Aptos" w:hAnsi="Aptos"/>
                <w:bCs/>
              </w:rPr>
              <w:t xml:space="preserve"> </w:t>
            </w:r>
            <w:r w:rsidR="00995528">
              <w:rPr>
                <w:rStyle w:val="FootnoteReference"/>
                <w:rFonts w:ascii="Aptos" w:hAnsi="Aptos"/>
                <w:bCs/>
              </w:rPr>
              <w:footnoteReference w:id="8"/>
            </w:r>
            <w:r w:rsidRPr="002A6988">
              <w:rPr>
                <w:rFonts w:ascii="Aptos" w:hAnsi="Aptos"/>
                <w:bCs/>
              </w:rPr>
              <w:t>. In contrast to previous crises, public investment in Europe increased during the COVID-19 pandemic and the subsequent energy crisis from 3.0</w:t>
            </w:r>
            <w:r>
              <w:rPr>
                <w:rFonts w:ascii="Aptos" w:hAnsi="Aptos"/>
                <w:bCs/>
              </w:rPr>
              <w:t xml:space="preserve"> </w:t>
            </w:r>
            <w:r w:rsidRPr="002A6988">
              <w:rPr>
                <w:rFonts w:ascii="Aptos" w:hAnsi="Aptos"/>
                <w:bCs/>
              </w:rPr>
              <w:t>% in 2019 to an estimated 3.3</w:t>
            </w:r>
            <w:r>
              <w:rPr>
                <w:rFonts w:ascii="Aptos" w:hAnsi="Aptos"/>
                <w:bCs/>
              </w:rPr>
              <w:t xml:space="preserve"> </w:t>
            </w:r>
            <w:r w:rsidRPr="002A6988">
              <w:rPr>
                <w:rFonts w:ascii="Aptos" w:hAnsi="Aptos"/>
                <w:bCs/>
              </w:rPr>
              <w:t>% in 2023. This is expected to reach 3.4</w:t>
            </w:r>
            <w:r>
              <w:rPr>
                <w:rFonts w:ascii="Aptos" w:hAnsi="Aptos"/>
                <w:bCs/>
              </w:rPr>
              <w:t xml:space="preserve"> </w:t>
            </w:r>
            <w:r w:rsidRPr="002A6988">
              <w:rPr>
                <w:rFonts w:ascii="Aptos" w:hAnsi="Aptos"/>
                <w:bCs/>
              </w:rPr>
              <w:t>% of GDP in 2024. The performance-based nature of the RFF, which disburses EU funds contingent on the achievement of milestones, has proven effective in driving the implementation of long-awaited reforms across a range of policy areas. These include supporting the green and digital transitions and strengthening social and institutional resilience.</w:t>
            </w:r>
          </w:p>
          <w:p w14:paraId="7DC155E9" w14:textId="77777777" w:rsidR="006E0F2F" w:rsidRDefault="006E0F2F" w:rsidP="002A6988">
            <w:pPr>
              <w:pStyle w:val="TableParagraph"/>
              <w:spacing w:before="3" w:line="239" w:lineRule="exact"/>
              <w:ind w:left="0"/>
              <w:jc w:val="both"/>
              <w:rPr>
                <w:rFonts w:ascii="Aptos" w:hAnsi="Aptos"/>
                <w:bCs/>
              </w:rPr>
            </w:pPr>
          </w:p>
          <w:p w14:paraId="0102DB11" w14:textId="026AA1D7" w:rsidR="006E0F2F" w:rsidRDefault="006E0F2F" w:rsidP="002A6988">
            <w:pPr>
              <w:pStyle w:val="TableParagraph"/>
              <w:spacing w:before="3" w:line="239" w:lineRule="exact"/>
              <w:ind w:left="0"/>
              <w:jc w:val="both"/>
              <w:rPr>
                <w:rFonts w:ascii="Aptos" w:hAnsi="Aptos"/>
                <w:bCs/>
              </w:rPr>
            </w:pPr>
          </w:p>
          <w:p w14:paraId="72087D0B" w14:textId="77777777" w:rsidR="00083990" w:rsidRPr="00083990" w:rsidRDefault="00083990" w:rsidP="00180DD8">
            <w:pPr>
              <w:pStyle w:val="TableParagraph"/>
              <w:spacing w:before="3" w:line="239" w:lineRule="exact"/>
              <w:jc w:val="both"/>
              <w:rPr>
                <w:rFonts w:ascii="Aptos" w:hAnsi="Aptos"/>
                <w:bCs/>
              </w:rPr>
            </w:pPr>
          </w:p>
          <w:p w14:paraId="0A36F622" w14:textId="34512B1A" w:rsidR="006F11A1" w:rsidRPr="00CE3E5E" w:rsidRDefault="006F11A1" w:rsidP="009C65DE">
            <w:pPr>
              <w:pStyle w:val="TableParagraph"/>
              <w:spacing w:before="3" w:line="239" w:lineRule="exact"/>
              <w:jc w:val="both"/>
              <w:rPr>
                <w:rFonts w:ascii="Aptos" w:hAnsi="Aptos"/>
                <w:bCs/>
              </w:rPr>
            </w:pPr>
          </w:p>
        </w:tc>
      </w:tr>
      <w:bookmarkEnd w:id="58"/>
    </w:tbl>
    <w:p w14:paraId="4221D543" w14:textId="77777777" w:rsidR="006E0F2F" w:rsidRDefault="006E0F2F">
      <w:pPr>
        <w:pStyle w:val="BodyText"/>
        <w:rPr>
          <w:rFonts w:ascii="Aptos" w:hAnsi="Aptos"/>
          <w:sz w:val="20"/>
        </w:rPr>
      </w:pPr>
    </w:p>
    <w:p w14:paraId="271409A8" w14:textId="77777777" w:rsidR="006E0F2F" w:rsidRDefault="006E0F2F">
      <w:pPr>
        <w:pStyle w:val="BodyText"/>
        <w:rPr>
          <w:rFonts w:ascii="Aptos" w:hAnsi="Aptos"/>
          <w:sz w:val="20"/>
        </w:rPr>
      </w:pPr>
    </w:p>
    <w:p w14:paraId="4A207FC4" w14:textId="77777777" w:rsidR="006E0F2F" w:rsidRDefault="006E0F2F">
      <w:pPr>
        <w:pStyle w:val="BodyText"/>
        <w:rPr>
          <w:rFonts w:ascii="Aptos" w:hAnsi="Aptos"/>
          <w:sz w:val="20"/>
        </w:rPr>
      </w:pPr>
    </w:p>
    <w:p w14:paraId="2FE58663" w14:textId="77777777" w:rsidR="006E0F2F" w:rsidRDefault="006E0F2F">
      <w:pPr>
        <w:pStyle w:val="BodyText"/>
        <w:rPr>
          <w:rFonts w:ascii="Aptos" w:hAnsi="Aptos"/>
          <w:sz w:val="20"/>
        </w:rPr>
      </w:pPr>
    </w:p>
    <w:p w14:paraId="3E5D10D8" w14:textId="77777777" w:rsidR="003B777E" w:rsidRDefault="003B777E">
      <w:pPr>
        <w:pStyle w:val="BodyText"/>
        <w:spacing w:before="3"/>
        <w:rPr>
          <w:rFonts w:ascii="Aptos" w:hAnsi="Aptos"/>
          <w:sz w:val="20"/>
        </w:rPr>
      </w:pPr>
    </w:p>
    <w:p w14:paraId="4E100B85" w14:textId="77777777" w:rsidR="006E0F2F" w:rsidRDefault="006E0F2F">
      <w:pPr>
        <w:pStyle w:val="BodyText"/>
        <w:spacing w:before="3"/>
        <w:rPr>
          <w:rFonts w:ascii="Aptos" w:hAnsi="Aptos"/>
          <w:sz w:val="20"/>
        </w:rPr>
      </w:pPr>
    </w:p>
    <w:p w14:paraId="2B465C7F" w14:textId="77777777" w:rsidR="006E0F2F" w:rsidRDefault="006E0F2F">
      <w:pPr>
        <w:pStyle w:val="BodyText"/>
        <w:spacing w:before="3"/>
        <w:rPr>
          <w:rFonts w:ascii="Aptos" w:hAnsi="Aptos"/>
          <w:sz w:val="20"/>
        </w:rPr>
      </w:pPr>
    </w:p>
    <w:p w14:paraId="41B33D5B" w14:textId="77777777" w:rsidR="006E0F2F" w:rsidRDefault="006E0F2F">
      <w:pPr>
        <w:pStyle w:val="BodyText"/>
        <w:spacing w:before="3"/>
        <w:rPr>
          <w:rFonts w:ascii="Aptos" w:hAnsi="Aptos"/>
          <w:sz w:val="20"/>
        </w:rPr>
      </w:pPr>
    </w:p>
    <w:p w14:paraId="4C6517F9" w14:textId="77777777" w:rsidR="006E0F2F" w:rsidRDefault="006E0F2F">
      <w:pPr>
        <w:pStyle w:val="BodyText"/>
        <w:spacing w:before="3"/>
        <w:rPr>
          <w:rFonts w:ascii="Aptos" w:hAnsi="Aptos"/>
          <w:sz w:val="20"/>
        </w:rPr>
      </w:pPr>
    </w:p>
    <w:p w14:paraId="33271A75" w14:textId="77777777" w:rsidR="006E0F2F" w:rsidRDefault="006E0F2F">
      <w:pPr>
        <w:pStyle w:val="BodyText"/>
        <w:spacing w:before="3"/>
        <w:rPr>
          <w:rFonts w:ascii="Aptos" w:hAnsi="Aptos"/>
          <w:sz w:val="21"/>
        </w:rPr>
      </w:pPr>
    </w:p>
    <w:p w14:paraId="5FF1664E" w14:textId="77777777" w:rsidR="003B0522" w:rsidRDefault="003B0522">
      <w:pPr>
        <w:pStyle w:val="BodyText"/>
        <w:spacing w:before="3"/>
        <w:rPr>
          <w:rFonts w:ascii="Aptos" w:hAnsi="Aptos"/>
          <w:sz w:val="21"/>
        </w:rPr>
      </w:pPr>
    </w:p>
    <w:p w14:paraId="3EC6A2B8" w14:textId="77777777" w:rsidR="003B0522" w:rsidRDefault="003B0522">
      <w:pPr>
        <w:pStyle w:val="BodyText"/>
        <w:spacing w:before="3"/>
        <w:rPr>
          <w:rFonts w:ascii="Aptos" w:hAnsi="Aptos"/>
          <w:sz w:val="21"/>
        </w:rPr>
      </w:pPr>
    </w:p>
    <w:p w14:paraId="440934CB" w14:textId="77777777" w:rsidR="003B0522" w:rsidRPr="009B5839" w:rsidRDefault="003B0522">
      <w:pPr>
        <w:pStyle w:val="BodyText"/>
        <w:spacing w:before="3"/>
        <w:rPr>
          <w:rFonts w:ascii="Aptos" w:hAnsi="Aptos"/>
          <w:sz w:val="21"/>
        </w:rPr>
      </w:pPr>
    </w:p>
    <w:p w14:paraId="521ECAD6" w14:textId="77777777" w:rsidR="003B777E" w:rsidRPr="009B5839" w:rsidRDefault="003B777E">
      <w:pPr>
        <w:rPr>
          <w:rFonts w:ascii="Aptos" w:hAnsi="Aptos"/>
          <w:sz w:val="20"/>
        </w:rPr>
      </w:pPr>
    </w:p>
    <w:p w14:paraId="28254958" w14:textId="77777777" w:rsidR="003B0522" w:rsidRDefault="003B0522" w:rsidP="000858DA">
      <w:pPr>
        <w:pStyle w:val="Heading2"/>
        <w:ind w:left="696" w:firstLine="720"/>
        <w:rPr>
          <w:rFonts w:ascii="Aptos" w:hAnsi="Aptos"/>
          <w:b/>
          <w:bCs/>
          <w:color w:val="FF0000"/>
          <w:sz w:val="24"/>
          <w:szCs w:val="24"/>
        </w:rPr>
      </w:pPr>
      <w:bookmarkStart w:id="62" w:name="Public-private_partnerships_(PPP_project"/>
      <w:bookmarkStart w:id="63" w:name="_bookmark17"/>
      <w:bookmarkStart w:id="64" w:name="_Toc168584203"/>
      <w:bookmarkStart w:id="65" w:name="_Hlk170392173"/>
      <w:bookmarkEnd w:id="62"/>
      <w:bookmarkEnd w:id="63"/>
    </w:p>
    <w:p w14:paraId="4FFADCB9" w14:textId="77777777" w:rsidR="003B0522" w:rsidRDefault="003B0522" w:rsidP="000858DA">
      <w:pPr>
        <w:pStyle w:val="Heading2"/>
        <w:ind w:left="696" w:firstLine="720"/>
        <w:rPr>
          <w:rFonts w:ascii="Aptos" w:hAnsi="Aptos"/>
          <w:b/>
          <w:bCs/>
          <w:color w:val="FF0000"/>
          <w:sz w:val="24"/>
          <w:szCs w:val="24"/>
        </w:rPr>
      </w:pPr>
    </w:p>
    <w:p w14:paraId="1428D653" w14:textId="397B7316" w:rsidR="003B777E" w:rsidRPr="009B5839" w:rsidRDefault="00000000" w:rsidP="003B0522">
      <w:pPr>
        <w:pStyle w:val="Heading2"/>
        <w:rPr>
          <w:rFonts w:ascii="Aptos" w:hAnsi="Aptos"/>
          <w:sz w:val="20"/>
        </w:rPr>
      </w:pPr>
      <w:r w:rsidRPr="000E5FB9">
        <w:rPr>
          <w:rFonts w:ascii="Aptos" w:hAnsi="Aptos"/>
          <w:b/>
          <w:bCs/>
          <w:color w:val="FF0000"/>
          <w:sz w:val="24"/>
          <w:szCs w:val="24"/>
        </w:rPr>
        <w:t>Public-private partnerships (PPP projects)</w:t>
      </w:r>
      <w:bookmarkEnd w:id="64"/>
    </w:p>
    <w:p w14:paraId="7DB2EFA3" w14:textId="77777777" w:rsidR="003B777E" w:rsidRPr="003B0522" w:rsidRDefault="003B777E">
      <w:pPr>
        <w:pStyle w:val="BodyText"/>
        <w:spacing w:before="10"/>
        <w:rPr>
          <w:rFonts w:ascii="Aptos" w:hAnsi="Aptos"/>
          <w:sz w:val="22"/>
          <w:szCs w:val="36"/>
        </w:rPr>
      </w:pP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3B777E" w:rsidRPr="009B5839" w14:paraId="24DC6323" w14:textId="77777777" w:rsidTr="003B0522">
        <w:trPr>
          <w:trHeight w:val="273"/>
        </w:trPr>
        <w:tc>
          <w:tcPr>
            <w:tcW w:w="9066" w:type="dxa"/>
            <w:shd w:val="clear" w:color="auto" w:fill="D9D9D9"/>
          </w:tcPr>
          <w:p w14:paraId="54A04DFA" w14:textId="77777777" w:rsidR="003B777E" w:rsidRPr="004D0DD6" w:rsidRDefault="00000000">
            <w:pPr>
              <w:pStyle w:val="TableParagraph"/>
              <w:spacing w:line="253" w:lineRule="exact"/>
              <w:rPr>
                <w:rFonts w:ascii="Aptos" w:hAnsi="Aptos"/>
                <w:b/>
              </w:rPr>
            </w:pPr>
            <w:r w:rsidRPr="004D0DD6">
              <w:rPr>
                <w:rFonts w:ascii="Aptos" w:hAnsi="Aptos"/>
                <w:b/>
              </w:rPr>
              <w:t>Question</w:t>
            </w:r>
          </w:p>
        </w:tc>
      </w:tr>
      <w:tr w:rsidR="003B777E" w:rsidRPr="009B5839" w14:paraId="090D7A22" w14:textId="77777777" w:rsidTr="003B0522">
        <w:trPr>
          <w:trHeight w:val="1771"/>
        </w:trPr>
        <w:tc>
          <w:tcPr>
            <w:tcW w:w="9066" w:type="dxa"/>
          </w:tcPr>
          <w:p w14:paraId="2BAC38D8" w14:textId="7C7C7AEA" w:rsidR="003B777E" w:rsidRPr="004D0DD6" w:rsidRDefault="00076A41" w:rsidP="00076A41">
            <w:pPr>
              <w:pStyle w:val="TableParagraph"/>
              <w:jc w:val="both"/>
              <w:rPr>
                <w:rFonts w:ascii="Aptos" w:hAnsi="Aptos"/>
                <w:b/>
                <w:bCs/>
              </w:rPr>
            </w:pPr>
            <w:r w:rsidRPr="004D0DD6">
              <w:rPr>
                <w:rFonts w:ascii="Aptos" w:hAnsi="Aptos"/>
              </w:rPr>
              <w:t xml:space="preserve">Public-private partnerships (PPPs) - the mobilisation of private capital to meet public needs - is being touted as a way out of the "budget crisis", particularly in the area of public infrastructure. However, PPP models are not a panacea; they entail high transaction costs, costs for ongoing monitoring and external advisory services. In the infrastructure sector in particular, private companies working on behalf of the public sector is nothing new and has in the past created many problems rather than solutions due to a lack of investment. </w:t>
            </w:r>
            <w:r w:rsidRPr="004D0DD6">
              <w:rPr>
                <w:rFonts w:ascii="Aptos" w:hAnsi="Aptos"/>
                <w:b/>
                <w:bCs/>
              </w:rPr>
              <w:t>What is your view on PPP projects and are you aware of any negative examples?</w:t>
            </w:r>
          </w:p>
        </w:tc>
      </w:tr>
      <w:tr w:rsidR="003B777E" w:rsidRPr="009B5839" w14:paraId="298BBE44" w14:textId="77777777" w:rsidTr="003B0522">
        <w:trPr>
          <w:trHeight w:val="278"/>
        </w:trPr>
        <w:tc>
          <w:tcPr>
            <w:tcW w:w="9066" w:type="dxa"/>
            <w:shd w:val="clear" w:color="auto" w:fill="D9D9D9"/>
          </w:tcPr>
          <w:p w14:paraId="65131EA6" w14:textId="1418E2A5" w:rsidR="003B777E" w:rsidRPr="009B5839" w:rsidRDefault="00F95277">
            <w:pPr>
              <w:pStyle w:val="TableParagraph"/>
              <w:spacing w:line="258" w:lineRule="exact"/>
              <w:rPr>
                <w:rFonts w:ascii="Aptos" w:hAnsi="Aptos"/>
                <w:b/>
                <w:sz w:val="24"/>
              </w:rPr>
            </w:pPr>
            <w:r>
              <w:rPr>
                <w:rFonts w:ascii="Aptos" w:hAnsi="Aptos"/>
                <w:b/>
              </w:rPr>
              <w:t>Further questions</w:t>
            </w:r>
          </w:p>
        </w:tc>
      </w:tr>
      <w:tr w:rsidR="003B777E" w:rsidRPr="009B5839" w14:paraId="235935E9" w14:textId="77777777" w:rsidTr="003B0522">
        <w:trPr>
          <w:trHeight w:val="1516"/>
        </w:trPr>
        <w:tc>
          <w:tcPr>
            <w:tcW w:w="9066" w:type="dxa"/>
          </w:tcPr>
          <w:p w14:paraId="47490726" w14:textId="6BED963B" w:rsidR="00076A41" w:rsidRPr="00076A41" w:rsidRDefault="00076A41" w:rsidP="00076A41">
            <w:pPr>
              <w:pStyle w:val="TableParagraph"/>
              <w:numPr>
                <w:ilvl w:val="0"/>
                <w:numId w:val="37"/>
              </w:numPr>
              <w:tabs>
                <w:tab w:val="left" w:pos="831"/>
              </w:tabs>
              <w:spacing w:before="115"/>
              <w:ind w:right="96"/>
              <w:jc w:val="both"/>
              <w:rPr>
                <w:rFonts w:ascii="Aptos" w:hAnsi="Aptos"/>
              </w:rPr>
            </w:pPr>
            <w:r w:rsidRPr="00076A41">
              <w:rPr>
                <w:rFonts w:ascii="Aptos" w:hAnsi="Aptos"/>
              </w:rPr>
              <w:t>In your opinion, to what extent is the implementation of infrastructure projects through PPP models more cost-effective in the long term than resilient and climate-friendly financing by the public sector?</w:t>
            </w:r>
          </w:p>
          <w:p w14:paraId="68DDE2F8" w14:textId="3B47CE01" w:rsidR="003B777E" w:rsidRPr="009B5839" w:rsidRDefault="00076A41" w:rsidP="00076A41">
            <w:pPr>
              <w:pStyle w:val="TableParagraph"/>
              <w:numPr>
                <w:ilvl w:val="0"/>
                <w:numId w:val="37"/>
              </w:numPr>
              <w:tabs>
                <w:tab w:val="left" w:pos="831"/>
              </w:tabs>
              <w:spacing w:before="115"/>
              <w:ind w:right="96"/>
              <w:jc w:val="both"/>
              <w:rPr>
                <w:rFonts w:ascii="Aptos" w:hAnsi="Aptos"/>
                <w:sz w:val="24"/>
              </w:rPr>
            </w:pPr>
            <w:r w:rsidRPr="00076A41">
              <w:rPr>
                <w:rFonts w:ascii="Aptos" w:hAnsi="Aptos"/>
              </w:rPr>
              <w:t>What measures are you planning to ensure that PPP models do not lead to socio-environmental rebound effects?</w:t>
            </w:r>
          </w:p>
        </w:tc>
      </w:tr>
    </w:tbl>
    <w:p w14:paraId="3076021D" w14:textId="77777777" w:rsidR="003B777E" w:rsidRPr="003B0522" w:rsidRDefault="003B777E">
      <w:pPr>
        <w:pStyle w:val="BodyText"/>
        <w:rPr>
          <w:rFonts w:ascii="Aptos" w:hAnsi="Aptos"/>
          <w:sz w:val="22"/>
          <w:szCs w:val="28"/>
        </w:rPr>
      </w:pPr>
    </w:p>
    <w:tbl>
      <w:tblPr>
        <w:tblStyle w:val="TableNormal1"/>
        <w:tblW w:w="0" w:type="auto"/>
        <w:tblLayout w:type="fixed"/>
        <w:tblLook w:val="01E0" w:firstRow="1" w:lastRow="1" w:firstColumn="1" w:lastColumn="1" w:noHBand="0" w:noVBand="0"/>
      </w:tblPr>
      <w:tblGrid>
        <w:gridCol w:w="9066"/>
      </w:tblGrid>
      <w:tr w:rsidR="00083990" w:rsidRPr="009B5839" w14:paraId="6BFBAA74" w14:textId="77777777" w:rsidTr="003B0522">
        <w:trPr>
          <w:trHeight w:val="277"/>
        </w:trPr>
        <w:tc>
          <w:tcPr>
            <w:tcW w:w="9066" w:type="dxa"/>
            <w:shd w:val="clear" w:color="auto" w:fill="D9D9D9"/>
          </w:tcPr>
          <w:p w14:paraId="1D01E004" w14:textId="4BB53F2E" w:rsidR="00083990" w:rsidRPr="009B5839" w:rsidRDefault="00083990" w:rsidP="000858DA">
            <w:pPr>
              <w:pStyle w:val="TableParagraph"/>
              <w:spacing w:line="258" w:lineRule="exact"/>
              <w:ind w:left="0"/>
              <w:rPr>
                <w:rFonts w:ascii="Aptos" w:hAnsi="Aptos"/>
                <w:b/>
                <w:sz w:val="24"/>
              </w:rPr>
            </w:pPr>
            <w:r w:rsidRPr="004D0DD6">
              <w:rPr>
                <w:rFonts w:ascii="Aptos" w:hAnsi="Aptos"/>
                <w:b/>
                <w:szCs w:val="20"/>
              </w:rPr>
              <w:t>Back</w:t>
            </w:r>
            <w:r w:rsidR="000858DA" w:rsidRPr="004D0DD6">
              <w:rPr>
                <w:rFonts w:ascii="Aptos" w:hAnsi="Aptos"/>
                <w:b/>
                <w:szCs w:val="20"/>
              </w:rPr>
              <w:t>g</w:t>
            </w:r>
            <w:r w:rsidRPr="004D0DD6">
              <w:rPr>
                <w:rFonts w:ascii="Aptos" w:hAnsi="Aptos"/>
                <w:b/>
                <w:szCs w:val="20"/>
              </w:rPr>
              <w:t>round</w:t>
            </w:r>
          </w:p>
        </w:tc>
      </w:tr>
      <w:tr w:rsidR="00083990" w:rsidRPr="009B5839" w14:paraId="4E3B85A1" w14:textId="77777777" w:rsidTr="003B0522">
        <w:trPr>
          <w:trHeight w:val="1516"/>
        </w:trPr>
        <w:tc>
          <w:tcPr>
            <w:tcW w:w="9066" w:type="dxa"/>
          </w:tcPr>
          <w:p w14:paraId="03AAE5B8" w14:textId="6BC4A2D4" w:rsidR="00083990" w:rsidRPr="00CE3E5E" w:rsidRDefault="002A6988" w:rsidP="000858DA">
            <w:pPr>
              <w:pStyle w:val="TableParagraph"/>
              <w:spacing w:before="3" w:line="239" w:lineRule="exact"/>
              <w:ind w:left="0"/>
              <w:jc w:val="both"/>
              <w:rPr>
                <w:rFonts w:ascii="Aptos" w:hAnsi="Aptos"/>
                <w:bCs/>
              </w:rPr>
            </w:pPr>
            <w:r w:rsidRPr="002A6988">
              <w:rPr>
                <w:rFonts w:ascii="Aptos" w:hAnsi="Aptos"/>
                <w:bCs/>
              </w:rPr>
              <w:t>The term 'public-private partnership' (PPP) was first used during the reform phase of the 'New Deal' in the United States. The concept of PPP as it is understood today bears no resemblance to the original idea. The current PPP concept originated in the United Kingdom at the end of the 1990s. Following the financial and health crises of the privatisations carried out under Margaret Thatcher's Tory governments (railways, water, etc.), ‘New Labour’ developed an ‘alternative concept’ with financial players in the City of London. To date, approximately 700 PPP projects have been launched in the UK, with the European Union also adopting the model.</w:t>
            </w:r>
            <w:r w:rsidR="000858DA">
              <w:rPr>
                <w:rFonts w:ascii="Aptos" w:hAnsi="Aptos"/>
                <w:bCs/>
              </w:rPr>
              <w:t xml:space="preserve"> </w:t>
            </w:r>
            <w:r w:rsidRPr="002A6988">
              <w:rPr>
                <w:rFonts w:ascii="Aptos" w:hAnsi="Aptos"/>
                <w:bCs/>
              </w:rPr>
              <w:t>The EU views PPPs as a means of complying with the Maastricht criteria, as they do not result in an increase in debt, at least in nominal and budgetary terms. It is important to note that PPPs represent a form of 'structured financing'.</w:t>
            </w:r>
            <w:r>
              <w:rPr>
                <w:rFonts w:ascii="Aptos" w:hAnsi="Aptos"/>
                <w:bCs/>
              </w:rPr>
              <w:t xml:space="preserve"> </w:t>
            </w:r>
            <w:r w:rsidRPr="002A6988">
              <w:rPr>
                <w:rFonts w:ascii="Aptos" w:hAnsi="Aptos"/>
                <w:bCs/>
              </w:rPr>
              <w:t>While the initial advantage is that the public sector does not incur any debt, the payment obligations arising from a PPP contract contribute to a further erosion of public budgets as the contract term progresses. The interests of the external investor are promoted, while the interests of the public sector must be set aside.</w:t>
            </w:r>
          </w:p>
        </w:tc>
      </w:tr>
    </w:tbl>
    <w:p w14:paraId="3F730E79" w14:textId="77777777" w:rsidR="00083990" w:rsidRDefault="00083990">
      <w:pPr>
        <w:rPr>
          <w:rFonts w:ascii="Aptos" w:hAnsi="Aptos"/>
        </w:rPr>
      </w:pPr>
    </w:p>
    <w:p w14:paraId="40A2F014" w14:textId="77777777" w:rsidR="00083990" w:rsidRDefault="00083990">
      <w:pPr>
        <w:rPr>
          <w:rFonts w:ascii="Aptos" w:hAnsi="Aptos"/>
        </w:rPr>
      </w:pPr>
    </w:p>
    <w:bookmarkEnd w:id="65"/>
    <w:p w14:paraId="101DD155" w14:textId="77777777" w:rsidR="00083990" w:rsidRPr="009B5839" w:rsidRDefault="00083990">
      <w:pPr>
        <w:rPr>
          <w:rFonts w:ascii="Aptos" w:hAnsi="Aptos"/>
        </w:rPr>
        <w:sectPr w:rsidR="00083990" w:rsidRPr="009B5839" w:rsidSect="003B0522">
          <w:headerReference w:type="default" r:id="rId16"/>
          <w:footerReference w:type="default" r:id="rId17"/>
          <w:pgSz w:w="11910" w:h="16840"/>
          <w:pgMar w:top="1418" w:right="1418" w:bottom="1134" w:left="1418" w:header="471" w:footer="1162" w:gutter="0"/>
          <w:cols w:space="720"/>
          <w:docGrid w:linePitch="299"/>
        </w:sectPr>
      </w:pPr>
    </w:p>
    <w:p w14:paraId="6E21D2EA" w14:textId="77777777" w:rsidR="00522880" w:rsidRDefault="00522880">
      <w:pPr>
        <w:pStyle w:val="BodyText"/>
        <w:spacing w:before="92"/>
        <w:ind w:left="1416"/>
        <w:rPr>
          <w:rFonts w:ascii="Aptos" w:hAnsi="Aptos"/>
          <w:color w:val="E3342C"/>
        </w:rPr>
      </w:pPr>
      <w:bookmarkStart w:id="66" w:name="New_SME_definition_for_public_companies"/>
      <w:bookmarkStart w:id="67" w:name="_bookmark18"/>
      <w:bookmarkEnd w:id="66"/>
      <w:bookmarkEnd w:id="67"/>
    </w:p>
    <w:p w14:paraId="2179D29F" w14:textId="77777777" w:rsidR="003B0522" w:rsidRDefault="003B0522" w:rsidP="003B0522">
      <w:pPr>
        <w:pStyle w:val="Heading2"/>
        <w:rPr>
          <w:rFonts w:ascii="Aptos" w:hAnsi="Aptos"/>
          <w:b/>
          <w:bCs/>
          <w:color w:val="FF0000"/>
          <w:sz w:val="24"/>
          <w:szCs w:val="24"/>
        </w:rPr>
      </w:pPr>
      <w:bookmarkStart w:id="68" w:name="_Toc168584204"/>
    </w:p>
    <w:p w14:paraId="278E7F0A" w14:textId="65F274DB" w:rsidR="003B777E" w:rsidRPr="009B5839" w:rsidRDefault="00000000" w:rsidP="003B0522">
      <w:pPr>
        <w:pStyle w:val="Heading2"/>
        <w:rPr>
          <w:rFonts w:ascii="Aptos" w:hAnsi="Aptos"/>
          <w:sz w:val="20"/>
        </w:rPr>
      </w:pPr>
      <w:r w:rsidRPr="000E5FB9">
        <w:rPr>
          <w:rFonts w:ascii="Aptos" w:hAnsi="Aptos"/>
          <w:b/>
          <w:bCs/>
          <w:color w:val="FF0000"/>
          <w:sz w:val="24"/>
          <w:szCs w:val="24"/>
        </w:rPr>
        <w:t>New SME definition for public companies</w:t>
      </w:r>
      <w:bookmarkEnd w:id="68"/>
    </w:p>
    <w:p w14:paraId="20AC7282" w14:textId="77777777" w:rsidR="003B777E" w:rsidRPr="009B5839" w:rsidRDefault="003B777E">
      <w:pPr>
        <w:pStyle w:val="BodyText"/>
        <w:spacing w:before="6" w:after="1"/>
        <w:rPr>
          <w:rFonts w:ascii="Aptos" w:hAnsi="Aptos"/>
          <w:sz w:val="16"/>
        </w:rPr>
      </w:pP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3B777E" w:rsidRPr="009B5839" w14:paraId="45D9996B" w14:textId="77777777" w:rsidTr="003B0522">
        <w:trPr>
          <w:trHeight w:val="278"/>
        </w:trPr>
        <w:tc>
          <w:tcPr>
            <w:tcW w:w="9066" w:type="dxa"/>
            <w:shd w:val="clear" w:color="auto" w:fill="D9D9D9"/>
          </w:tcPr>
          <w:p w14:paraId="12B1B0D5" w14:textId="77777777" w:rsidR="003B777E" w:rsidRPr="009B5839" w:rsidRDefault="00000000">
            <w:pPr>
              <w:pStyle w:val="TableParagraph"/>
              <w:spacing w:line="258" w:lineRule="exact"/>
              <w:rPr>
                <w:rFonts w:ascii="Aptos" w:hAnsi="Aptos"/>
                <w:b/>
                <w:sz w:val="24"/>
              </w:rPr>
            </w:pPr>
            <w:r w:rsidRPr="004D0DD6">
              <w:rPr>
                <w:rFonts w:ascii="Aptos" w:hAnsi="Aptos"/>
                <w:b/>
                <w:szCs w:val="20"/>
              </w:rPr>
              <w:t>Question</w:t>
            </w:r>
          </w:p>
        </w:tc>
      </w:tr>
      <w:tr w:rsidR="003B777E" w:rsidRPr="009B5839" w14:paraId="7E914A77" w14:textId="77777777" w:rsidTr="003B0522">
        <w:trPr>
          <w:trHeight w:val="2025"/>
        </w:trPr>
        <w:tc>
          <w:tcPr>
            <w:tcW w:w="9066" w:type="dxa"/>
          </w:tcPr>
          <w:p w14:paraId="654AB868" w14:textId="3CCC7052" w:rsidR="003B777E" w:rsidRPr="009B5839" w:rsidRDefault="00076A41">
            <w:pPr>
              <w:pStyle w:val="TableParagraph"/>
              <w:spacing w:line="235" w:lineRule="exact"/>
              <w:jc w:val="both"/>
              <w:rPr>
                <w:rFonts w:ascii="Aptos" w:hAnsi="Aptos"/>
                <w:b/>
              </w:rPr>
            </w:pPr>
            <w:r w:rsidRPr="00076A41">
              <w:rPr>
                <w:rFonts w:ascii="Aptos" w:hAnsi="Aptos"/>
              </w:rPr>
              <w:t>A competitive economy is one in which the sustainable rate of productivity is capable of raising growth and hence incomes and quality of life. Sustainable competitiveness has long been a key policy priority of the European Union (EU). Micro, small and medium-sized enterprises (SMEs) play a central role in the structure of European economic policy. Through their activities and infrastructures, public enterprises have a huge potential to reduce greenhouse gases in order to manage the coming socio-environmental transition, but they are excluded from the SME definition</w:t>
            </w:r>
            <w:r w:rsidRPr="00076A41">
              <w:rPr>
                <w:rFonts w:ascii="Aptos" w:hAnsi="Aptos"/>
                <w:b/>
                <w:bCs/>
              </w:rPr>
              <w:t>. What concrete steps are you planning to take to change the definition of SMEs?</w:t>
            </w:r>
          </w:p>
        </w:tc>
      </w:tr>
      <w:tr w:rsidR="003B777E" w:rsidRPr="009B5839" w14:paraId="60DAE38F" w14:textId="77777777" w:rsidTr="003B0522">
        <w:trPr>
          <w:trHeight w:val="273"/>
        </w:trPr>
        <w:tc>
          <w:tcPr>
            <w:tcW w:w="9066" w:type="dxa"/>
            <w:shd w:val="clear" w:color="auto" w:fill="D9D9D9"/>
          </w:tcPr>
          <w:p w14:paraId="26E2AB85" w14:textId="0DFEAD00" w:rsidR="003B777E" w:rsidRPr="009B5839" w:rsidRDefault="00F95277">
            <w:pPr>
              <w:pStyle w:val="TableParagraph"/>
              <w:spacing w:line="253" w:lineRule="exact"/>
              <w:rPr>
                <w:rFonts w:ascii="Aptos" w:hAnsi="Aptos"/>
                <w:b/>
                <w:sz w:val="24"/>
              </w:rPr>
            </w:pPr>
            <w:r>
              <w:rPr>
                <w:rFonts w:ascii="Aptos" w:hAnsi="Aptos"/>
                <w:b/>
              </w:rPr>
              <w:t>Further questions</w:t>
            </w:r>
          </w:p>
        </w:tc>
      </w:tr>
      <w:tr w:rsidR="003B777E" w:rsidRPr="009B5839" w14:paraId="06B3F5A7" w14:textId="77777777" w:rsidTr="003B0522">
        <w:trPr>
          <w:trHeight w:val="1008"/>
        </w:trPr>
        <w:tc>
          <w:tcPr>
            <w:tcW w:w="9066" w:type="dxa"/>
          </w:tcPr>
          <w:p w14:paraId="119480A2" w14:textId="134FFC2F" w:rsidR="00076A41" w:rsidRPr="00076A41" w:rsidRDefault="00076A41" w:rsidP="00076A41">
            <w:pPr>
              <w:pStyle w:val="TableParagraph"/>
              <w:numPr>
                <w:ilvl w:val="0"/>
                <w:numId w:val="37"/>
              </w:numPr>
              <w:tabs>
                <w:tab w:val="left" w:pos="831"/>
              </w:tabs>
              <w:spacing w:before="115"/>
              <w:ind w:right="96"/>
              <w:jc w:val="both"/>
              <w:rPr>
                <w:rFonts w:ascii="Aptos" w:hAnsi="Aptos"/>
                <w:spacing w:val="-5"/>
              </w:rPr>
            </w:pPr>
            <w:r w:rsidRPr="00076A41">
              <w:rPr>
                <w:rFonts w:ascii="Aptos" w:hAnsi="Aptos"/>
                <w:spacing w:val="-5"/>
              </w:rPr>
              <w:t>What is the significance for you of the change in the definition of SMEs to include public economic operators?</w:t>
            </w:r>
          </w:p>
          <w:p w14:paraId="1000B888" w14:textId="1BD363F5" w:rsidR="003B777E" w:rsidRPr="009B5839" w:rsidRDefault="00076A41" w:rsidP="00076A41">
            <w:pPr>
              <w:pStyle w:val="TableParagraph"/>
              <w:numPr>
                <w:ilvl w:val="0"/>
                <w:numId w:val="37"/>
              </w:numPr>
              <w:tabs>
                <w:tab w:val="left" w:pos="831"/>
              </w:tabs>
              <w:spacing w:before="115"/>
              <w:ind w:right="96"/>
              <w:jc w:val="both"/>
              <w:rPr>
                <w:rFonts w:ascii="Aptos" w:hAnsi="Aptos"/>
                <w:sz w:val="24"/>
              </w:rPr>
            </w:pPr>
            <w:r w:rsidRPr="00076A41">
              <w:rPr>
                <w:rFonts w:ascii="Aptos" w:hAnsi="Aptos"/>
                <w:spacing w:val="-5"/>
              </w:rPr>
              <w:t>What is the timeframe for implementation?</w:t>
            </w:r>
          </w:p>
        </w:tc>
      </w:tr>
    </w:tbl>
    <w:p w14:paraId="1DBB2F98" w14:textId="77777777" w:rsidR="003B0522" w:rsidRPr="003B0522" w:rsidRDefault="003B0522" w:rsidP="003B0522">
      <w:pPr>
        <w:pStyle w:val="BodyText"/>
        <w:rPr>
          <w:rFonts w:ascii="Aptos" w:hAnsi="Aptos"/>
          <w:sz w:val="22"/>
          <w:szCs w:val="28"/>
        </w:rPr>
      </w:pPr>
    </w:p>
    <w:tbl>
      <w:tblPr>
        <w:tblStyle w:val="TableNormal1"/>
        <w:tblW w:w="0" w:type="auto"/>
        <w:tblLayout w:type="fixed"/>
        <w:tblLook w:val="01E0" w:firstRow="1" w:lastRow="1" w:firstColumn="1" w:lastColumn="1" w:noHBand="0" w:noVBand="0"/>
      </w:tblPr>
      <w:tblGrid>
        <w:gridCol w:w="9066"/>
      </w:tblGrid>
      <w:tr w:rsidR="003B0522" w:rsidRPr="009B5839" w14:paraId="554D7D49" w14:textId="77777777" w:rsidTr="00F64DD4">
        <w:trPr>
          <w:trHeight w:val="277"/>
        </w:trPr>
        <w:tc>
          <w:tcPr>
            <w:tcW w:w="9066" w:type="dxa"/>
            <w:shd w:val="clear" w:color="auto" w:fill="D9D9D9"/>
          </w:tcPr>
          <w:p w14:paraId="311D8A40" w14:textId="77777777" w:rsidR="003B0522" w:rsidRPr="009B5839" w:rsidRDefault="003B0522" w:rsidP="00F64DD4">
            <w:pPr>
              <w:pStyle w:val="TableParagraph"/>
              <w:spacing w:line="258" w:lineRule="exact"/>
              <w:ind w:left="0"/>
              <w:rPr>
                <w:rFonts w:ascii="Aptos" w:hAnsi="Aptos"/>
                <w:b/>
                <w:sz w:val="24"/>
              </w:rPr>
            </w:pPr>
            <w:r w:rsidRPr="004D0DD6">
              <w:rPr>
                <w:rFonts w:ascii="Aptos" w:hAnsi="Aptos"/>
                <w:b/>
                <w:szCs w:val="20"/>
              </w:rPr>
              <w:t>Background</w:t>
            </w:r>
          </w:p>
        </w:tc>
      </w:tr>
    </w:tbl>
    <w:p w14:paraId="28A691A9" w14:textId="77777777" w:rsidR="004D0DD6" w:rsidRDefault="004D0DD6" w:rsidP="002A6988">
      <w:pPr>
        <w:pStyle w:val="TableParagraph"/>
        <w:spacing w:before="3" w:line="239" w:lineRule="exact"/>
        <w:ind w:left="0"/>
        <w:jc w:val="both"/>
        <w:rPr>
          <w:rFonts w:ascii="Aptos" w:hAnsi="Aptos"/>
          <w:bCs/>
        </w:rPr>
        <w:sectPr w:rsidR="004D0DD6" w:rsidSect="003B0522">
          <w:pgSz w:w="11910" w:h="16840"/>
          <w:pgMar w:top="1418" w:right="1418" w:bottom="1134" w:left="1418" w:header="472" w:footer="1161" w:gutter="0"/>
          <w:cols w:space="720"/>
          <w:docGrid w:linePitch="299"/>
        </w:sectPr>
      </w:pPr>
    </w:p>
    <w:tbl>
      <w:tblPr>
        <w:tblStyle w:val="TableNormal1"/>
        <w:tblpPr w:leftFromText="141" w:rightFromText="141" w:vertAnchor="text" w:horzAnchor="margin" w:tblpXSpec="center" w:tblpY="23"/>
        <w:tblW w:w="0" w:type="auto"/>
        <w:tblLayout w:type="fixed"/>
        <w:tblLook w:val="01E0" w:firstRow="1" w:lastRow="1" w:firstColumn="1" w:lastColumn="1" w:noHBand="0" w:noVBand="0"/>
      </w:tblPr>
      <w:tblGrid>
        <w:gridCol w:w="9066"/>
      </w:tblGrid>
      <w:tr w:rsidR="00AF0312" w:rsidRPr="009B5839" w14:paraId="31AC72A7" w14:textId="77777777" w:rsidTr="00AF0312">
        <w:trPr>
          <w:trHeight w:val="1516"/>
        </w:trPr>
        <w:tc>
          <w:tcPr>
            <w:tcW w:w="9066" w:type="dxa"/>
          </w:tcPr>
          <w:p w14:paraId="6BEC34C6" w14:textId="77777777" w:rsidR="00AF0312" w:rsidRDefault="00AF0312" w:rsidP="00AF0312">
            <w:pPr>
              <w:pStyle w:val="TableParagraph"/>
              <w:spacing w:before="3" w:line="239" w:lineRule="exact"/>
              <w:ind w:left="0"/>
              <w:jc w:val="both"/>
              <w:rPr>
                <w:rFonts w:ascii="Aptos" w:hAnsi="Aptos"/>
                <w:bCs/>
              </w:rPr>
            </w:pPr>
            <w:r w:rsidRPr="002A6988">
              <w:rPr>
                <w:rFonts w:ascii="Aptos" w:hAnsi="Aptos"/>
                <w:bCs/>
              </w:rPr>
              <w:t>The European Union (EU) defines micro, small and medium-sized enterprises (SMEs) in Recommendation 2003/361</w:t>
            </w:r>
            <w:r>
              <w:rPr>
                <w:rStyle w:val="FootnoteReference"/>
                <w:rFonts w:ascii="Aptos" w:hAnsi="Aptos"/>
                <w:bCs/>
              </w:rPr>
              <w:footnoteReference w:id="9"/>
            </w:r>
            <w:r>
              <w:rPr>
                <w:rFonts w:ascii="Aptos" w:hAnsi="Aptos"/>
                <w:bCs/>
              </w:rPr>
              <w:t xml:space="preserve"> .</w:t>
            </w:r>
            <w:r w:rsidRPr="002A6988">
              <w:rPr>
                <w:rFonts w:ascii="Aptos" w:hAnsi="Aptos"/>
                <w:bCs/>
              </w:rPr>
              <w:t xml:space="preserve"> In accordance with this definition, a company is considered an SME if it employs a maximum of 249 individuals and has an annual turnover of up to €50 million or an annual balance sheet total of up to €</w:t>
            </w:r>
            <w:r>
              <w:rPr>
                <w:rFonts w:ascii="Aptos" w:hAnsi="Aptos"/>
                <w:bCs/>
              </w:rPr>
              <w:t xml:space="preserve"> </w:t>
            </w:r>
            <w:r w:rsidRPr="002A6988">
              <w:rPr>
                <w:rFonts w:ascii="Aptos" w:hAnsi="Aptos"/>
                <w:bCs/>
              </w:rPr>
              <w:t>43 million. These thresholds relate to individual companies. If a company is part of a larger group, the number of employees and the turnover or balance sheet total of the group must be taken into account, depending on the size of the shareholding. The EU Commission's definition of an SME is essential for accessing financial resources and EU funding programmes that are specifically aimed at these companies. The current SME definition excludes many municipal companies, which means that many funding programmes are not accessible to them. Furthermore, disadvantages arise in the areas of subsidies and taxes. In light of the challenging financial circumstances currently facing public companies and municipalities due to the impact of the COVID-19 pandemic, the EU Commission should reconsider its approach in this area. Public companies should be provided with additional financial support for the implementation of climate-neutral investments, particularly in view of the imminent investment potential as part of the Green Deal.</w:t>
            </w:r>
          </w:p>
          <w:p w14:paraId="5FB18198" w14:textId="77777777" w:rsidR="00AF0312" w:rsidRDefault="00AF0312" w:rsidP="00AF0312">
            <w:pPr>
              <w:pStyle w:val="TableParagraph"/>
              <w:spacing w:before="3" w:line="239" w:lineRule="exact"/>
              <w:jc w:val="both"/>
              <w:rPr>
                <w:rFonts w:ascii="Aptos" w:hAnsi="Aptos"/>
                <w:bCs/>
              </w:rPr>
            </w:pPr>
          </w:p>
          <w:p w14:paraId="37C59330" w14:textId="77777777" w:rsidR="00AF0312" w:rsidRPr="00CE3E5E" w:rsidRDefault="00AF0312" w:rsidP="00AF0312">
            <w:pPr>
              <w:pStyle w:val="TableParagraph"/>
              <w:spacing w:before="3" w:line="239" w:lineRule="exact"/>
              <w:jc w:val="both"/>
              <w:rPr>
                <w:rFonts w:ascii="Aptos" w:hAnsi="Aptos"/>
                <w:bCs/>
              </w:rPr>
            </w:pPr>
          </w:p>
        </w:tc>
      </w:tr>
    </w:tbl>
    <w:p w14:paraId="192EC21C" w14:textId="77777777" w:rsidR="004D0DD6" w:rsidRDefault="004D0DD6" w:rsidP="002A6988">
      <w:pPr>
        <w:pStyle w:val="TableParagraph"/>
        <w:spacing w:before="3" w:line="239" w:lineRule="exact"/>
        <w:ind w:left="0"/>
        <w:jc w:val="both"/>
        <w:rPr>
          <w:rFonts w:ascii="Aptos" w:hAnsi="Aptos"/>
          <w:bCs/>
        </w:rPr>
        <w:sectPr w:rsidR="004D0DD6" w:rsidSect="00AF0312">
          <w:type w:val="continuous"/>
          <w:pgSz w:w="11910" w:h="16840"/>
          <w:pgMar w:top="1418" w:right="1418" w:bottom="1134" w:left="1418" w:header="472" w:footer="1161" w:gutter="0"/>
          <w:cols w:space="720"/>
          <w:docGrid w:linePitch="299"/>
        </w:sectPr>
      </w:pPr>
    </w:p>
    <w:p w14:paraId="424A0F74" w14:textId="77777777" w:rsidR="00083990" w:rsidRPr="009B5839" w:rsidRDefault="00083990">
      <w:pPr>
        <w:rPr>
          <w:rFonts w:ascii="Aptos" w:hAnsi="Aptos"/>
        </w:rPr>
        <w:sectPr w:rsidR="00083990" w:rsidRPr="009B5839" w:rsidSect="00AF0312">
          <w:footnotePr>
            <w:numRestart w:val="eachPage"/>
          </w:footnotePr>
          <w:type w:val="continuous"/>
          <w:pgSz w:w="11910" w:h="16840"/>
          <w:pgMar w:top="1418" w:right="1418" w:bottom="1134" w:left="1418" w:header="472" w:footer="1161" w:gutter="0"/>
          <w:cols w:space="720"/>
          <w:docGrid w:linePitch="299"/>
        </w:sectPr>
      </w:pPr>
    </w:p>
    <w:p w14:paraId="04C4463A" w14:textId="77777777" w:rsidR="00B4767C" w:rsidRDefault="00B4767C" w:rsidP="00B4767C">
      <w:pPr>
        <w:pStyle w:val="Heading2"/>
        <w:rPr>
          <w:rFonts w:ascii="Aptos" w:hAnsi="Aptos"/>
          <w:b/>
          <w:bCs/>
          <w:color w:val="FF0000"/>
          <w:sz w:val="24"/>
          <w:szCs w:val="24"/>
        </w:rPr>
      </w:pPr>
      <w:bookmarkStart w:id="69" w:name="Dual-use_criterion_-_climate_protection_"/>
      <w:bookmarkStart w:id="70" w:name="_bookmark19"/>
      <w:bookmarkStart w:id="71" w:name="_Toc168584205"/>
      <w:bookmarkEnd w:id="69"/>
      <w:bookmarkEnd w:id="70"/>
    </w:p>
    <w:p w14:paraId="7F5FACD4" w14:textId="77777777" w:rsidR="00B4767C" w:rsidRDefault="00B4767C" w:rsidP="00B4767C">
      <w:pPr>
        <w:pStyle w:val="Heading2"/>
        <w:rPr>
          <w:rFonts w:ascii="Aptos" w:hAnsi="Aptos"/>
          <w:b/>
          <w:bCs/>
          <w:color w:val="FF0000"/>
          <w:sz w:val="24"/>
          <w:szCs w:val="24"/>
        </w:rPr>
      </w:pPr>
    </w:p>
    <w:p w14:paraId="6142B226" w14:textId="78C6D82A" w:rsidR="003B777E" w:rsidRPr="009B5839" w:rsidRDefault="00000000" w:rsidP="00B4767C">
      <w:pPr>
        <w:pStyle w:val="Heading2"/>
        <w:rPr>
          <w:rFonts w:ascii="Aptos" w:hAnsi="Aptos"/>
          <w:sz w:val="20"/>
        </w:rPr>
      </w:pPr>
      <w:r w:rsidRPr="000E5FB9">
        <w:rPr>
          <w:rFonts w:ascii="Aptos" w:hAnsi="Aptos"/>
          <w:b/>
          <w:bCs/>
          <w:color w:val="FF0000"/>
          <w:sz w:val="24"/>
          <w:szCs w:val="24"/>
        </w:rPr>
        <w:t>Dual-use criterion - climate protection and security of supply for critical infrastructures</w:t>
      </w:r>
      <w:bookmarkEnd w:id="71"/>
    </w:p>
    <w:p w14:paraId="56B94C45" w14:textId="77777777" w:rsidR="003B777E" w:rsidRPr="0008129B" w:rsidRDefault="003B777E">
      <w:pPr>
        <w:pStyle w:val="BodyText"/>
        <w:spacing w:before="2"/>
        <w:rPr>
          <w:rFonts w:ascii="Aptos" w:hAnsi="Aptos"/>
          <w:sz w:val="22"/>
          <w:szCs w:val="36"/>
        </w:rPr>
      </w:pP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3B777E" w:rsidRPr="009B5839" w14:paraId="00066769" w14:textId="77777777" w:rsidTr="00B4767C">
        <w:trPr>
          <w:trHeight w:val="278"/>
        </w:trPr>
        <w:tc>
          <w:tcPr>
            <w:tcW w:w="9066" w:type="dxa"/>
            <w:shd w:val="clear" w:color="auto" w:fill="D9D9D9"/>
          </w:tcPr>
          <w:p w14:paraId="1DAFE58F" w14:textId="77777777" w:rsidR="003B777E" w:rsidRPr="009B5839" w:rsidRDefault="00000000">
            <w:pPr>
              <w:pStyle w:val="TableParagraph"/>
              <w:spacing w:line="258" w:lineRule="exact"/>
              <w:rPr>
                <w:rFonts w:ascii="Aptos" w:hAnsi="Aptos"/>
                <w:b/>
                <w:sz w:val="24"/>
              </w:rPr>
            </w:pPr>
            <w:r w:rsidRPr="004D0DD6">
              <w:rPr>
                <w:rFonts w:ascii="Aptos" w:hAnsi="Aptos"/>
                <w:b/>
                <w:szCs w:val="20"/>
              </w:rPr>
              <w:t>Question</w:t>
            </w:r>
          </w:p>
        </w:tc>
      </w:tr>
      <w:tr w:rsidR="003B777E" w:rsidRPr="009B5839" w14:paraId="6E00C628" w14:textId="77777777" w:rsidTr="00B4767C">
        <w:trPr>
          <w:trHeight w:val="2025"/>
        </w:trPr>
        <w:tc>
          <w:tcPr>
            <w:tcW w:w="9066" w:type="dxa"/>
          </w:tcPr>
          <w:p w14:paraId="42FC8ED8" w14:textId="2D486EE9" w:rsidR="003B777E" w:rsidRPr="009B5839" w:rsidRDefault="00076A41" w:rsidP="00076A41">
            <w:pPr>
              <w:pStyle w:val="TableParagraph"/>
              <w:spacing w:line="235" w:lineRule="exact"/>
              <w:jc w:val="both"/>
              <w:rPr>
                <w:rFonts w:ascii="Aptos" w:hAnsi="Aptos"/>
                <w:b/>
              </w:rPr>
            </w:pPr>
            <w:r w:rsidRPr="00076A41">
              <w:rPr>
                <w:rFonts w:ascii="Aptos" w:hAnsi="Aptos"/>
              </w:rPr>
              <w:t xml:space="preserve">Recent years of crises (pandemic, energy poverty and war) have shown </w:t>
            </w:r>
            <w:r w:rsidR="00D871DC" w:rsidRPr="00D871DC">
              <w:rPr>
                <w:rFonts w:ascii="Aptos" w:hAnsi="Aptos"/>
              </w:rPr>
              <w:t xml:space="preserve">European Union citizens </w:t>
            </w:r>
            <w:r w:rsidRPr="00076A41">
              <w:rPr>
                <w:rFonts w:ascii="Aptos" w:hAnsi="Aptos"/>
              </w:rPr>
              <w:t>that resilience must be one of the main objectives of the Union and its Member States. The Russian war of aggression forces us to ensure the resilience of all infrastructures and institutions. In the context of climate change, resilience also means above all climate protection, climate adaptation and security of supply.</w:t>
            </w:r>
            <w:r w:rsidRPr="00076A41">
              <w:rPr>
                <w:rFonts w:ascii="Aptos" w:hAnsi="Aptos"/>
                <w:b/>
                <w:bCs/>
              </w:rPr>
              <w:t xml:space="preserve"> How do you intend to ensure that projects that do not meet the dual-use criteria but contribute to climate protection and security of supply will continue to have sufficient access to EU programmes/EU funds?</w:t>
            </w:r>
          </w:p>
        </w:tc>
      </w:tr>
      <w:tr w:rsidR="003B777E" w:rsidRPr="009B5839" w14:paraId="6C4DA852" w14:textId="77777777" w:rsidTr="00B4767C">
        <w:trPr>
          <w:trHeight w:val="273"/>
        </w:trPr>
        <w:tc>
          <w:tcPr>
            <w:tcW w:w="9066" w:type="dxa"/>
            <w:shd w:val="clear" w:color="auto" w:fill="D9D9D9"/>
          </w:tcPr>
          <w:p w14:paraId="2EBEE46B" w14:textId="7F0989EB" w:rsidR="003B777E" w:rsidRPr="009B5839" w:rsidRDefault="00F95277">
            <w:pPr>
              <w:pStyle w:val="TableParagraph"/>
              <w:spacing w:line="254" w:lineRule="exact"/>
              <w:rPr>
                <w:rFonts w:ascii="Aptos" w:hAnsi="Aptos"/>
                <w:b/>
                <w:sz w:val="24"/>
              </w:rPr>
            </w:pPr>
            <w:r>
              <w:rPr>
                <w:rFonts w:ascii="Aptos" w:hAnsi="Aptos"/>
                <w:b/>
              </w:rPr>
              <w:t>Further questions</w:t>
            </w:r>
          </w:p>
        </w:tc>
      </w:tr>
      <w:tr w:rsidR="003B777E" w:rsidRPr="009B5839" w14:paraId="513B960A" w14:textId="77777777" w:rsidTr="00B4767C">
        <w:trPr>
          <w:trHeight w:val="1262"/>
        </w:trPr>
        <w:tc>
          <w:tcPr>
            <w:tcW w:w="9066" w:type="dxa"/>
          </w:tcPr>
          <w:p w14:paraId="7E76700A" w14:textId="77777777" w:rsidR="002850BF" w:rsidRPr="002850BF" w:rsidRDefault="002850BF" w:rsidP="0008129B">
            <w:pPr>
              <w:pStyle w:val="TableParagraph"/>
              <w:numPr>
                <w:ilvl w:val="0"/>
                <w:numId w:val="37"/>
              </w:numPr>
              <w:tabs>
                <w:tab w:val="left" w:pos="831"/>
              </w:tabs>
              <w:spacing w:before="120" w:after="120"/>
              <w:ind w:left="834" w:right="96" w:hanging="363"/>
              <w:jc w:val="both"/>
              <w:rPr>
                <w:rFonts w:ascii="Aptos" w:hAnsi="Aptos"/>
                <w:spacing w:val="-5"/>
              </w:rPr>
            </w:pPr>
            <w:r w:rsidRPr="002850BF">
              <w:rPr>
                <w:rFonts w:ascii="Aptos" w:hAnsi="Aptos"/>
                <w:spacing w:val="-5"/>
              </w:rPr>
              <w:t>What new EU programmes and initiatives do you believe are necessary to achieve Europe's climate change targets?</w:t>
            </w:r>
          </w:p>
          <w:p w14:paraId="69B7F4EA" w14:textId="20B53A07" w:rsidR="003B777E" w:rsidRPr="009B5839" w:rsidRDefault="002850BF" w:rsidP="0008129B">
            <w:pPr>
              <w:pStyle w:val="TableParagraph"/>
              <w:numPr>
                <w:ilvl w:val="0"/>
                <w:numId w:val="37"/>
              </w:numPr>
              <w:tabs>
                <w:tab w:val="left" w:pos="831"/>
              </w:tabs>
              <w:spacing w:before="120" w:after="120"/>
              <w:ind w:left="834" w:right="96" w:hanging="363"/>
              <w:jc w:val="both"/>
              <w:rPr>
                <w:rFonts w:ascii="Aptos" w:hAnsi="Aptos"/>
                <w:sz w:val="24"/>
              </w:rPr>
            </w:pPr>
            <w:r w:rsidRPr="002850BF">
              <w:rPr>
                <w:rFonts w:ascii="Aptos" w:hAnsi="Aptos"/>
                <w:spacing w:val="-5"/>
              </w:rPr>
              <w:t>How can we ensure that public actors that guarantee quality of life are financed in a sustainable way?</w:t>
            </w:r>
          </w:p>
        </w:tc>
      </w:tr>
    </w:tbl>
    <w:p w14:paraId="1D8CBB99" w14:textId="77777777" w:rsidR="003B777E" w:rsidRDefault="003B777E">
      <w:pPr>
        <w:rPr>
          <w:rFonts w:ascii="Aptos" w:hAnsi="Aptos"/>
        </w:rPr>
      </w:pPr>
    </w:p>
    <w:tbl>
      <w:tblPr>
        <w:tblStyle w:val="TableNormal1"/>
        <w:tblW w:w="9072" w:type="dxa"/>
        <w:tblLayout w:type="fixed"/>
        <w:tblLook w:val="01E0" w:firstRow="1" w:lastRow="1" w:firstColumn="1" w:lastColumn="1" w:noHBand="0" w:noVBand="0"/>
      </w:tblPr>
      <w:tblGrid>
        <w:gridCol w:w="9072"/>
      </w:tblGrid>
      <w:tr w:rsidR="00420A47" w:rsidRPr="009B5839" w14:paraId="7C545BE2" w14:textId="77777777" w:rsidTr="00B4767C">
        <w:trPr>
          <w:trHeight w:val="277"/>
        </w:trPr>
        <w:tc>
          <w:tcPr>
            <w:tcW w:w="9072" w:type="dxa"/>
            <w:shd w:val="clear" w:color="auto" w:fill="D9D9D9"/>
          </w:tcPr>
          <w:p w14:paraId="04F9C056" w14:textId="74F08F45" w:rsidR="00420A47" w:rsidRPr="009B5839" w:rsidRDefault="00420A47" w:rsidP="000858DA">
            <w:pPr>
              <w:pStyle w:val="TableParagraph"/>
              <w:spacing w:line="258" w:lineRule="exact"/>
              <w:ind w:left="0"/>
              <w:rPr>
                <w:rFonts w:ascii="Aptos" w:hAnsi="Aptos"/>
                <w:b/>
                <w:sz w:val="24"/>
              </w:rPr>
            </w:pPr>
            <w:r w:rsidRPr="004D0DD6">
              <w:rPr>
                <w:rFonts w:ascii="Aptos" w:hAnsi="Aptos"/>
                <w:b/>
                <w:szCs w:val="20"/>
              </w:rPr>
              <w:t>Back</w:t>
            </w:r>
            <w:r w:rsidR="000858DA" w:rsidRPr="004D0DD6">
              <w:rPr>
                <w:rFonts w:ascii="Aptos" w:hAnsi="Aptos"/>
                <w:b/>
                <w:szCs w:val="20"/>
              </w:rPr>
              <w:t>g</w:t>
            </w:r>
            <w:r w:rsidRPr="004D0DD6">
              <w:rPr>
                <w:rFonts w:ascii="Aptos" w:hAnsi="Aptos"/>
                <w:b/>
                <w:szCs w:val="20"/>
              </w:rPr>
              <w:t>round</w:t>
            </w:r>
          </w:p>
        </w:tc>
      </w:tr>
      <w:tr w:rsidR="00420A47" w:rsidRPr="009B5839" w14:paraId="215ACADE" w14:textId="77777777" w:rsidTr="00B4767C">
        <w:trPr>
          <w:trHeight w:val="1516"/>
        </w:trPr>
        <w:tc>
          <w:tcPr>
            <w:tcW w:w="9072" w:type="dxa"/>
          </w:tcPr>
          <w:p w14:paraId="2A79E534" w14:textId="48B8ACE1" w:rsidR="00420A47" w:rsidRPr="00CE3E5E" w:rsidRDefault="000858DA" w:rsidP="000858DA">
            <w:pPr>
              <w:pStyle w:val="TableParagraph"/>
              <w:spacing w:before="3" w:line="239" w:lineRule="exact"/>
              <w:ind w:left="0"/>
              <w:jc w:val="both"/>
              <w:rPr>
                <w:rFonts w:ascii="Aptos" w:hAnsi="Aptos"/>
                <w:bCs/>
              </w:rPr>
            </w:pPr>
            <w:r w:rsidRPr="000858DA">
              <w:rPr>
                <w:rFonts w:ascii="Aptos" w:hAnsi="Aptos"/>
                <w:bCs/>
              </w:rPr>
              <w:t>Over recent decades, the European Union has faced a number of significant challenges. Climate change, demographic shifts, migratory pressure and the Covid-19 pandemic are all having a significant impact on our society. The Russian war of aggression has had a significant impact on the geopolitical security architecture, highlighting the need for greater resilience in Europe. However, resilience is defined as the ability to not only withstand and overcome challenges, but also to shape transitions in a sustainable, just and democratic way. This multidisciplinary approach takes a holistic view. To build a more resilient society, it is essential to strengthen critical infrastructures and improve the adaptive and transformational capacity of all actors.</w:t>
            </w:r>
            <w:r>
              <w:rPr>
                <w:rFonts w:ascii="Aptos" w:hAnsi="Aptos"/>
                <w:bCs/>
              </w:rPr>
              <w:t xml:space="preserve"> </w:t>
            </w:r>
            <w:r w:rsidRPr="000858DA">
              <w:rPr>
                <w:rFonts w:ascii="Aptos" w:hAnsi="Aptos"/>
                <w:bCs/>
              </w:rPr>
              <w:t>To enhance the military mobility of the European Union's armed forces both within and beyond the Union, it is vital to develop a more sustainable capacity for</w:t>
            </w:r>
            <w:r w:rsidR="00D871DC">
              <w:rPr>
                <w:rFonts w:ascii="Aptos" w:hAnsi="Aptos"/>
                <w:bCs/>
              </w:rPr>
              <w:t xml:space="preserve"> a</w:t>
            </w:r>
            <w:r w:rsidRPr="000858DA">
              <w:rPr>
                <w:rFonts w:ascii="Aptos" w:hAnsi="Aptos"/>
                <w:bCs/>
              </w:rPr>
              <w:t xml:space="preserve"> dual-use transport infrastructure along the EU military network and the TEN-T network. This will contribute to the security and defence of Europe. However, a simplified and abbreviated view of the dual-use criterion for transport infrastructure is not sufficient to create a resilient Europe. In particular, it is essential to guarantee security of supply, climate protection and adaptation, as well as energy security.</w:t>
            </w:r>
          </w:p>
        </w:tc>
      </w:tr>
    </w:tbl>
    <w:p w14:paraId="62EF7907" w14:textId="77777777" w:rsidR="00420A47" w:rsidRDefault="00420A47">
      <w:pPr>
        <w:rPr>
          <w:rFonts w:ascii="Aptos" w:hAnsi="Aptos"/>
        </w:rPr>
      </w:pPr>
    </w:p>
    <w:p w14:paraId="449AE2C0" w14:textId="77777777" w:rsidR="00420A47" w:rsidRDefault="00420A47">
      <w:pPr>
        <w:rPr>
          <w:rFonts w:ascii="Aptos" w:hAnsi="Aptos"/>
        </w:rPr>
      </w:pPr>
    </w:p>
    <w:p w14:paraId="138410D0" w14:textId="77777777" w:rsidR="00420A47" w:rsidRPr="009B5839" w:rsidRDefault="00420A47">
      <w:pPr>
        <w:rPr>
          <w:rFonts w:ascii="Aptos" w:hAnsi="Aptos"/>
        </w:rPr>
        <w:sectPr w:rsidR="00420A47" w:rsidRPr="009B5839" w:rsidSect="00B4767C">
          <w:pgSz w:w="11910" w:h="16840"/>
          <w:pgMar w:top="1418" w:right="1418" w:bottom="1134" w:left="1418" w:header="472" w:footer="1161" w:gutter="0"/>
          <w:cols w:space="720"/>
          <w:docGrid w:linePitch="299"/>
        </w:sectPr>
      </w:pPr>
    </w:p>
    <w:p w14:paraId="4C85AA78" w14:textId="77777777" w:rsidR="003B777E" w:rsidRPr="009B5839" w:rsidRDefault="003B777E">
      <w:pPr>
        <w:spacing w:before="2"/>
        <w:rPr>
          <w:rFonts w:ascii="Aptos" w:hAnsi="Aptos"/>
          <w:sz w:val="19"/>
        </w:rPr>
      </w:pPr>
    </w:p>
    <w:p w14:paraId="5C6B0885" w14:textId="77777777" w:rsidR="0008129B" w:rsidRDefault="0008129B" w:rsidP="0008129B">
      <w:pPr>
        <w:pStyle w:val="Heading2"/>
        <w:rPr>
          <w:rFonts w:ascii="Aptos" w:hAnsi="Aptos"/>
          <w:b/>
          <w:bCs/>
          <w:color w:val="FF0000"/>
          <w:sz w:val="24"/>
          <w:szCs w:val="24"/>
        </w:rPr>
      </w:pPr>
      <w:bookmarkStart w:id="72" w:name="Flexibility_of_EU_funding_programmes"/>
      <w:bookmarkStart w:id="73" w:name="_bookmark20"/>
      <w:bookmarkStart w:id="74" w:name="_Toc168584206"/>
      <w:bookmarkEnd w:id="72"/>
      <w:bookmarkEnd w:id="73"/>
    </w:p>
    <w:p w14:paraId="20B42266" w14:textId="1A0567C7" w:rsidR="003B777E" w:rsidRPr="009B5839" w:rsidRDefault="00000000" w:rsidP="0008129B">
      <w:pPr>
        <w:pStyle w:val="Heading2"/>
        <w:rPr>
          <w:rFonts w:ascii="Aptos" w:hAnsi="Aptos"/>
          <w:sz w:val="20"/>
        </w:rPr>
      </w:pPr>
      <w:r w:rsidRPr="000E5FB9">
        <w:rPr>
          <w:rFonts w:ascii="Aptos" w:hAnsi="Aptos"/>
          <w:b/>
          <w:bCs/>
          <w:color w:val="FF0000"/>
          <w:sz w:val="24"/>
          <w:szCs w:val="24"/>
        </w:rPr>
        <w:t>Flexibility of EU funding programmes</w:t>
      </w:r>
      <w:bookmarkEnd w:id="74"/>
    </w:p>
    <w:p w14:paraId="39985A6D" w14:textId="77777777" w:rsidR="003B777E" w:rsidRPr="009B5839" w:rsidRDefault="003B777E">
      <w:pPr>
        <w:pStyle w:val="BodyText"/>
        <w:spacing w:before="6"/>
        <w:rPr>
          <w:rFonts w:ascii="Aptos" w:hAnsi="Aptos"/>
          <w:sz w:val="16"/>
        </w:rPr>
      </w:pP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3B777E" w:rsidRPr="009B5839" w14:paraId="241867F9" w14:textId="77777777" w:rsidTr="0008129B">
        <w:trPr>
          <w:trHeight w:val="277"/>
        </w:trPr>
        <w:tc>
          <w:tcPr>
            <w:tcW w:w="9066" w:type="dxa"/>
            <w:shd w:val="clear" w:color="auto" w:fill="D9D9D9"/>
          </w:tcPr>
          <w:p w14:paraId="24D1EA5B" w14:textId="77777777" w:rsidR="003B777E" w:rsidRPr="009B5839" w:rsidRDefault="00000000">
            <w:pPr>
              <w:pStyle w:val="TableParagraph"/>
              <w:spacing w:line="258" w:lineRule="exact"/>
              <w:rPr>
                <w:rFonts w:ascii="Aptos" w:hAnsi="Aptos"/>
                <w:b/>
                <w:sz w:val="24"/>
              </w:rPr>
            </w:pPr>
            <w:r w:rsidRPr="004D0DD6">
              <w:rPr>
                <w:rFonts w:ascii="Aptos" w:hAnsi="Aptos"/>
                <w:b/>
                <w:szCs w:val="20"/>
              </w:rPr>
              <w:t>Question</w:t>
            </w:r>
          </w:p>
        </w:tc>
      </w:tr>
      <w:tr w:rsidR="003B777E" w:rsidRPr="009B5839" w14:paraId="1C25880C" w14:textId="77777777" w:rsidTr="0008129B">
        <w:trPr>
          <w:trHeight w:val="1516"/>
        </w:trPr>
        <w:tc>
          <w:tcPr>
            <w:tcW w:w="9066" w:type="dxa"/>
          </w:tcPr>
          <w:p w14:paraId="1E2F6AEB" w14:textId="282A2B71" w:rsidR="003B777E" w:rsidRPr="009B5839" w:rsidRDefault="002850BF" w:rsidP="00076A41">
            <w:pPr>
              <w:pStyle w:val="TableParagraph"/>
              <w:spacing w:line="250" w:lineRule="exact"/>
              <w:ind w:right="106"/>
              <w:jc w:val="both"/>
              <w:rPr>
                <w:rFonts w:ascii="Aptos" w:hAnsi="Aptos"/>
                <w:b/>
              </w:rPr>
            </w:pPr>
            <w:r w:rsidRPr="002850BF">
              <w:rPr>
                <w:rFonts w:ascii="Aptos" w:hAnsi="Aptos"/>
              </w:rPr>
              <w:t xml:space="preserve">The European Union offers a comprehensive range of funding options. The EU strives to meet the evolving needs of society. However, there are instances where funding and funding programmes fail to meet the requirements to implement their objectives efficiently and fairly. Bureaucratic obstacles and exemptions by the EU and Member States make it challenging for many actors to participate. </w:t>
            </w:r>
            <w:r w:rsidRPr="002850BF">
              <w:rPr>
                <w:rFonts w:ascii="Aptos" w:hAnsi="Aptos"/>
                <w:b/>
                <w:bCs/>
              </w:rPr>
              <w:t>How will you ensure the necessary flexibility in the application and use of funds in EU funding programmes?</w:t>
            </w:r>
          </w:p>
        </w:tc>
      </w:tr>
      <w:tr w:rsidR="003B777E" w:rsidRPr="009B5839" w14:paraId="61525E90" w14:textId="77777777" w:rsidTr="0008129B">
        <w:trPr>
          <w:trHeight w:val="277"/>
        </w:trPr>
        <w:tc>
          <w:tcPr>
            <w:tcW w:w="9066" w:type="dxa"/>
            <w:shd w:val="clear" w:color="auto" w:fill="D9D9D9"/>
          </w:tcPr>
          <w:p w14:paraId="66E1038E" w14:textId="65E8055E" w:rsidR="003B777E" w:rsidRPr="009B5839" w:rsidRDefault="00F95277">
            <w:pPr>
              <w:pStyle w:val="TableParagraph"/>
              <w:spacing w:line="258" w:lineRule="exact"/>
              <w:rPr>
                <w:rFonts w:ascii="Aptos" w:hAnsi="Aptos"/>
                <w:b/>
                <w:sz w:val="24"/>
              </w:rPr>
            </w:pPr>
            <w:r>
              <w:rPr>
                <w:rFonts w:ascii="Aptos" w:hAnsi="Aptos"/>
                <w:b/>
              </w:rPr>
              <w:t>Further questions</w:t>
            </w:r>
          </w:p>
        </w:tc>
      </w:tr>
      <w:tr w:rsidR="003B777E" w:rsidRPr="009B5839" w14:paraId="6F5EDDCD" w14:textId="77777777" w:rsidTr="0008129B">
        <w:trPr>
          <w:trHeight w:val="1008"/>
        </w:trPr>
        <w:tc>
          <w:tcPr>
            <w:tcW w:w="9066" w:type="dxa"/>
          </w:tcPr>
          <w:p w14:paraId="30029D72" w14:textId="63497135" w:rsidR="003B777E" w:rsidRPr="009B5839" w:rsidRDefault="00076A41">
            <w:pPr>
              <w:pStyle w:val="TableParagraph"/>
              <w:numPr>
                <w:ilvl w:val="0"/>
                <w:numId w:val="19"/>
              </w:numPr>
              <w:tabs>
                <w:tab w:val="left" w:pos="831"/>
              </w:tabs>
              <w:spacing w:before="122" w:line="237" w:lineRule="auto"/>
              <w:ind w:right="107"/>
              <w:jc w:val="both"/>
              <w:rPr>
                <w:rFonts w:ascii="Aptos" w:hAnsi="Aptos"/>
              </w:rPr>
            </w:pPr>
            <w:r w:rsidRPr="00076A41">
              <w:rPr>
                <w:rFonts w:ascii="Aptos" w:hAnsi="Aptos"/>
              </w:rPr>
              <w:t>How can you ensure that stakeholders in public services of general interest are effectively involved in the development, implementation and evaluation of funding programmes?</w:t>
            </w:r>
          </w:p>
        </w:tc>
      </w:tr>
    </w:tbl>
    <w:p w14:paraId="256FF4F0" w14:textId="77777777" w:rsidR="003B777E" w:rsidRPr="0008129B" w:rsidRDefault="003B777E">
      <w:pPr>
        <w:pStyle w:val="BodyText"/>
        <w:spacing w:before="7"/>
        <w:rPr>
          <w:rFonts w:ascii="Aptos" w:hAnsi="Aptos"/>
          <w:sz w:val="22"/>
          <w:szCs w:val="22"/>
        </w:rPr>
      </w:pPr>
    </w:p>
    <w:tbl>
      <w:tblPr>
        <w:tblStyle w:val="TableNormal1"/>
        <w:tblW w:w="0" w:type="auto"/>
        <w:tblLayout w:type="fixed"/>
        <w:tblLook w:val="01E0" w:firstRow="1" w:lastRow="1" w:firstColumn="1" w:lastColumn="1" w:noHBand="0" w:noVBand="0"/>
      </w:tblPr>
      <w:tblGrid>
        <w:gridCol w:w="9066"/>
      </w:tblGrid>
      <w:tr w:rsidR="002F42D9" w:rsidRPr="009B5839" w14:paraId="7F876CF0" w14:textId="77777777" w:rsidTr="0008129B">
        <w:trPr>
          <w:trHeight w:val="277"/>
        </w:trPr>
        <w:tc>
          <w:tcPr>
            <w:tcW w:w="9066" w:type="dxa"/>
            <w:shd w:val="clear" w:color="auto" w:fill="D9D9D9"/>
          </w:tcPr>
          <w:p w14:paraId="2DCF29E8" w14:textId="00764373" w:rsidR="002F42D9" w:rsidRPr="009B5839" w:rsidRDefault="002F42D9" w:rsidP="000858DA">
            <w:pPr>
              <w:pStyle w:val="TableParagraph"/>
              <w:spacing w:line="258" w:lineRule="exact"/>
              <w:ind w:left="0"/>
              <w:rPr>
                <w:rFonts w:ascii="Aptos" w:hAnsi="Aptos"/>
                <w:b/>
                <w:sz w:val="24"/>
              </w:rPr>
            </w:pPr>
            <w:r w:rsidRPr="004D0DD6">
              <w:rPr>
                <w:rFonts w:ascii="Aptos" w:hAnsi="Aptos"/>
                <w:b/>
                <w:szCs w:val="20"/>
              </w:rPr>
              <w:t>Back</w:t>
            </w:r>
            <w:r w:rsidR="000858DA" w:rsidRPr="004D0DD6">
              <w:rPr>
                <w:rFonts w:ascii="Aptos" w:hAnsi="Aptos"/>
                <w:b/>
                <w:szCs w:val="20"/>
              </w:rPr>
              <w:t>g</w:t>
            </w:r>
            <w:r w:rsidRPr="004D0DD6">
              <w:rPr>
                <w:rFonts w:ascii="Aptos" w:hAnsi="Aptos"/>
                <w:b/>
                <w:szCs w:val="20"/>
              </w:rPr>
              <w:t>round</w:t>
            </w:r>
          </w:p>
        </w:tc>
      </w:tr>
      <w:tr w:rsidR="002F42D9" w:rsidRPr="009B5839" w14:paraId="408E208B" w14:textId="77777777" w:rsidTr="0008129B">
        <w:trPr>
          <w:trHeight w:val="1516"/>
        </w:trPr>
        <w:tc>
          <w:tcPr>
            <w:tcW w:w="9066" w:type="dxa"/>
          </w:tcPr>
          <w:p w14:paraId="51ABA2B7" w14:textId="7E3C8B30" w:rsidR="0020438D" w:rsidRPr="00CE3E5E" w:rsidRDefault="00291B23" w:rsidP="000858DA">
            <w:pPr>
              <w:pStyle w:val="TableParagraph"/>
              <w:spacing w:before="3" w:line="239" w:lineRule="exact"/>
              <w:ind w:left="0"/>
              <w:jc w:val="both"/>
              <w:rPr>
                <w:rFonts w:ascii="Aptos" w:hAnsi="Aptos"/>
                <w:bCs/>
              </w:rPr>
            </w:pPr>
            <w:r w:rsidRPr="00291B23">
              <w:rPr>
                <w:rFonts w:ascii="Aptos" w:hAnsi="Aptos"/>
                <w:bCs/>
              </w:rPr>
              <w:t>The international and national climate protection objectives are ambitious, which means that the European economic area will require significant investment and effort to achieve them. It is clear that traditional funding programmes with strict technical usage requirements and complex and lengthy procedures will not bring the necessary results. At the same time, it is crucial to ensure that the funding is effective in terms of climate targets. The socio-ecological transformation is too complex to set detailed content requirements for individual funding areas as part of small-scale funding projects. Furthermore, the application of static specifications, which are inevitably based on the current state of the art, would prevent innovation. It is precisely new, innovative solutions that are in demand. In addition to efficiency, an open approach to innovation is crucial for climate protection. As the guarantor of a resilient and climate-neutral Europe, the public sector must be given significantly more flexibility and choice when it comes to promoting social and resilient climate protection innovations. The public sector is tasked with managing an increasing number of projects and achieving results more quickly than before, while operating with a smaller workforce. It is therefore essential to modify the funding structure in a way that aligns with the needs and actual administrative capacities, rather than the other way around. With regard to municipal climate protection, it is also important to be able to apply for and account for individual initiatives in a bundled manner, especially in the area of interrelated projects (e.g. expansion of active mobility infrastructure – cycle paths, pavements).</w:t>
            </w:r>
          </w:p>
        </w:tc>
      </w:tr>
    </w:tbl>
    <w:p w14:paraId="6D4DBC03" w14:textId="77777777" w:rsidR="002F42D9" w:rsidRDefault="002F42D9">
      <w:pPr>
        <w:rPr>
          <w:rFonts w:ascii="Aptos" w:hAnsi="Aptos"/>
        </w:rPr>
      </w:pPr>
    </w:p>
    <w:p w14:paraId="65634EB4" w14:textId="77777777" w:rsidR="002F42D9" w:rsidRDefault="002F42D9">
      <w:pPr>
        <w:rPr>
          <w:rFonts w:ascii="Aptos" w:hAnsi="Aptos"/>
        </w:rPr>
      </w:pPr>
    </w:p>
    <w:p w14:paraId="4DDC9366" w14:textId="77777777" w:rsidR="002F42D9" w:rsidRPr="009B5839" w:rsidRDefault="002F42D9">
      <w:pPr>
        <w:rPr>
          <w:rFonts w:ascii="Aptos" w:hAnsi="Aptos"/>
        </w:rPr>
        <w:sectPr w:rsidR="002F42D9" w:rsidRPr="009B5839" w:rsidSect="0008129B">
          <w:pgSz w:w="11910" w:h="16840"/>
          <w:pgMar w:top="1418" w:right="1418" w:bottom="1134" w:left="1418" w:header="472" w:footer="1161" w:gutter="0"/>
          <w:cols w:space="720"/>
          <w:docGrid w:linePitch="299"/>
        </w:sectPr>
      </w:pPr>
    </w:p>
    <w:p w14:paraId="220F9369" w14:textId="77777777" w:rsidR="003B777E" w:rsidRPr="009B5839" w:rsidRDefault="003B777E">
      <w:pPr>
        <w:rPr>
          <w:rFonts w:ascii="Aptos" w:hAnsi="Aptos"/>
          <w:sz w:val="20"/>
        </w:rPr>
      </w:pPr>
    </w:p>
    <w:p w14:paraId="1C9F6ACB" w14:textId="73B4AA7E" w:rsidR="003B777E" w:rsidRPr="009B5839" w:rsidRDefault="00000000" w:rsidP="00291B23">
      <w:pPr>
        <w:pStyle w:val="Heading2"/>
        <w:ind w:left="696" w:firstLine="720"/>
        <w:rPr>
          <w:rFonts w:ascii="Aptos" w:hAnsi="Aptos"/>
          <w:sz w:val="20"/>
        </w:rPr>
      </w:pPr>
      <w:bookmarkStart w:id="75" w:name="Predictability_of_EU_funding_programmes"/>
      <w:bookmarkStart w:id="76" w:name="_bookmark21"/>
      <w:bookmarkStart w:id="77" w:name="_Toc168584207"/>
      <w:bookmarkStart w:id="78" w:name="_Hlk170393066"/>
      <w:bookmarkEnd w:id="75"/>
      <w:bookmarkEnd w:id="76"/>
      <w:r w:rsidRPr="000E5FB9">
        <w:rPr>
          <w:rFonts w:ascii="Aptos" w:hAnsi="Aptos"/>
          <w:b/>
          <w:bCs/>
          <w:color w:val="FF0000"/>
          <w:sz w:val="24"/>
          <w:szCs w:val="24"/>
        </w:rPr>
        <w:t>Predictability of EU funding programmes</w:t>
      </w:r>
      <w:bookmarkEnd w:id="77"/>
    </w:p>
    <w:p w14:paraId="2AD09ED3" w14:textId="77777777" w:rsidR="003B777E" w:rsidRPr="009B5839" w:rsidRDefault="003B777E">
      <w:pPr>
        <w:pStyle w:val="BodyText"/>
        <w:spacing w:before="10"/>
        <w:rPr>
          <w:rFonts w:ascii="Aptos" w:hAnsi="Aptos"/>
          <w:sz w:val="16"/>
        </w:rPr>
      </w:pPr>
    </w:p>
    <w:tbl>
      <w:tblPr>
        <w:tblStyle w:val="TableNormal1"/>
        <w:tblW w:w="0" w:type="auto"/>
        <w:tblInd w:w="1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3B777E" w:rsidRPr="009B5839" w14:paraId="1863FB21" w14:textId="77777777">
        <w:trPr>
          <w:trHeight w:val="273"/>
        </w:trPr>
        <w:tc>
          <w:tcPr>
            <w:tcW w:w="9066" w:type="dxa"/>
            <w:shd w:val="clear" w:color="auto" w:fill="D9D9D9"/>
          </w:tcPr>
          <w:p w14:paraId="2069DD85" w14:textId="77777777" w:rsidR="003B777E" w:rsidRPr="009B5839" w:rsidRDefault="00000000">
            <w:pPr>
              <w:pStyle w:val="TableParagraph"/>
              <w:spacing w:line="253" w:lineRule="exact"/>
              <w:rPr>
                <w:rFonts w:ascii="Aptos" w:hAnsi="Aptos"/>
                <w:b/>
                <w:sz w:val="24"/>
              </w:rPr>
            </w:pPr>
            <w:r w:rsidRPr="004D0DD6">
              <w:rPr>
                <w:rFonts w:ascii="Aptos" w:hAnsi="Aptos"/>
                <w:b/>
                <w:szCs w:val="20"/>
              </w:rPr>
              <w:t>Question</w:t>
            </w:r>
          </w:p>
        </w:tc>
      </w:tr>
      <w:tr w:rsidR="003B777E" w:rsidRPr="009B5839" w14:paraId="37DCB5C5" w14:textId="77777777">
        <w:trPr>
          <w:trHeight w:val="2025"/>
        </w:trPr>
        <w:tc>
          <w:tcPr>
            <w:tcW w:w="9066" w:type="dxa"/>
          </w:tcPr>
          <w:p w14:paraId="4D0AF16D" w14:textId="0A7B2669" w:rsidR="003B777E" w:rsidRPr="009B5839" w:rsidRDefault="002850BF" w:rsidP="00076A41">
            <w:pPr>
              <w:pStyle w:val="TableParagraph"/>
              <w:spacing w:line="235" w:lineRule="exact"/>
              <w:jc w:val="both"/>
              <w:rPr>
                <w:rFonts w:ascii="Aptos" w:hAnsi="Aptos"/>
                <w:b/>
              </w:rPr>
            </w:pPr>
            <w:r w:rsidRPr="002850BF">
              <w:rPr>
                <w:rFonts w:ascii="Aptos" w:hAnsi="Aptos"/>
              </w:rPr>
              <w:t xml:space="preserve">The current crises and climate change present significant economic challenges for the European Union, its Member States and the local level. The ongoing Covid-19 crisis has highlighted the need for investment in services of general interest. The Russian invasion of Ukraine has highlighted the urgent need to accelerate the energy transition and end dependence on Russian gas and other fossil fuels. Local public investment in resilient infrastructure and support for clean-up efforts has a positive economic impact, but must be predictable and sustainable. </w:t>
            </w:r>
            <w:r w:rsidRPr="002850BF">
              <w:rPr>
                <w:rFonts w:ascii="Aptos" w:hAnsi="Aptos"/>
                <w:b/>
                <w:bCs/>
              </w:rPr>
              <w:t xml:space="preserve">How can the EU ensure that there are sufficient </w:t>
            </w:r>
            <w:r w:rsidR="00754633" w:rsidRPr="002850BF">
              <w:rPr>
                <w:rFonts w:ascii="Aptos" w:hAnsi="Aptos"/>
                <w:b/>
                <w:bCs/>
              </w:rPr>
              <w:t>programs</w:t>
            </w:r>
            <w:r w:rsidRPr="002850BF">
              <w:rPr>
                <w:rFonts w:ascii="Aptos" w:hAnsi="Aptos"/>
                <w:b/>
                <w:bCs/>
              </w:rPr>
              <w:t xml:space="preserve"> for projects that are also predictable and sustainable for the beneficiaries?</w:t>
            </w:r>
          </w:p>
        </w:tc>
      </w:tr>
      <w:tr w:rsidR="003B777E" w:rsidRPr="009B5839" w14:paraId="1A58608C" w14:textId="77777777">
        <w:trPr>
          <w:trHeight w:val="278"/>
        </w:trPr>
        <w:tc>
          <w:tcPr>
            <w:tcW w:w="9066" w:type="dxa"/>
            <w:shd w:val="clear" w:color="auto" w:fill="D9D9D9"/>
          </w:tcPr>
          <w:p w14:paraId="293611DF" w14:textId="5693B955" w:rsidR="003B777E" w:rsidRPr="009B5839" w:rsidRDefault="00F95277">
            <w:pPr>
              <w:pStyle w:val="TableParagraph"/>
              <w:spacing w:line="258" w:lineRule="exact"/>
              <w:rPr>
                <w:rFonts w:ascii="Aptos" w:hAnsi="Aptos"/>
                <w:b/>
                <w:sz w:val="24"/>
              </w:rPr>
            </w:pPr>
            <w:r>
              <w:rPr>
                <w:rFonts w:ascii="Aptos" w:hAnsi="Aptos"/>
                <w:b/>
              </w:rPr>
              <w:t>Further questions</w:t>
            </w:r>
          </w:p>
        </w:tc>
      </w:tr>
      <w:tr w:rsidR="003B777E" w:rsidRPr="009B5839" w14:paraId="07AB6606" w14:textId="77777777">
        <w:trPr>
          <w:trHeight w:val="998"/>
        </w:trPr>
        <w:tc>
          <w:tcPr>
            <w:tcW w:w="9066" w:type="dxa"/>
          </w:tcPr>
          <w:p w14:paraId="4E3A0948" w14:textId="77777777" w:rsidR="002850BF" w:rsidRPr="00291B23" w:rsidRDefault="002850BF" w:rsidP="00291B23">
            <w:pPr>
              <w:pStyle w:val="TableParagraph"/>
              <w:numPr>
                <w:ilvl w:val="0"/>
                <w:numId w:val="19"/>
              </w:numPr>
              <w:tabs>
                <w:tab w:val="left" w:pos="831"/>
              </w:tabs>
              <w:spacing w:before="122" w:line="237" w:lineRule="auto"/>
              <w:ind w:right="107"/>
              <w:jc w:val="both"/>
              <w:rPr>
                <w:rFonts w:ascii="Aptos" w:hAnsi="Aptos"/>
              </w:rPr>
            </w:pPr>
            <w:r w:rsidRPr="00291B23">
              <w:rPr>
                <w:rFonts w:ascii="Aptos" w:hAnsi="Aptos"/>
              </w:rPr>
              <w:t>Please provide an update on the planned optimisation of EU funding programmes.</w:t>
            </w:r>
          </w:p>
          <w:p w14:paraId="0370564C" w14:textId="2382E09B" w:rsidR="003B777E" w:rsidRPr="009B5839" w:rsidRDefault="002850BF" w:rsidP="00291B23">
            <w:pPr>
              <w:pStyle w:val="TableParagraph"/>
              <w:numPr>
                <w:ilvl w:val="0"/>
                <w:numId w:val="19"/>
              </w:numPr>
              <w:tabs>
                <w:tab w:val="left" w:pos="831"/>
              </w:tabs>
              <w:spacing w:before="122" w:line="237" w:lineRule="auto"/>
              <w:ind w:right="107"/>
              <w:jc w:val="both"/>
              <w:rPr>
                <w:rFonts w:ascii="Aptos" w:hAnsi="Aptos"/>
              </w:rPr>
            </w:pPr>
            <w:r w:rsidRPr="00291B23">
              <w:rPr>
                <w:rFonts w:ascii="Aptos" w:hAnsi="Aptos"/>
              </w:rPr>
              <w:t>How significant is the planning factor in the EU funding landscape with regard to further optimisation?</w:t>
            </w:r>
          </w:p>
        </w:tc>
      </w:tr>
    </w:tbl>
    <w:p w14:paraId="39607A5D" w14:textId="77777777" w:rsidR="009920AB" w:rsidRDefault="009920AB">
      <w:pPr>
        <w:rPr>
          <w:rFonts w:ascii="Aptos" w:hAnsi="Aptos"/>
        </w:rPr>
      </w:pPr>
    </w:p>
    <w:tbl>
      <w:tblPr>
        <w:tblStyle w:val="TableNormal1"/>
        <w:tblW w:w="0" w:type="auto"/>
        <w:tblInd w:w="1426" w:type="dxa"/>
        <w:tblLayout w:type="fixed"/>
        <w:tblLook w:val="01E0" w:firstRow="1" w:lastRow="1" w:firstColumn="1" w:lastColumn="1" w:noHBand="0" w:noVBand="0"/>
      </w:tblPr>
      <w:tblGrid>
        <w:gridCol w:w="9066"/>
      </w:tblGrid>
      <w:tr w:rsidR="009920AB" w:rsidRPr="009B5839" w14:paraId="1D45E5F4" w14:textId="77777777" w:rsidTr="009C65DE">
        <w:trPr>
          <w:trHeight w:val="277"/>
        </w:trPr>
        <w:tc>
          <w:tcPr>
            <w:tcW w:w="9066" w:type="dxa"/>
            <w:shd w:val="clear" w:color="auto" w:fill="D9D9D9"/>
          </w:tcPr>
          <w:p w14:paraId="4AD30A7B" w14:textId="28460FF8" w:rsidR="009920AB" w:rsidRPr="009B5839" w:rsidRDefault="009920AB" w:rsidP="00291B23">
            <w:pPr>
              <w:pStyle w:val="TableParagraph"/>
              <w:spacing w:line="258" w:lineRule="exact"/>
              <w:ind w:left="0"/>
              <w:rPr>
                <w:rFonts w:ascii="Aptos" w:hAnsi="Aptos"/>
                <w:b/>
                <w:sz w:val="24"/>
              </w:rPr>
            </w:pPr>
            <w:r w:rsidRPr="004D0DD6">
              <w:rPr>
                <w:rFonts w:ascii="Aptos" w:hAnsi="Aptos"/>
                <w:b/>
                <w:szCs w:val="20"/>
              </w:rPr>
              <w:t>Back</w:t>
            </w:r>
            <w:r w:rsidR="00291B23" w:rsidRPr="004D0DD6">
              <w:rPr>
                <w:rFonts w:ascii="Aptos" w:hAnsi="Aptos"/>
                <w:b/>
                <w:szCs w:val="20"/>
              </w:rPr>
              <w:t>g</w:t>
            </w:r>
            <w:r w:rsidRPr="004D0DD6">
              <w:rPr>
                <w:rFonts w:ascii="Aptos" w:hAnsi="Aptos"/>
                <w:b/>
                <w:szCs w:val="20"/>
              </w:rPr>
              <w:t>round</w:t>
            </w:r>
          </w:p>
        </w:tc>
      </w:tr>
      <w:tr w:rsidR="009920AB" w:rsidRPr="009B5839" w14:paraId="7C0689C3" w14:textId="77777777" w:rsidTr="009C65DE">
        <w:trPr>
          <w:trHeight w:val="1516"/>
        </w:trPr>
        <w:tc>
          <w:tcPr>
            <w:tcW w:w="9066" w:type="dxa"/>
          </w:tcPr>
          <w:p w14:paraId="37315E97" w14:textId="76BD9758" w:rsidR="009920AB" w:rsidRPr="00CE3E5E" w:rsidRDefault="00291B23" w:rsidP="00291B23">
            <w:pPr>
              <w:pStyle w:val="TableParagraph"/>
              <w:spacing w:before="3" w:line="239" w:lineRule="exact"/>
              <w:ind w:left="0"/>
              <w:jc w:val="both"/>
              <w:rPr>
                <w:rFonts w:ascii="Aptos" w:hAnsi="Aptos"/>
                <w:bCs/>
              </w:rPr>
            </w:pPr>
            <w:r w:rsidRPr="00291B23">
              <w:rPr>
                <w:rFonts w:ascii="Aptos" w:hAnsi="Aptos"/>
                <w:bCs/>
              </w:rPr>
              <w:t>The European Union (EU) has made a commitment to reducing greenhouse gas emissions and mitigating the effects of climate change. The European Climate Law is a key component of the European Green Deal, which sets ambitious targets for 2030 in the areas of greenhouse gas emissions, renewable energy technologies, energy efficiency, and more. A number of regulations have been introduced with the objective of making the EU climate-neutral by 2050. To achieve this goal, it will be necessary to make significant efforts, including regulatory and public support to encourage innovation and accelerate the market introduction of zero and low-carbon alternatives. However, to ensure effective and socially responsible implementation of the Union's objectives, planning is essential. In particular, those working in public services of general interest must be supported in the socio-ecological transformation due to their central role in society and within the Single Market. To ensure the structured and predictable funding of projects to be implemented by the public sector for a climate-neutral Union, it is essential to involve key stakeholders and implement long-term tendering mechanisms. This will enable all regions within the European Single Market to benefit.</w:t>
            </w:r>
          </w:p>
        </w:tc>
      </w:tr>
    </w:tbl>
    <w:p w14:paraId="376E3E7E" w14:textId="77777777" w:rsidR="009920AB" w:rsidRDefault="009920AB">
      <w:pPr>
        <w:rPr>
          <w:rFonts w:ascii="Aptos" w:hAnsi="Aptos"/>
        </w:rPr>
      </w:pPr>
    </w:p>
    <w:p w14:paraId="54AB4DC3" w14:textId="77777777" w:rsidR="009920AB" w:rsidRDefault="009920AB">
      <w:pPr>
        <w:rPr>
          <w:rFonts w:ascii="Aptos" w:hAnsi="Aptos"/>
        </w:rPr>
      </w:pPr>
    </w:p>
    <w:bookmarkEnd w:id="78"/>
    <w:p w14:paraId="6A2EC10D" w14:textId="77777777" w:rsidR="009920AB" w:rsidRPr="009B5839" w:rsidRDefault="009920AB">
      <w:pPr>
        <w:rPr>
          <w:rFonts w:ascii="Aptos" w:hAnsi="Aptos"/>
        </w:rPr>
        <w:sectPr w:rsidR="009920AB" w:rsidRPr="009B5839">
          <w:pgSz w:w="11910" w:h="16840"/>
          <w:pgMar w:top="1920" w:right="0" w:bottom="1360" w:left="0" w:header="472" w:footer="1161" w:gutter="0"/>
          <w:cols w:space="720"/>
        </w:sectPr>
      </w:pPr>
    </w:p>
    <w:p w14:paraId="1EB0F33B" w14:textId="77777777" w:rsidR="003B777E" w:rsidRPr="009B5839" w:rsidRDefault="003B777E">
      <w:pPr>
        <w:rPr>
          <w:rFonts w:ascii="Aptos" w:hAnsi="Aptos"/>
          <w:sz w:val="20"/>
        </w:rPr>
      </w:pPr>
    </w:p>
    <w:p w14:paraId="7BDE88AD" w14:textId="77777777" w:rsidR="0008129B" w:rsidRDefault="0008129B" w:rsidP="0008129B">
      <w:pPr>
        <w:pStyle w:val="Heading2"/>
        <w:rPr>
          <w:rFonts w:ascii="Aptos" w:hAnsi="Aptos"/>
          <w:b/>
          <w:bCs/>
          <w:color w:val="FF0000"/>
          <w:sz w:val="24"/>
          <w:szCs w:val="24"/>
        </w:rPr>
      </w:pPr>
      <w:bookmarkStart w:id="79" w:name="Urban_Nodes_-_Mobility_promotion"/>
      <w:bookmarkStart w:id="80" w:name="_bookmark22"/>
      <w:bookmarkStart w:id="81" w:name="_Toc168584208"/>
      <w:bookmarkStart w:id="82" w:name="_Hlk170393563"/>
      <w:bookmarkEnd w:id="79"/>
      <w:bookmarkEnd w:id="80"/>
    </w:p>
    <w:p w14:paraId="2F169AD5" w14:textId="61184A12" w:rsidR="003B777E" w:rsidRPr="009B5839" w:rsidRDefault="00000000" w:rsidP="0008129B">
      <w:pPr>
        <w:pStyle w:val="Heading2"/>
        <w:rPr>
          <w:rFonts w:ascii="Aptos" w:hAnsi="Aptos"/>
          <w:sz w:val="20"/>
        </w:rPr>
      </w:pPr>
      <w:r w:rsidRPr="000E5FB9">
        <w:rPr>
          <w:rFonts w:ascii="Aptos" w:hAnsi="Aptos"/>
          <w:b/>
          <w:bCs/>
          <w:color w:val="FF0000"/>
          <w:sz w:val="24"/>
          <w:szCs w:val="24"/>
        </w:rPr>
        <w:t>Urban Nodes - Mobility promotion</w:t>
      </w:r>
      <w:bookmarkEnd w:id="81"/>
    </w:p>
    <w:p w14:paraId="113EB593" w14:textId="77777777" w:rsidR="003B777E" w:rsidRPr="009B5839" w:rsidRDefault="003B777E">
      <w:pPr>
        <w:pStyle w:val="BodyText"/>
        <w:spacing w:before="10"/>
        <w:rPr>
          <w:rFonts w:ascii="Aptos" w:hAnsi="Aptos"/>
          <w:sz w:val="16"/>
        </w:rPr>
      </w:pP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3B777E" w:rsidRPr="009B5839" w14:paraId="7E11A63F" w14:textId="77777777" w:rsidTr="0008129B">
        <w:trPr>
          <w:trHeight w:val="273"/>
        </w:trPr>
        <w:tc>
          <w:tcPr>
            <w:tcW w:w="9066" w:type="dxa"/>
            <w:shd w:val="clear" w:color="auto" w:fill="D9D9D9"/>
          </w:tcPr>
          <w:p w14:paraId="2DC873DD" w14:textId="77777777" w:rsidR="003B777E" w:rsidRPr="009B5839" w:rsidRDefault="00000000">
            <w:pPr>
              <w:pStyle w:val="TableParagraph"/>
              <w:spacing w:line="253" w:lineRule="exact"/>
              <w:rPr>
                <w:rFonts w:ascii="Aptos" w:hAnsi="Aptos"/>
                <w:b/>
                <w:sz w:val="24"/>
              </w:rPr>
            </w:pPr>
            <w:r w:rsidRPr="004D0DD6">
              <w:rPr>
                <w:rFonts w:ascii="Aptos" w:hAnsi="Aptos"/>
                <w:b/>
                <w:szCs w:val="20"/>
              </w:rPr>
              <w:t>Question</w:t>
            </w:r>
          </w:p>
        </w:tc>
      </w:tr>
      <w:tr w:rsidR="003B777E" w:rsidRPr="009B5839" w14:paraId="6A44B3A5" w14:textId="77777777" w:rsidTr="0008129B">
        <w:trPr>
          <w:trHeight w:val="2025"/>
        </w:trPr>
        <w:tc>
          <w:tcPr>
            <w:tcW w:w="9066" w:type="dxa"/>
          </w:tcPr>
          <w:p w14:paraId="216CE973" w14:textId="5BE80F00" w:rsidR="003B777E" w:rsidRPr="009B5839" w:rsidRDefault="002850BF">
            <w:pPr>
              <w:pStyle w:val="TableParagraph"/>
              <w:spacing w:line="235" w:lineRule="exact"/>
              <w:jc w:val="both"/>
              <w:rPr>
                <w:rFonts w:ascii="Aptos" w:hAnsi="Aptos"/>
                <w:b/>
              </w:rPr>
            </w:pPr>
            <w:r w:rsidRPr="002850BF">
              <w:rPr>
                <w:rFonts w:ascii="Aptos" w:hAnsi="Aptos"/>
              </w:rPr>
              <w:t xml:space="preserve">The current crises and climate change present significant economic policy challenges for the European Union, its member states and the municipal level. The Covid-19 crisis is revealing investment gaps in the area of services of general interest. The Russian invasion of Ukraine has highlighted the urgent need to accelerate the energy transition and end dependence on Russian gas and other fossil fuels. Mobility is a fundamental aspect of our economic, social and cultural activities. </w:t>
            </w:r>
            <w:r w:rsidRPr="002850BF">
              <w:rPr>
                <w:rFonts w:ascii="Aptos" w:hAnsi="Aptos"/>
                <w:b/>
                <w:bCs/>
              </w:rPr>
              <w:t>What is your view on the role of urban mobility in the socio-ecological transformation and how do you intend to ensure that sufficient EU funding is available for this?</w:t>
            </w:r>
          </w:p>
        </w:tc>
      </w:tr>
      <w:tr w:rsidR="003B777E" w:rsidRPr="009B5839" w14:paraId="45DF4119" w14:textId="77777777" w:rsidTr="0008129B">
        <w:trPr>
          <w:trHeight w:val="278"/>
        </w:trPr>
        <w:tc>
          <w:tcPr>
            <w:tcW w:w="9066" w:type="dxa"/>
            <w:shd w:val="clear" w:color="auto" w:fill="D9D9D9"/>
          </w:tcPr>
          <w:p w14:paraId="68ACBD18" w14:textId="26628C00" w:rsidR="003B777E" w:rsidRPr="009B5839" w:rsidRDefault="00F95277">
            <w:pPr>
              <w:pStyle w:val="TableParagraph"/>
              <w:spacing w:line="258" w:lineRule="exact"/>
              <w:rPr>
                <w:rFonts w:ascii="Aptos" w:hAnsi="Aptos"/>
                <w:b/>
                <w:sz w:val="24"/>
              </w:rPr>
            </w:pPr>
            <w:r>
              <w:rPr>
                <w:rFonts w:ascii="Aptos" w:hAnsi="Aptos"/>
                <w:b/>
              </w:rPr>
              <w:t>Further questions</w:t>
            </w:r>
          </w:p>
        </w:tc>
      </w:tr>
      <w:tr w:rsidR="003B777E" w:rsidRPr="009B5839" w14:paraId="604672FA" w14:textId="77777777" w:rsidTr="0008129B">
        <w:trPr>
          <w:trHeight w:val="758"/>
        </w:trPr>
        <w:tc>
          <w:tcPr>
            <w:tcW w:w="9066" w:type="dxa"/>
          </w:tcPr>
          <w:p w14:paraId="6CE2E4CC" w14:textId="77777777" w:rsidR="002850BF" w:rsidRPr="002850BF" w:rsidRDefault="002850BF" w:rsidP="00291B23">
            <w:pPr>
              <w:pStyle w:val="TableParagraph"/>
              <w:numPr>
                <w:ilvl w:val="0"/>
                <w:numId w:val="19"/>
              </w:numPr>
              <w:tabs>
                <w:tab w:val="left" w:pos="826"/>
              </w:tabs>
              <w:spacing w:before="122" w:line="237" w:lineRule="auto"/>
              <w:ind w:right="107"/>
              <w:jc w:val="both"/>
              <w:rPr>
                <w:rFonts w:ascii="Aptos" w:hAnsi="Aptos"/>
                <w:spacing w:val="-5"/>
              </w:rPr>
            </w:pPr>
            <w:r w:rsidRPr="002850BF">
              <w:rPr>
                <w:rFonts w:ascii="Aptos" w:hAnsi="Aptos"/>
                <w:spacing w:val="-5"/>
              </w:rPr>
              <w:t>Please provide your views on the significance of urban nodes in this context.</w:t>
            </w:r>
          </w:p>
          <w:p w14:paraId="13D7FE60" w14:textId="6D9C7805" w:rsidR="003B777E" w:rsidRPr="009B5839" w:rsidRDefault="002850BF" w:rsidP="00291B23">
            <w:pPr>
              <w:pStyle w:val="TableParagraph"/>
              <w:numPr>
                <w:ilvl w:val="0"/>
                <w:numId w:val="19"/>
              </w:numPr>
              <w:tabs>
                <w:tab w:val="left" w:pos="826"/>
              </w:tabs>
              <w:spacing w:before="122" w:line="237" w:lineRule="auto"/>
              <w:ind w:right="107"/>
              <w:jc w:val="both"/>
              <w:rPr>
                <w:rFonts w:ascii="Aptos" w:hAnsi="Aptos"/>
              </w:rPr>
            </w:pPr>
            <w:r w:rsidRPr="002850BF">
              <w:rPr>
                <w:rFonts w:ascii="Aptos" w:hAnsi="Aptos"/>
                <w:spacing w:val="-5"/>
              </w:rPr>
              <w:t xml:space="preserve">With regard to relevant alliances for the implementation of </w:t>
            </w:r>
            <w:r w:rsidR="00D871DC">
              <w:rPr>
                <w:rFonts w:ascii="Aptos" w:hAnsi="Aptos"/>
                <w:spacing w:val="-5"/>
              </w:rPr>
              <w:t>u</w:t>
            </w:r>
            <w:r w:rsidRPr="002850BF">
              <w:rPr>
                <w:rFonts w:ascii="Aptos" w:hAnsi="Aptos"/>
                <w:spacing w:val="-5"/>
              </w:rPr>
              <w:t xml:space="preserve">rban </w:t>
            </w:r>
            <w:r w:rsidR="00D871DC">
              <w:rPr>
                <w:rFonts w:ascii="Aptos" w:hAnsi="Aptos"/>
                <w:spacing w:val="-5"/>
              </w:rPr>
              <w:t>n</w:t>
            </w:r>
            <w:r w:rsidRPr="002850BF">
              <w:rPr>
                <w:rFonts w:ascii="Aptos" w:hAnsi="Aptos"/>
                <w:spacing w:val="-5"/>
              </w:rPr>
              <w:t xml:space="preserve">odes, would you be willing to support the </w:t>
            </w:r>
            <w:r w:rsidRPr="005065DB">
              <w:rPr>
                <w:rFonts w:ascii="Aptos" w:hAnsi="Aptos"/>
                <w:spacing w:val="-5"/>
              </w:rPr>
              <w:t>POLIS Network's position pape</w:t>
            </w:r>
            <w:r w:rsidR="005065DB">
              <w:rPr>
                <w:rFonts w:ascii="Aptos" w:hAnsi="Aptos"/>
                <w:spacing w:val="-5"/>
              </w:rPr>
              <w:t xml:space="preserve">r </w:t>
            </w:r>
            <w:r w:rsidR="005065DB">
              <w:rPr>
                <w:rStyle w:val="FootnoteReference"/>
                <w:rFonts w:ascii="Aptos" w:hAnsi="Aptos"/>
                <w:spacing w:val="-5"/>
              </w:rPr>
              <w:footnoteReference w:id="10"/>
            </w:r>
            <w:r w:rsidR="005065DB">
              <w:rPr>
                <w:rFonts w:ascii="Aptos" w:hAnsi="Aptos"/>
                <w:spacing w:val="-5"/>
              </w:rPr>
              <w:t xml:space="preserve"> ?</w:t>
            </w:r>
          </w:p>
        </w:tc>
      </w:tr>
    </w:tbl>
    <w:p w14:paraId="3D23B4F2" w14:textId="77777777" w:rsidR="00906982" w:rsidRDefault="00906982">
      <w:pPr>
        <w:rPr>
          <w:rFonts w:ascii="Aptos" w:hAnsi="Aptos"/>
        </w:rPr>
      </w:pPr>
    </w:p>
    <w:tbl>
      <w:tblPr>
        <w:tblStyle w:val="TableNormal1"/>
        <w:tblW w:w="0" w:type="auto"/>
        <w:tblLayout w:type="fixed"/>
        <w:tblLook w:val="01E0" w:firstRow="1" w:lastRow="1" w:firstColumn="1" w:lastColumn="1" w:noHBand="0" w:noVBand="0"/>
      </w:tblPr>
      <w:tblGrid>
        <w:gridCol w:w="9066"/>
      </w:tblGrid>
      <w:tr w:rsidR="00906982" w:rsidRPr="009B5839" w14:paraId="08715786" w14:textId="77777777" w:rsidTr="0008129B">
        <w:trPr>
          <w:trHeight w:val="277"/>
        </w:trPr>
        <w:tc>
          <w:tcPr>
            <w:tcW w:w="9066" w:type="dxa"/>
            <w:shd w:val="clear" w:color="auto" w:fill="D9D9D9"/>
          </w:tcPr>
          <w:p w14:paraId="5734320F" w14:textId="46B89A4C" w:rsidR="00906982" w:rsidRPr="009B5839" w:rsidRDefault="00906982" w:rsidP="00291B23">
            <w:pPr>
              <w:pStyle w:val="TableParagraph"/>
              <w:spacing w:line="258" w:lineRule="exact"/>
              <w:ind w:left="0"/>
              <w:rPr>
                <w:rFonts w:ascii="Aptos" w:hAnsi="Aptos"/>
                <w:b/>
                <w:sz w:val="24"/>
              </w:rPr>
            </w:pPr>
            <w:r w:rsidRPr="004D0DD6">
              <w:rPr>
                <w:rFonts w:ascii="Aptos" w:hAnsi="Aptos"/>
                <w:b/>
                <w:szCs w:val="20"/>
              </w:rPr>
              <w:t>Back</w:t>
            </w:r>
            <w:r w:rsidR="00291B23" w:rsidRPr="004D0DD6">
              <w:rPr>
                <w:rFonts w:ascii="Aptos" w:hAnsi="Aptos"/>
                <w:b/>
                <w:szCs w:val="20"/>
              </w:rPr>
              <w:t>g</w:t>
            </w:r>
            <w:r w:rsidRPr="004D0DD6">
              <w:rPr>
                <w:rFonts w:ascii="Aptos" w:hAnsi="Aptos"/>
                <w:b/>
                <w:szCs w:val="20"/>
              </w:rPr>
              <w:t>round</w:t>
            </w:r>
          </w:p>
        </w:tc>
      </w:tr>
      <w:tr w:rsidR="00906982" w:rsidRPr="009B5839" w14:paraId="12C5099D" w14:textId="77777777" w:rsidTr="0008129B">
        <w:trPr>
          <w:trHeight w:val="1516"/>
        </w:trPr>
        <w:tc>
          <w:tcPr>
            <w:tcW w:w="9066" w:type="dxa"/>
          </w:tcPr>
          <w:p w14:paraId="0A8B9724" w14:textId="3D47859A" w:rsidR="007B7100" w:rsidRDefault="00291B23" w:rsidP="00291B23">
            <w:pPr>
              <w:pStyle w:val="TableParagraph"/>
              <w:spacing w:before="3" w:line="239" w:lineRule="exact"/>
              <w:ind w:left="0"/>
              <w:jc w:val="both"/>
              <w:rPr>
                <w:rFonts w:ascii="Aptos" w:hAnsi="Aptos"/>
                <w:bCs/>
              </w:rPr>
            </w:pPr>
            <w:r w:rsidRPr="00291B23">
              <w:rPr>
                <w:rFonts w:ascii="Aptos" w:hAnsi="Aptos"/>
                <w:bCs/>
              </w:rPr>
              <w:t>European citizens have the right to accessible, safe and sustainable passenger and freight transport within the Union. The Trans-European Transport Network (TEN-T) plays a pivotal role in enhancing the mobility of people and goods across Europe.  The European Union has developed a comprehensive strategy to improve the mobility and sustainability of European transport infrastructure with the agreement to revise the TEN-T Regulation in 2023. Governance is a key factor in meeting the new requirements for urban nodes, including Sustainable Urban Mobility Plans (SUMPs), multimodal passenger transport hubs and multimodal freight terminals. It is essential that governance structures at the level of urban nodes are adapted to local circumstances and ensure subsidiarity and democratic legitimacy. The European Commission must recognise and balance the differences between Member States and within the urban nodes network. A tailored approach at the national and local level can address the diverse needs and circumstances of the 431 nodes. Furthermore, it is crucial to ensure adequate funding to fulfil the requirements set out in the TEN-T rules. It is important to recognise that local and regional authorities are not in a position to bear the entire cost of ecological transition on their own. It is crucial to maintain a robust funding framework to guarantee sufficient funding for TEN-T-related initiatives. This also includes projects to improve urban mobility. It is not only studies that should be funded, but also the implementation of projects.</w:t>
            </w:r>
          </w:p>
          <w:p w14:paraId="21676898" w14:textId="77777777" w:rsidR="007B7100" w:rsidRDefault="007B7100" w:rsidP="009C65DE">
            <w:pPr>
              <w:pStyle w:val="TableParagraph"/>
              <w:spacing w:before="3" w:line="239" w:lineRule="exact"/>
              <w:jc w:val="both"/>
              <w:rPr>
                <w:rFonts w:ascii="Aptos" w:hAnsi="Aptos"/>
                <w:bCs/>
              </w:rPr>
            </w:pPr>
          </w:p>
          <w:p w14:paraId="58D7BC03" w14:textId="77777777" w:rsidR="007B7100" w:rsidRPr="007B7100" w:rsidRDefault="007B7100" w:rsidP="009C65DE">
            <w:pPr>
              <w:pStyle w:val="TableParagraph"/>
              <w:spacing w:before="3" w:line="239" w:lineRule="exact"/>
              <w:jc w:val="both"/>
              <w:rPr>
                <w:rFonts w:ascii="Aptos" w:hAnsi="Aptos"/>
                <w:bCs/>
              </w:rPr>
            </w:pPr>
          </w:p>
          <w:p w14:paraId="656FF2DE" w14:textId="54A85329" w:rsidR="007B7100" w:rsidRPr="00CE3E5E" w:rsidRDefault="007B7100" w:rsidP="009C65DE">
            <w:pPr>
              <w:pStyle w:val="TableParagraph"/>
              <w:spacing w:before="3" w:line="239" w:lineRule="exact"/>
              <w:jc w:val="both"/>
              <w:rPr>
                <w:rFonts w:ascii="Aptos" w:hAnsi="Aptos"/>
                <w:bCs/>
              </w:rPr>
            </w:pPr>
          </w:p>
        </w:tc>
      </w:tr>
      <w:bookmarkEnd w:id="82"/>
    </w:tbl>
    <w:p w14:paraId="6FD6D3CD" w14:textId="77777777" w:rsidR="00906982" w:rsidRDefault="00906982">
      <w:pPr>
        <w:rPr>
          <w:rFonts w:ascii="Aptos" w:hAnsi="Aptos"/>
        </w:rPr>
      </w:pPr>
    </w:p>
    <w:p w14:paraId="491F7765" w14:textId="77777777" w:rsidR="00906982" w:rsidRDefault="00906982">
      <w:pPr>
        <w:rPr>
          <w:rFonts w:ascii="Aptos" w:hAnsi="Aptos"/>
        </w:rPr>
      </w:pPr>
    </w:p>
    <w:p w14:paraId="02EBFB9D" w14:textId="77777777" w:rsidR="00906982" w:rsidRPr="009B5839" w:rsidRDefault="00906982">
      <w:pPr>
        <w:rPr>
          <w:rFonts w:ascii="Aptos" w:hAnsi="Aptos"/>
        </w:rPr>
        <w:sectPr w:rsidR="00906982" w:rsidRPr="009B5839" w:rsidSect="0008129B">
          <w:pgSz w:w="11910" w:h="16840"/>
          <w:pgMar w:top="1418" w:right="1418" w:bottom="1134" w:left="1418" w:header="472" w:footer="1161" w:gutter="0"/>
          <w:cols w:space="720"/>
          <w:docGrid w:linePitch="299"/>
        </w:sectPr>
      </w:pPr>
    </w:p>
    <w:p w14:paraId="32207A12" w14:textId="77777777" w:rsidR="003B777E" w:rsidRPr="009B5839" w:rsidRDefault="003B777E">
      <w:pPr>
        <w:spacing w:before="10"/>
        <w:rPr>
          <w:rFonts w:ascii="Aptos" w:hAnsi="Aptos"/>
          <w:sz w:val="12"/>
        </w:rPr>
      </w:pPr>
    </w:p>
    <w:p w14:paraId="19B39C92" w14:textId="46B23171" w:rsidR="003B777E" w:rsidRPr="009B5839" w:rsidRDefault="00000000" w:rsidP="00291B23">
      <w:pPr>
        <w:pStyle w:val="Heading2"/>
        <w:ind w:left="696" w:firstLine="720"/>
        <w:rPr>
          <w:rFonts w:ascii="Aptos" w:hAnsi="Aptos"/>
          <w:sz w:val="20"/>
        </w:rPr>
      </w:pPr>
      <w:bookmarkStart w:id="83" w:name="De_minimis_aid"/>
      <w:bookmarkStart w:id="84" w:name="_bookmark23"/>
      <w:bookmarkStart w:id="85" w:name="_Toc168584209"/>
      <w:bookmarkStart w:id="86" w:name="_Hlk170393655"/>
      <w:bookmarkEnd w:id="83"/>
      <w:bookmarkEnd w:id="84"/>
      <w:r w:rsidRPr="000E5FB9">
        <w:rPr>
          <w:rFonts w:ascii="Aptos" w:hAnsi="Aptos"/>
          <w:b/>
          <w:bCs/>
          <w:color w:val="FF0000"/>
          <w:sz w:val="24"/>
          <w:szCs w:val="24"/>
        </w:rPr>
        <w:t>De minimis aid</w:t>
      </w:r>
      <w:bookmarkEnd w:id="85"/>
    </w:p>
    <w:p w14:paraId="1A8A5845" w14:textId="77777777" w:rsidR="003B777E" w:rsidRPr="009B5839" w:rsidRDefault="003B777E">
      <w:pPr>
        <w:pStyle w:val="BodyText"/>
        <w:spacing w:before="6" w:after="1"/>
        <w:rPr>
          <w:rFonts w:ascii="Aptos" w:hAnsi="Aptos"/>
          <w:sz w:val="16"/>
        </w:rPr>
      </w:pPr>
    </w:p>
    <w:tbl>
      <w:tblPr>
        <w:tblStyle w:val="TableNormal1"/>
        <w:tblW w:w="0" w:type="auto"/>
        <w:tblInd w:w="1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3B777E" w:rsidRPr="009B5839" w14:paraId="01AFC7DC" w14:textId="77777777">
        <w:trPr>
          <w:trHeight w:val="278"/>
        </w:trPr>
        <w:tc>
          <w:tcPr>
            <w:tcW w:w="9066" w:type="dxa"/>
            <w:shd w:val="clear" w:color="auto" w:fill="D9D9D9"/>
          </w:tcPr>
          <w:p w14:paraId="486910A1" w14:textId="77777777" w:rsidR="003B777E" w:rsidRPr="009B5839" w:rsidRDefault="00000000">
            <w:pPr>
              <w:pStyle w:val="TableParagraph"/>
              <w:spacing w:line="258" w:lineRule="exact"/>
              <w:rPr>
                <w:rFonts w:ascii="Aptos" w:hAnsi="Aptos"/>
                <w:b/>
                <w:sz w:val="24"/>
              </w:rPr>
            </w:pPr>
            <w:r w:rsidRPr="004D0DD6">
              <w:rPr>
                <w:rFonts w:ascii="Aptos" w:hAnsi="Aptos"/>
                <w:b/>
                <w:szCs w:val="20"/>
              </w:rPr>
              <w:t>Question</w:t>
            </w:r>
          </w:p>
        </w:tc>
      </w:tr>
      <w:tr w:rsidR="003B777E" w:rsidRPr="009B5839" w14:paraId="7B138F8D" w14:textId="77777777">
        <w:trPr>
          <w:trHeight w:val="2275"/>
        </w:trPr>
        <w:tc>
          <w:tcPr>
            <w:tcW w:w="9066" w:type="dxa"/>
          </w:tcPr>
          <w:p w14:paraId="52D2C670" w14:textId="78D733F2" w:rsidR="003B777E" w:rsidRPr="009B5839" w:rsidRDefault="002850BF">
            <w:pPr>
              <w:pStyle w:val="TableParagraph"/>
              <w:spacing w:line="232" w:lineRule="exact"/>
              <w:jc w:val="both"/>
              <w:rPr>
                <w:rFonts w:ascii="Aptos" w:hAnsi="Aptos"/>
                <w:b/>
              </w:rPr>
            </w:pPr>
            <w:r w:rsidRPr="002850BF">
              <w:rPr>
                <w:rFonts w:ascii="Aptos" w:hAnsi="Aptos"/>
              </w:rPr>
              <w:t xml:space="preserve">The objective of public undertakings is to provide services of general interest to citizens within the Union and to provide services of general public interest. They provide services of general interest to the population and do not operate in a profit-oriented or competitive manner on the market. This underscores the importance of coordination and communication between the various actors involved in the delivery of services of general interest. De minimis aid is intended to support services of general interest in the fulfilment of their tasks. It must not lead to services not being provided for reasons of company law. </w:t>
            </w:r>
            <w:r w:rsidRPr="002850BF">
              <w:rPr>
                <w:rFonts w:ascii="Aptos" w:hAnsi="Aptos"/>
                <w:b/>
                <w:bCs/>
              </w:rPr>
              <w:t>Are you planning to revise the de minimis regulation to prevent innovations for services of general interest from being prevented by the principle of cumulation?</w:t>
            </w:r>
          </w:p>
        </w:tc>
      </w:tr>
      <w:tr w:rsidR="003B777E" w:rsidRPr="009B5839" w14:paraId="480A515E" w14:textId="77777777">
        <w:trPr>
          <w:trHeight w:val="278"/>
        </w:trPr>
        <w:tc>
          <w:tcPr>
            <w:tcW w:w="9066" w:type="dxa"/>
            <w:shd w:val="clear" w:color="auto" w:fill="D9D9D9"/>
          </w:tcPr>
          <w:p w14:paraId="3876FE66" w14:textId="736629E9" w:rsidR="003B777E" w:rsidRPr="009B5839" w:rsidRDefault="00F95277">
            <w:pPr>
              <w:pStyle w:val="TableParagraph"/>
              <w:spacing w:line="258" w:lineRule="exact"/>
              <w:rPr>
                <w:rFonts w:ascii="Aptos" w:hAnsi="Aptos"/>
                <w:b/>
                <w:sz w:val="24"/>
              </w:rPr>
            </w:pPr>
            <w:r>
              <w:rPr>
                <w:rFonts w:ascii="Aptos" w:hAnsi="Aptos"/>
                <w:b/>
              </w:rPr>
              <w:t>Further questions</w:t>
            </w:r>
          </w:p>
        </w:tc>
      </w:tr>
      <w:tr w:rsidR="003B777E" w:rsidRPr="009B5839" w14:paraId="0EEF1802" w14:textId="77777777">
        <w:trPr>
          <w:trHeight w:val="513"/>
        </w:trPr>
        <w:tc>
          <w:tcPr>
            <w:tcW w:w="9066" w:type="dxa"/>
          </w:tcPr>
          <w:p w14:paraId="4EE05379" w14:textId="08E8CC2F" w:rsidR="003B777E" w:rsidRPr="009B5839" w:rsidRDefault="002850BF">
            <w:pPr>
              <w:pStyle w:val="TableParagraph"/>
              <w:numPr>
                <w:ilvl w:val="0"/>
                <w:numId w:val="16"/>
              </w:numPr>
              <w:tabs>
                <w:tab w:val="left" w:pos="826"/>
              </w:tabs>
              <w:spacing w:line="250" w:lineRule="exact"/>
              <w:ind w:right="727"/>
              <w:rPr>
                <w:rFonts w:ascii="Aptos" w:hAnsi="Aptos"/>
              </w:rPr>
            </w:pPr>
            <w:r w:rsidRPr="00291B23">
              <w:rPr>
                <w:rFonts w:ascii="Aptos" w:hAnsi="Aptos"/>
                <w:spacing w:val="-5"/>
              </w:rPr>
              <w:t>What steps would you recommend to make de minimis aid and SGEI aid more attractive for innovative projects within a company?</w:t>
            </w:r>
          </w:p>
        </w:tc>
      </w:tr>
    </w:tbl>
    <w:p w14:paraId="0578D068" w14:textId="77777777" w:rsidR="003B777E" w:rsidRPr="009B5839" w:rsidRDefault="003B777E">
      <w:pPr>
        <w:pStyle w:val="BodyText"/>
        <w:rPr>
          <w:rFonts w:ascii="Aptos" w:hAnsi="Aptos"/>
          <w:sz w:val="20"/>
        </w:rPr>
      </w:pPr>
    </w:p>
    <w:tbl>
      <w:tblPr>
        <w:tblStyle w:val="TableNormal1"/>
        <w:tblW w:w="0" w:type="auto"/>
        <w:tblInd w:w="1426" w:type="dxa"/>
        <w:tblLayout w:type="fixed"/>
        <w:tblLook w:val="01E0" w:firstRow="1" w:lastRow="1" w:firstColumn="1" w:lastColumn="1" w:noHBand="0" w:noVBand="0"/>
      </w:tblPr>
      <w:tblGrid>
        <w:gridCol w:w="9066"/>
      </w:tblGrid>
      <w:tr w:rsidR="008E7590" w:rsidRPr="009B5839" w14:paraId="37788A12" w14:textId="77777777" w:rsidTr="009C65DE">
        <w:trPr>
          <w:trHeight w:val="277"/>
        </w:trPr>
        <w:tc>
          <w:tcPr>
            <w:tcW w:w="9066" w:type="dxa"/>
            <w:shd w:val="clear" w:color="auto" w:fill="D9D9D9"/>
          </w:tcPr>
          <w:p w14:paraId="1B58C489" w14:textId="1982B6F9" w:rsidR="008E7590" w:rsidRPr="009B5839" w:rsidRDefault="008E7590" w:rsidP="00291B23">
            <w:pPr>
              <w:pStyle w:val="TableParagraph"/>
              <w:spacing w:line="258" w:lineRule="exact"/>
              <w:ind w:left="0"/>
              <w:rPr>
                <w:rFonts w:ascii="Aptos" w:hAnsi="Aptos"/>
                <w:b/>
                <w:sz w:val="24"/>
              </w:rPr>
            </w:pPr>
            <w:r w:rsidRPr="004D0DD6">
              <w:rPr>
                <w:rFonts w:ascii="Aptos" w:hAnsi="Aptos"/>
                <w:b/>
                <w:szCs w:val="20"/>
              </w:rPr>
              <w:t>Back</w:t>
            </w:r>
            <w:r w:rsidR="00291B23" w:rsidRPr="004D0DD6">
              <w:rPr>
                <w:rFonts w:ascii="Aptos" w:hAnsi="Aptos"/>
                <w:b/>
                <w:szCs w:val="20"/>
              </w:rPr>
              <w:t>g</w:t>
            </w:r>
            <w:r w:rsidRPr="004D0DD6">
              <w:rPr>
                <w:rFonts w:ascii="Aptos" w:hAnsi="Aptos"/>
                <w:b/>
                <w:szCs w:val="20"/>
              </w:rPr>
              <w:t>round</w:t>
            </w:r>
          </w:p>
        </w:tc>
      </w:tr>
      <w:tr w:rsidR="008E7590" w:rsidRPr="009B5839" w14:paraId="3ED7DC0A" w14:textId="77777777" w:rsidTr="009C65DE">
        <w:trPr>
          <w:trHeight w:val="1516"/>
        </w:trPr>
        <w:tc>
          <w:tcPr>
            <w:tcW w:w="9066" w:type="dxa"/>
          </w:tcPr>
          <w:p w14:paraId="56D830E0" w14:textId="45E2192D" w:rsidR="008E7590" w:rsidRPr="00CE3E5E" w:rsidRDefault="00291B23" w:rsidP="00291B23">
            <w:pPr>
              <w:pStyle w:val="TableParagraph"/>
              <w:spacing w:before="3" w:line="239" w:lineRule="exact"/>
              <w:ind w:left="0"/>
              <w:jc w:val="both"/>
              <w:rPr>
                <w:rFonts w:ascii="Aptos" w:hAnsi="Aptos"/>
                <w:bCs/>
              </w:rPr>
            </w:pPr>
            <w:r w:rsidRPr="00291B23">
              <w:rPr>
                <w:rFonts w:ascii="Aptos" w:hAnsi="Aptos"/>
                <w:bCs/>
              </w:rPr>
              <w:t>Financial support under the De minimis Regulation is defined as aid which, under certain conditions, is not subject to the notification procedure with the European Commission. This is because it is assumed that competition and trade between Member States are not affected due to its negligible amount, and therefore does not fulfil all the criteria of “state aid”. Such subsidies are permitted for single entities. In accordance with the principle of sincere cooperation enshrined in Article 4(3) of the Treaty on European Union, the Commission must ensure that the rules on state aid are complied with. Member States should facilitate the fulfilment of this task by the Commission by taking appropriate measures to ensure that the total amount of support granted to an undertaking under the de minimis rule does not exceed the maximum amount allowed. Member States should monitor the granting of assistance to ensure that the rules on cumulation are complied with. The term 'single entity' encompasses all entities that are either wholly independent or linked by at least one of the following relationships</w:t>
            </w:r>
            <w:r>
              <w:rPr>
                <w:rFonts w:ascii="Aptos" w:hAnsi="Aptos"/>
                <w:bCs/>
              </w:rPr>
              <w:t xml:space="preserve"> (I) </w:t>
            </w:r>
            <w:r w:rsidRPr="00291B23">
              <w:rPr>
                <w:rFonts w:ascii="Aptos" w:hAnsi="Aptos"/>
                <w:bCs/>
              </w:rPr>
              <w:t>an undertaking holds the majority of the voting rights of another undertaking</w:t>
            </w:r>
            <w:r>
              <w:rPr>
                <w:rFonts w:ascii="Aptos" w:hAnsi="Aptos"/>
                <w:bCs/>
              </w:rPr>
              <w:t xml:space="preserve">; (II) </w:t>
            </w:r>
            <w:r w:rsidRPr="00291B23">
              <w:rPr>
                <w:rFonts w:ascii="Aptos" w:hAnsi="Aptos"/>
                <w:bCs/>
              </w:rPr>
              <w:t>an undertaking has the right to appoint or dismiss the majority of the members of the administrative, management or supervisory body</w:t>
            </w:r>
            <w:r>
              <w:rPr>
                <w:rFonts w:ascii="Aptos" w:hAnsi="Aptos"/>
                <w:bCs/>
              </w:rPr>
              <w:t>; (III)</w:t>
            </w:r>
            <w:r w:rsidRPr="00291B23">
              <w:rPr>
                <w:rFonts w:ascii="Aptos" w:hAnsi="Aptos"/>
                <w:bCs/>
              </w:rPr>
              <w:t xml:space="preserve"> an undertaking has a dominant influence by contract</w:t>
            </w:r>
            <w:r>
              <w:rPr>
                <w:rFonts w:ascii="Aptos" w:hAnsi="Aptos"/>
                <w:bCs/>
              </w:rPr>
              <w:t xml:space="preserve">; (IV) </w:t>
            </w:r>
            <w:r w:rsidRPr="00291B23">
              <w:rPr>
                <w:rFonts w:ascii="Aptos" w:hAnsi="Aptos"/>
                <w:bCs/>
              </w:rPr>
              <w:t>an undertaking exercises sole control over the majority of the voting rights by virtue of an agreement. This regulation hinders the effective utilisation of de minimis support by public service providers in the area of services of general interest and disadvantages them in the Single Market. It is therefore necessary to amend the definition and revise the de minimis regulation in order to enable socio-ecological innovations for and in services of general interest.</w:t>
            </w:r>
          </w:p>
        </w:tc>
      </w:tr>
      <w:bookmarkEnd w:id="86"/>
    </w:tbl>
    <w:p w14:paraId="7632E407" w14:textId="77777777" w:rsidR="0027794E" w:rsidRDefault="0027794E">
      <w:pPr>
        <w:rPr>
          <w:rFonts w:ascii="Aptos" w:hAnsi="Aptos"/>
        </w:rPr>
      </w:pPr>
    </w:p>
    <w:p w14:paraId="7F77A699" w14:textId="77777777" w:rsidR="0027794E" w:rsidRDefault="0027794E">
      <w:pPr>
        <w:rPr>
          <w:rFonts w:ascii="Aptos" w:hAnsi="Aptos"/>
        </w:rPr>
      </w:pPr>
    </w:p>
    <w:p w14:paraId="076F5957" w14:textId="77777777" w:rsidR="0027794E" w:rsidRPr="009B5839" w:rsidRDefault="0027794E">
      <w:pPr>
        <w:rPr>
          <w:rFonts w:ascii="Aptos" w:hAnsi="Aptos"/>
        </w:rPr>
        <w:sectPr w:rsidR="0027794E" w:rsidRPr="009B5839">
          <w:pgSz w:w="11910" w:h="16840"/>
          <w:pgMar w:top="1920" w:right="0" w:bottom="1360" w:left="0" w:header="472" w:footer="1161" w:gutter="0"/>
          <w:cols w:space="720"/>
        </w:sectPr>
      </w:pPr>
    </w:p>
    <w:p w14:paraId="55C317ED" w14:textId="77777777" w:rsidR="003B777E" w:rsidRPr="009B5839" w:rsidRDefault="003B777E">
      <w:pPr>
        <w:rPr>
          <w:rFonts w:ascii="Aptos" w:hAnsi="Aptos"/>
          <w:sz w:val="20"/>
        </w:rPr>
      </w:pPr>
    </w:p>
    <w:p w14:paraId="307683D6" w14:textId="44EB5C4E" w:rsidR="003B777E" w:rsidRPr="009B5839" w:rsidRDefault="00000000" w:rsidP="00291B23">
      <w:pPr>
        <w:pStyle w:val="Heading2"/>
        <w:ind w:left="696" w:firstLine="720"/>
        <w:rPr>
          <w:rFonts w:ascii="Aptos" w:hAnsi="Aptos"/>
          <w:sz w:val="20"/>
        </w:rPr>
      </w:pPr>
      <w:bookmarkStart w:id="87" w:name="General_Block_Exemption_Regulation"/>
      <w:bookmarkStart w:id="88" w:name="_bookmark24"/>
      <w:bookmarkStart w:id="89" w:name="_Toc168584210"/>
      <w:bookmarkStart w:id="90" w:name="_Hlk170393737"/>
      <w:bookmarkEnd w:id="87"/>
      <w:bookmarkEnd w:id="88"/>
      <w:r w:rsidRPr="000E5FB9">
        <w:rPr>
          <w:rFonts w:ascii="Aptos" w:hAnsi="Aptos"/>
          <w:b/>
          <w:bCs/>
          <w:color w:val="FF0000"/>
          <w:sz w:val="24"/>
          <w:szCs w:val="24"/>
        </w:rPr>
        <w:t>General Block Exemption Regulation</w:t>
      </w:r>
      <w:bookmarkEnd w:id="89"/>
    </w:p>
    <w:p w14:paraId="4DAC6DD3" w14:textId="77777777" w:rsidR="003B777E" w:rsidRPr="009B5839" w:rsidRDefault="003B777E">
      <w:pPr>
        <w:pStyle w:val="BodyText"/>
        <w:spacing w:before="10"/>
        <w:rPr>
          <w:rFonts w:ascii="Aptos" w:hAnsi="Aptos"/>
          <w:sz w:val="16"/>
        </w:rPr>
      </w:pPr>
    </w:p>
    <w:tbl>
      <w:tblPr>
        <w:tblStyle w:val="TableNormal1"/>
        <w:tblW w:w="0" w:type="auto"/>
        <w:tblInd w:w="1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3B777E" w:rsidRPr="009B5839" w14:paraId="32A98126" w14:textId="77777777">
        <w:trPr>
          <w:trHeight w:val="273"/>
        </w:trPr>
        <w:tc>
          <w:tcPr>
            <w:tcW w:w="9066" w:type="dxa"/>
            <w:shd w:val="clear" w:color="auto" w:fill="D9D9D9"/>
          </w:tcPr>
          <w:p w14:paraId="6AFE239F" w14:textId="77777777" w:rsidR="003B777E" w:rsidRPr="009B5839" w:rsidRDefault="00000000">
            <w:pPr>
              <w:pStyle w:val="TableParagraph"/>
              <w:spacing w:line="253" w:lineRule="exact"/>
              <w:rPr>
                <w:rFonts w:ascii="Aptos" w:hAnsi="Aptos"/>
                <w:b/>
                <w:sz w:val="24"/>
              </w:rPr>
            </w:pPr>
            <w:r w:rsidRPr="004D0DD6">
              <w:rPr>
                <w:rFonts w:ascii="Aptos" w:hAnsi="Aptos"/>
                <w:b/>
                <w:szCs w:val="20"/>
              </w:rPr>
              <w:t>Question</w:t>
            </w:r>
          </w:p>
        </w:tc>
      </w:tr>
      <w:tr w:rsidR="003B777E" w:rsidRPr="009B5839" w14:paraId="3595DFDD" w14:textId="77777777">
        <w:trPr>
          <w:trHeight w:val="2025"/>
        </w:trPr>
        <w:tc>
          <w:tcPr>
            <w:tcW w:w="9066" w:type="dxa"/>
          </w:tcPr>
          <w:p w14:paraId="5BCBD421" w14:textId="1E97A2E8" w:rsidR="003B777E" w:rsidRPr="009B5839" w:rsidRDefault="002850BF">
            <w:pPr>
              <w:pStyle w:val="TableParagraph"/>
              <w:spacing w:line="235" w:lineRule="exact"/>
              <w:jc w:val="both"/>
              <w:rPr>
                <w:rFonts w:ascii="Aptos" w:hAnsi="Aptos"/>
                <w:b/>
              </w:rPr>
            </w:pPr>
            <w:r w:rsidRPr="002850BF">
              <w:rPr>
                <w:rFonts w:ascii="Aptos" w:hAnsi="Aptos"/>
              </w:rPr>
              <w:t xml:space="preserve">The energy and climate crisis, along with the Russian war of aggression, have brought the need for a resilient and secure Europe to the forefront of public discourse. In collaboration with its member states, the European Union has set ambitious targets for the implementation of climate protection and adaptation measures on the one hand and for a secure Europe on the other. The next step is to create a legal framework that allows for rapid and efficient implementation, avoiding bureaucratic hurdles that could hinder the socio-ecological transformation. It is the responsibility of the member states to provide support to the individual sectors. </w:t>
            </w:r>
            <w:r w:rsidRPr="002850BF">
              <w:rPr>
                <w:rFonts w:ascii="Aptos" w:hAnsi="Aptos"/>
                <w:b/>
                <w:bCs/>
              </w:rPr>
              <w:t>Please outline the steps you intend to take to extend the General Block Exemption Regulation to other sectors.</w:t>
            </w:r>
          </w:p>
        </w:tc>
      </w:tr>
      <w:tr w:rsidR="003B777E" w:rsidRPr="009B5839" w14:paraId="64ECC2ED" w14:textId="77777777">
        <w:trPr>
          <w:trHeight w:val="278"/>
        </w:trPr>
        <w:tc>
          <w:tcPr>
            <w:tcW w:w="9066" w:type="dxa"/>
            <w:shd w:val="clear" w:color="auto" w:fill="D9D9D9"/>
          </w:tcPr>
          <w:p w14:paraId="51B9EE03" w14:textId="4ED93272" w:rsidR="003B777E" w:rsidRPr="009B5839" w:rsidRDefault="00F95277">
            <w:pPr>
              <w:pStyle w:val="TableParagraph"/>
              <w:spacing w:line="258" w:lineRule="exact"/>
              <w:rPr>
                <w:rFonts w:ascii="Aptos" w:hAnsi="Aptos"/>
                <w:b/>
                <w:sz w:val="24"/>
              </w:rPr>
            </w:pPr>
            <w:r>
              <w:rPr>
                <w:rFonts w:ascii="Aptos" w:hAnsi="Aptos"/>
                <w:b/>
              </w:rPr>
              <w:t>Further questions</w:t>
            </w:r>
          </w:p>
        </w:tc>
      </w:tr>
      <w:tr w:rsidR="003B777E" w:rsidRPr="009B5839" w14:paraId="75354FBD" w14:textId="77777777">
        <w:trPr>
          <w:trHeight w:val="513"/>
        </w:trPr>
        <w:tc>
          <w:tcPr>
            <w:tcW w:w="9066" w:type="dxa"/>
          </w:tcPr>
          <w:p w14:paraId="69FEF621" w14:textId="596BEF1B" w:rsidR="003B777E" w:rsidRPr="009B5839" w:rsidRDefault="002850BF">
            <w:pPr>
              <w:pStyle w:val="TableParagraph"/>
              <w:numPr>
                <w:ilvl w:val="0"/>
                <w:numId w:val="15"/>
              </w:numPr>
              <w:tabs>
                <w:tab w:val="left" w:pos="826"/>
              </w:tabs>
              <w:spacing w:line="254" w:lineRule="exact"/>
              <w:ind w:right="185"/>
              <w:rPr>
                <w:rFonts w:ascii="Aptos" w:hAnsi="Aptos"/>
              </w:rPr>
            </w:pPr>
            <w:r w:rsidRPr="002850BF">
              <w:rPr>
                <w:rFonts w:ascii="Aptos" w:hAnsi="Aptos"/>
              </w:rPr>
              <w:t>Which initiatives and EU programmes do you intend to utilise in order to provide enhanced support to regional players in financing projects for a resilient Europe?</w:t>
            </w:r>
          </w:p>
        </w:tc>
      </w:tr>
    </w:tbl>
    <w:p w14:paraId="161B4010" w14:textId="77777777" w:rsidR="008915F0" w:rsidRDefault="008915F0">
      <w:pPr>
        <w:pStyle w:val="BodyText"/>
        <w:rPr>
          <w:rFonts w:ascii="Aptos" w:hAnsi="Aptos"/>
          <w:sz w:val="20"/>
        </w:rPr>
      </w:pPr>
    </w:p>
    <w:tbl>
      <w:tblPr>
        <w:tblStyle w:val="TableNormal1"/>
        <w:tblW w:w="0" w:type="auto"/>
        <w:tblInd w:w="1426" w:type="dxa"/>
        <w:tblLayout w:type="fixed"/>
        <w:tblLook w:val="01E0" w:firstRow="1" w:lastRow="1" w:firstColumn="1" w:lastColumn="1" w:noHBand="0" w:noVBand="0"/>
      </w:tblPr>
      <w:tblGrid>
        <w:gridCol w:w="9066"/>
      </w:tblGrid>
      <w:tr w:rsidR="008915F0" w:rsidRPr="009B5839" w14:paraId="65D3AA7E" w14:textId="77777777" w:rsidTr="009C65DE">
        <w:trPr>
          <w:trHeight w:val="277"/>
        </w:trPr>
        <w:tc>
          <w:tcPr>
            <w:tcW w:w="9066" w:type="dxa"/>
            <w:shd w:val="clear" w:color="auto" w:fill="D9D9D9"/>
          </w:tcPr>
          <w:p w14:paraId="78FEE63D" w14:textId="109D1258" w:rsidR="008915F0" w:rsidRPr="009B5839" w:rsidRDefault="008915F0" w:rsidP="00291B23">
            <w:pPr>
              <w:pStyle w:val="TableParagraph"/>
              <w:spacing w:line="258" w:lineRule="exact"/>
              <w:ind w:left="0"/>
              <w:rPr>
                <w:rFonts w:ascii="Aptos" w:hAnsi="Aptos"/>
                <w:b/>
                <w:sz w:val="24"/>
              </w:rPr>
            </w:pPr>
            <w:r w:rsidRPr="004D0DD6">
              <w:rPr>
                <w:rFonts w:ascii="Aptos" w:hAnsi="Aptos"/>
                <w:b/>
                <w:szCs w:val="20"/>
              </w:rPr>
              <w:t>Back</w:t>
            </w:r>
            <w:r w:rsidR="00291B23" w:rsidRPr="004D0DD6">
              <w:rPr>
                <w:rFonts w:ascii="Aptos" w:hAnsi="Aptos"/>
                <w:b/>
                <w:szCs w:val="20"/>
              </w:rPr>
              <w:t>g</w:t>
            </w:r>
            <w:r w:rsidRPr="004D0DD6">
              <w:rPr>
                <w:rFonts w:ascii="Aptos" w:hAnsi="Aptos"/>
                <w:b/>
                <w:szCs w:val="20"/>
              </w:rPr>
              <w:t>round</w:t>
            </w:r>
          </w:p>
        </w:tc>
      </w:tr>
      <w:tr w:rsidR="008915F0" w:rsidRPr="009B5839" w14:paraId="6FACA248" w14:textId="77777777" w:rsidTr="009C65DE">
        <w:trPr>
          <w:trHeight w:val="1516"/>
        </w:trPr>
        <w:tc>
          <w:tcPr>
            <w:tcW w:w="9066" w:type="dxa"/>
          </w:tcPr>
          <w:p w14:paraId="178F4DE9" w14:textId="3835B0EC" w:rsidR="008915F0" w:rsidRPr="00CE3E5E" w:rsidRDefault="00291B23" w:rsidP="00291B23">
            <w:pPr>
              <w:pStyle w:val="TableParagraph"/>
              <w:spacing w:before="3" w:line="239" w:lineRule="exact"/>
              <w:ind w:left="0"/>
              <w:jc w:val="both"/>
              <w:rPr>
                <w:rFonts w:ascii="Aptos" w:hAnsi="Aptos"/>
                <w:bCs/>
              </w:rPr>
            </w:pPr>
            <w:r w:rsidRPr="00291B23">
              <w:rPr>
                <w:rFonts w:ascii="Aptos" w:hAnsi="Aptos"/>
                <w:bCs/>
              </w:rPr>
              <w:t xml:space="preserve">The </w:t>
            </w:r>
            <w:r>
              <w:rPr>
                <w:rFonts w:ascii="Aptos" w:hAnsi="Aptos"/>
                <w:bCs/>
              </w:rPr>
              <w:t>General Block Exemption Regulation (</w:t>
            </w:r>
            <w:r w:rsidRPr="00291B23">
              <w:rPr>
                <w:rFonts w:ascii="Aptos" w:hAnsi="Aptos"/>
                <w:bCs/>
              </w:rPr>
              <w:t>GBER</w:t>
            </w:r>
            <w:r>
              <w:rPr>
                <w:rFonts w:ascii="Aptos" w:hAnsi="Aptos"/>
                <w:bCs/>
              </w:rPr>
              <w:t>)</w:t>
            </w:r>
            <w:r w:rsidRPr="00291B23">
              <w:rPr>
                <w:rFonts w:ascii="Aptos" w:hAnsi="Aptos"/>
                <w:bCs/>
              </w:rPr>
              <w:t xml:space="preserve"> is a cornerstone of the Commission's reform to modernise EU state aid law. Its objective is to promote economic growth and focus EU approval procedures on large subsidy cases that could lead to unfair competition. On 23 June 2023, the European Commission adopted an amendment to the General Block Exemption Regulation (GBER) to further simplify and accelerate support for the EU's green and digital transitions while protecting fair competition conditions in the Single Market. The GBER enables member states of the European Union to implement certain state aid measures directly. The amendment exempts certain categories of state aid from the obligation to notify the Commission in advance if, in the Commission's opinion, the benefits to society outweigh any distortions of competition. It should be noted that failure to meet the criteria set out in the GBER does not automatically render a state aid measure incompatible with EU state aid law. Rather, it simply requires that the measure </w:t>
            </w:r>
            <w:r w:rsidR="00D871DC">
              <w:rPr>
                <w:rFonts w:ascii="Aptos" w:hAnsi="Aptos"/>
                <w:bCs/>
              </w:rPr>
              <w:t xml:space="preserve">should to </w:t>
            </w:r>
            <w:r w:rsidRPr="00291B23">
              <w:rPr>
                <w:rFonts w:ascii="Aptos" w:hAnsi="Aptos"/>
                <w:bCs/>
              </w:rPr>
              <w:t>be notified to the Commission prior to implementation. However, there is a need for a more precise analysis and an extension of the groups within the GBER, in particular to actors who want to promote socio-ecological change and must also effectively implement it due to numerous regulations. In particular, public service providers are at a disadvantage, despite having the greatest potential to drive socially responsible transformation towards a net-zero-emissions union for society. It is therefore essential that they receive more support.</w:t>
            </w:r>
          </w:p>
        </w:tc>
      </w:tr>
    </w:tbl>
    <w:p w14:paraId="35898D4F" w14:textId="77777777" w:rsidR="008915F0" w:rsidRPr="009B5839" w:rsidRDefault="008915F0">
      <w:pPr>
        <w:pStyle w:val="BodyText"/>
        <w:rPr>
          <w:rFonts w:ascii="Aptos" w:hAnsi="Aptos"/>
          <w:sz w:val="20"/>
        </w:rPr>
      </w:pPr>
    </w:p>
    <w:p w14:paraId="6CCD3500" w14:textId="77777777" w:rsidR="003B777E" w:rsidRPr="009B5839" w:rsidRDefault="003B777E">
      <w:pPr>
        <w:pStyle w:val="BodyText"/>
        <w:spacing w:before="3"/>
        <w:rPr>
          <w:rFonts w:ascii="Aptos" w:hAnsi="Aptos"/>
          <w:sz w:val="21"/>
        </w:rPr>
      </w:pPr>
    </w:p>
    <w:bookmarkEnd w:id="90"/>
    <w:p w14:paraId="46895CAC" w14:textId="77777777" w:rsidR="003B777E" w:rsidRPr="009B5839" w:rsidRDefault="003B777E">
      <w:pPr>
        <w:rPr>
          <w:rFonts w:ascii="Aptos" w:hAnsi="Aptos"/>
        </w:rPr>
        <w:sectPr w:rsidR="003B777E" w:rsidRPr="009B5839">
          <w:pgSz w:w="11910" w:h="16840"/>
          <w:pgMar w:top="1920" w:right="0" w:bottom="1360" w:left="0" w:header="472" w:footer="1161" w:gutter="0"/>
          <w:cols w:space="720"/>
        </w:sectPr>
      </w:pPr>
    </w:p>
    <w:p w14:paraId="1EB4FFE3" w14:textId="77777777" w:rsidR="003B777E" w:rsidRPr="009B5839" w:rsidRDefault="003B777E">
      <w:pPr>
        <w:rPr>
          <w:rFonts w:ascii="Aptos" w:hAnsi="Aptos"/>
          <w:sz w:val="20"/>
        </w:rPr>
      </w:pPr>
    </w:p>
    <w:p w14:paraId="6B58D730" w14:textId="09B37710" w:rsidR="003B777E" w:rsidRPr="009B5839" w:rsidRDefault="00000000" w:rsidP="00291B23">
      <w:pPr>
        <w:pStyle w:val="Heading2"/>
        <w:ind w:left="696" w:firstLine="720"/>
        <w:rPr>
          <w:rFonts w:ascii="Aptos" w:hAnsi="Aptos"/>
          <w:sz w:val="20"/>
        </w:rPr>
      </w:pPr>
      <w:bookmarkStart w:id="91" w:name="Scalability_of_subsidised_projects"/>
      <w:bookmarkStart w:id="92" w:name="_bookmark25"/>
      <w:bookmarkStart w:id="93" w:name="_Toc168584211"/>
      <w:bookmarkStart w:id="94" w:name="_Hlk170393798"/>
      <w:bookmarkEnd w:id="91"/>
      <w:bookmarkEnd w:id="92"/>
      <w:r w:rsidRPr="000E5FB9">
        <w:rPr>
          <w:rFonts w:ascii="Aptos" w:hAnsi="Aptos"/>
          <w:b/>
          <w:bCs/>
          <w:color w:val="FF0000"/>
          <w:sz w:val="24"/>
          <w:szCs w:val="24"/>
        </w:rPr>
        <w:t>Scalability of subsidised projects</w:t>
      </w:r>
      <w:bookmarkEnd w:id="93"/>
    </w:p>
    <w:p w14:paraId="4A444F90" w14:textId="77777777" w:rsidR="003B777E" w:rsidRPr="009B5839" w:rsidRDefault="003B777E">
      <w:pPr>
        <w:pStyle w:val="BodyText"/>
        <w:spacing w:before="10"/>
        <w:rPr>
          <w:rFonts w:ascii="Aptos" w:hAnsi="Aptos"/>
          <w:sz w:val="16"/>
        </w:rPr>
      </w:pPr>
    </w:p>
    <w:tbl>
      <w:tblPr>
        <w:tblStyle w:val="TableNormal1"/>
        <w:tblW w:w="0" w:type="auto"/>
        <w:tblInd w:w="1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3B777E" w:rsidRPr="009B5839" w14:paraId="4125AF1E" w14:textId="77777777">
        <w:trPr>
          <w:trHeight w:val="273"/>
        </w:trPr>
        <w:tc>
          <w:tcPr>
            <w:tcW w:w="9066" w:type="dxa"/>
            <w:shd w:val="clear" w:color="auto" w:fill="D9D9D9"/>
          </w:tcPr>
          <w:p w14:paraId="39AD1C5B" w14:textId="77777777" w:rsidR="003B777E" w:rsidRPr="009B5839" w:rsidRDefault="00000000">
            <w:pPr>
              <w:pStyle w:val="TableParagraph"/>
              <w:spacing w:line="253" w:lineRule="exact"/>
              <w:rPr>
                <w:rFonts w:ascii="Aptos" w:hAnsi="Aptos"/>
                <w:b/>
                <w:sz w:val="24"/>
              </w:rPr>
            </w:pPr>
            <w:r w:rsidRPr="004D0DD6">
              <w:rPr>
                <w:rFonts w:ascii="Aptos" w:hAnsi="Aptos"/>
                <w:b/>
                <w:szCs w:val="20"/>
              </w:rPr>
              <w:t>Question</w:t>
            </w:r>
          </w:p>
        </w:tc>
      </w:tr>
      <w:tr w:rsidR="003B777E" w:rsidRPr="009B5839" w14:paraId="172D38ED" w14:textId="77777777">
        <w:trPr>
          <w:trHeight w:val="2279"/>
        </w:trPr>
        <w:tc>
          <w:tcPr>
            <w:tcW w:w="9066" w:type="dxa"/>
          </w:tcPr>
          <w:p w14:paraId="0C864C63" w14:textId="2DDFA0DB" w:rsidR="003B777E" w:rsidRPr="009B5839" w:rsidRDefault="002850BF">
            <w:pPr>
              <w:pStyle w:val="TableParagraph"/>
              <w:spacing w:line="236" w:lineRule="exact"/>
              <w:jc w:val="both"/>
              <w:rPr>
                <w:rFonts w:ascii="Aptos" w:hAnsi="Aptos"/>
                <w:b/>
              </w:rPr>
            </w:pPr>
            <w:r w:rsidRPr="002850BF">
              <w:rPr>
                <w:rFonts w:ascii="Aptos" w:hAnsi="Aptos"/>
              </w:rPr>
              <w:t xml:space="preserve">The energy and climate crisis, as well as the Russian war of aggression, have brought the need for a resilient and secure Europe to the forefront of public discourse. The European Union has set itself targets in conjunction with its member states for the implementation of climate protection and adaptation measures on the one hand and for a secure Europe on the other. The objective is to facilitate the broad implementation of existing technologies and innovations to overcome financial constraints and accelerate the socio-ecological transformation. </w:t>
            </w:r>
            <w:r w:rsidRPr="002850BF">
              <w:rPr>
                <w:rFonts w:ascii="Aptos" w:hAnsi="Aptos"/>
                <w:b/>
                <w:bCs/>
              </w:rPr>
              <w:t xml:space="preserve">Please indicate which initiatives and EU </w:t>
            </w:r>
            <w:r w:rsidR="00754633" w:rsidRPr="002850BF">
              <w:rPr>
                <w:rFonts w:ascii="Aptos" w:hAnsi="Aptos"/>
                <w:b/>
                <w:bCs/>
              </w:rPr>
              <w:t>programs</w:t>
            </w:r>
            <w:r w:rsidRPr="002850BF">
              <w:rPr>
                <w:rFonts w:ascii="Aptos" w:hAnsi="Aptos"/>
                <w:b/>
                <w:bCs/>
              </w:rPr>
              <w:t xml:space="preserve"> you would like to use to ensure that existing and significantly more efficient technologies are promoted in the roll-out phase so that they can be used across the board.</w:t>
            </w:r>
          </w:p>
        </w:tc>
      </w:tr>
      <w:tr w:rsidR="003B777E" w:rsidRPr="009B5839" w14:paraId="00BDEB2C" w14:textId="77777777">
        <w:trPr>
          <w:trHeight w:val="273"/>
        </w:trPr>
        <w:tc>
          <w:tcPr>
            <w:tcW w:w="9066" w:type="dxa"/>
            <w:shd w:val="clear" w:color="auto" w:fill="D9D9D9"/>
          </w:tcPr>
          <w:p w14:paraId="3CED9019" w14:textId="527FB7E3" w:rsidR="003B777E" w:rsidRPr="002850BF" w:rsidRDefault="00F95277" w:rsidP="002850BF">
            <w:pPr>
              <w:pStyle w:val="TableParagraph"/>
              <w:spacing w:line="258" w:lineRule="exact"/>
              <w:rPr>
                <w:rFonts w:ascii="Aptos" w:hAnsi="Aptos"/>
                <w:spacing w:val="-5"/>
              </w:rPr>
            </w:pPr>
            <w:r>
              <w:rPr>
                <w:rFonts w:ascii="Aptos" w:hAnsi="Aptos"/>
                <w:b/>
              </w:rPr>
              <w:t>Further questions</w:t>
            </w:r>
          </w:p>
        </w:tc>
      </w:tr>
      <w:tr w:rsidR="003B777E" w:rsidRPr="009B5839" w14:paraId="255099CC" w14:textId="77777777">
        <w:trPr>
          <w:trHeight w:val="1021"/>
        </w:trPr>
        <w:tc>
          <w:tcPr>
            <w:tcW w:w="9066" w:type="dxa"/>
          </w:tcPr>
          <w:p w14:paraId="46F81DAC" w14:textId="77777777" w:rsidR="002850BF" w:rsidRPr="00291B23" w:rsidRDefault="002850BF" w:rsidP="002850BF">
            <w:pPr>
              <w:pStyle w:val="TableParagraph"/>
              <w:numPr>
                <w:ilvl w:val="0"/>
                <w:numId w:val="37"/>
              </w:numPr>
              <w:tabs>
                <w:tab w:val="left" w:pos="826"/>
              </w:tabs>
              <w:spacing w:before="115"/>
              <w:ind w:right="96"/>
              <w:jc w:val="both"/>
              <w:rPr>
                <w:rFonts w:ascii="Aptos" w:hAnsi="Aptos"/>
              </w:rPr>
            </w:pPr>
            <w:r w:rsidRPr="00291B23">
              <w:rPr>
                <w:rFonts w:ascii="Aptos" w:hAnsi="Aptos"/>
              </w:rPr>
              <w:t>Please outline the relevance of the scalability of funded projects in the area of critical infrastructures to your considerations.</w:t>
            </w:r>
          </w:p>
          <w:p w14:paraId="703B12E4" w14:textId="3E1D8CFF" w:rsidR="003B777E" w:rsidRPr="002850BF" w:rsidRDefault="002850BF" w:rsidP="00291B23">
            <w:pPr>
              <w:pStyle w:val="TableParagraph"/>
              <w:numPr>
                <w:ilvl w:val="0"/>
                <w:numId w:val="37"/>
              </w:numPr>
              <w:tabs>
                <w:tab w:val="left" w:pos="826"/>
              </w:tabs>
              <w:spacing w:before="115"/>
              <w:ind w:right="96"/>
              <w:jc w:val="both"/>
              <w:rPr>
                <w:rFonts w:ascii="Aptos" w:hAnsi="Aptos"/>
                <w:spacing w:val="-5"/>
              </w:rPr>
            </w:pPr>
            <w:r w:rsidRPr="00291B23">
              <w:rPr>
                <w:rFonts w:ascii="Aptos" w:hAnsi="Aptos"/>
              </w:rPr>
              <w:t xml:space="preserve">What are your thoughts on the future </w:t>
            </w:r>
            <w:r w:rsidR="00754633" w:rsidRPr="00291B23">
              <w:rPr>
                <w:rFonts w:ascii="Aptos" w:hAnsi="Aptos"/>
              </w:rPr>
              <w:t>organization</w:t>
            </w:r>
            <w:r w:rsidRPr="00291B23">
              <w:rPr>
                <w:rFonts w:ascii="Aptos" w:hAnsi="Aptos"/>
              </w:rPr>
              <w:t xml:space="preserve"> of operating aid for innovative and resilient climate projects of general interest?</w:t>
            </w:r>
          </w:p>
        </w:tc>
      </w:tr>
    </w:tbl>
    <w:p w14:paraId="2093FBC9" w14:textId="77777777" w:rsidR="00E52591" w:rsidRDefault="00E52591">
      <w:pPr>
        <w:pStyle w:val="BodyText"/>
        <w:rPr>
          <w:rFonts w:ascii="Aptos" w:hAnsi="Aptos"/>
          <w:sz w:val="20"/>
        </w:rPr>
      </w:pPr>
    </w:p>
    <w:tbl>
      <w:tblPr>
        <w:tblStyle w:val="TableNormal1"/>
        <w:tblW w:w="0" w:type="auto"/>
        <w:tblInd w:w="1426" w:type="dxa"/>
        <w:tblLayout w:type="fixed"/>
        <w:tblLook w:val="01E0" w:firstRow="1" w:lastRow="1" w:firstColumn="1" w:lastColumn="1" w:noHBand="0" w:noVBand="0"/>
      </w:tblPr>
      <w:tblGrid>
        <w:gridCol w:w="9066"/>
      </w:tblGrid>
      <w:tr w:rsidR="00E52591" w:rsidRPr="009B5839" w14:paraId="1E1210AD" w14:textId="77777777" w:rsidTr="009C65DE">
        <w:trPr>
          <w:trHeight w:val="277"/>
        </w:trPr>
        <w:tc>
          <w:tcPr>
            <w:tcW w:w="9066" w:type="dxa"/>
            <w:shd w:val="clear" w:color="auto" w:fill="D9D9D9"/>
          </w:tcPr>
          <w:p w14:paraId="56B2A288" w14:textId="6D1BF4D6" w:rsidR="00E52591" w:rsidRPr="009B5839" w:rsidRDefault="00E52591" w:rsidP="00291B23">
            <w:pPr>
              <w:pStyle w:val="TableParagraph"/>
              <w:spacing w:line="258" w:lineRule="exact"/>
              <w:ind w:left="0"/>
              <w:rPr>
                <w:rFonts w:ascii="Aptos" w:hAnsi="Aptos"/>
                <w:b/>
                <w:sz w:val="24"/>
              </w:rPr>
            </w:pPr>
            <w:r w:rsidRPr="004D0DD6">
              <w:rPr>
                <w:rFonts w:ascii="Aptos" w:hAnsi="Aptos"/>
                <w:b/>
                <w:szCs w:val="20"/>
              </w:rPr>
              <w:t>Back</w:t>
            </w:r>
            <w:r w:rsidR="00291B23" w:rsidRPr="004D0DD6">
              <w:rPr>
                <w:rFonts w:ascii="Aptos" w:hAnsi="Aptos"/>
                <w:b/>
                <w:szCs w:val="20"/>
              </w:rPr>
              <w:t>g</w:t>
            </w:r>
            <w:r w:rsidRPr="004D0DD6">
              <w:rPr>
                <w:rFonts w:ascii="Aptos" w:hAnsi="Aptos"/>
                <w:b/>
                <w:szCs w:val="20"/>
              </w:rPr>
              <w:t>round</w:t>
            </w:r>
          </w:p>
        </w:tc>
      </w:tr>
      <w:tr w:rsidR="00E52591" w:rsidRPr="009B5839" w14:paraId="19F08303" w14:textId="77777777" w:rsidTr="009C65DE">
        <w:trPr>
          <w:trHeight w:val="1516"/>
        </w:trPr>
        <w:tc>
          <w:tcPr>
            <w:tcW w:w="9066" w:type="dxa"/>
          </w:tcPr>
          <w:p w14:paraId="36168B73" w14:textId="03D31A04" w:rsidR="00334FD8" w:rsidRPr="00CE3E5E" w:rsidRDefault="00291B23" w:rsidP="00291B23">
            <w:pPr>
              <w:pStyle w:val="TableParagraph"/>
              <w:spacing w:before="3" w:line="239" w:lineRule="exact"/>
              <w:ind w:left="0"/>
              <w:jc w:val="both"/>
              <w:rPr>
                <w:rFonts w:ascii="Aptos" w:hAnsi="Aptos"/>
                <w:bCs/>
              </w:rPr>
            </w:pPr>
            <w:r w:rsidRPr="00291B23">
              <w:rPr>
                <w:rFonts w:ascii="Aptos" w:hAnsi="Aptos"/>
                <w:bCs/>
              </w:rPr>
              <w:t>Subsidies are a key instrument to support the market launch of innovative and climate-friendly process technologies. The programme is designed for businesses that are only able to optimise their existing processes to a limited extent in terms of their CO</w:t>
            </w:r>
            <w:r w:rsidRPr="00291B23">
              <w:rPr>
                <w:rFonts w:ascii="Aptos" w:hAnsi="Aptos"/>
                <w:bCs/>
                <w:vertAlign w:val="subscript"/>
              </w:rPr>
              <w:t>2</w:t>
            </w:r>
            <w:r w:rsidRPr="00291B23">
              <w:rPr>
                <w:rFonts w:ascii="Aptos" w:hAnsi="Aptos"/>
                <w:bCs/>
              </w:rPr>
              <w:t xml:space="preserve"> emissions. In order to achieve decarbonisation in line with the European Union's targets, these businesses require completely different or significantly modified processes. This results in a significant requirement for investment from Member States or third-party investors. However, the unpredictability of national policies and geopolitical crises presents a risk to the investment potential for important long-term transformation processes. Furthermore, the implementation of climate-friendly processes (products) often results in significantly higher variable operating costs than standard, emission-intensive process offerings. This is due to a number of factors, including an insufficient CO</w:t>
            </w:r>
            <w:r w:rsidRPr="00291B23">
              <w:rPr>
                <w:rFonts w:ascii="Aptos" w:hAnsi="Aptos"/>
                <w:bCs/>
                <w:vertAlign w:val="subscript"/>
              </w:rPr>
              <w:t>2</w:t>
            </w:r>
            <w:r w:rsidRPr="00291B23">
              <w:rPr>
                <w:rFonts w:ascii="Aptos" w:hAnsi="Aptos"/>
                <w:bCs/>
              </w:rPr>
              <w:t xml:space="preserve"> price, a homogeneous product price, and higher operating costs due to changes in energy sources. In addition to the cost differential resulting from the aforementioned factors, the risk of price fluctuations, crises and wars is also a significant consideration. </w:t>
            </w:r>
            <w:r w:rsidRPr="00291B23">
              <w:rPr>
                <w:rFonts w:ascii="Aptos" w:hAnsi="Aptos"/>
                <w:b/>
              </w:rPr>
              <w:t>Subsidies for technologies in the roll-out phase</w:t>
            </w:r>
            <w:r w:rsidRPr="00291B23">
              <w:rPr>
                <w:rFonts w:ascii="Aptos" w:hAnsi="Aptos"/>
                <w:bCs/>
              </w:rPr>
              <w:t xml:space="preserve"> offer the opportunity to significantly bring forward the market launch and implementation of such processes by cushioning the cost differences and risks. The most significant impact is the pull-forward effect, given the long technical lifespan of green economy systems and processes in the context of public services of general interest. A ‘window of opportunity’ exists in particular when reinvestment cycles are due. In addition to its role as a market launch instrument, scalable promotion of technologies in the roll-out phase could also contribute to technology development and, as a result, to technology transfer within the Single Market.</w:t>
            </w:r>
          </w:p>
        </w:tc>
      </w:tr>
      <w:bookmarkEnd w:id="94"/>
    </w:tbl>
    <w:p w14:paraId="3510986E" w14:textId="77777777" w:rsidR="00E52591" w:rsidRPr="009B5839" w:rsidRDefault="00E52591">
      <w:pPr>
        <w:pStyle w:val="BodyText"/>
        <w:rPr>
          <w:rFonts w:ascii="Aptos" w:hAnsi="Aptos"/>
          <w:sz w:val="20"/>
        </w:rPr>
      </w:pPr>
    </w:p>
    <w:p w14:paraId="5BD7ACD5" w14:textId="77777777" w:rsidR="003B777E" w:rsidRPr="009B5839" w:rsidRDefault="003B777E">
      <w:pPr>
        <w:pStyle w:val="BodyText"/>
        <w:spacing w:before="4"/>
        <w:rPr>
          <w:rFonts w:ascii="Aptos" w:hAnsi="Aptos"/>
          <w:sz w:val="21"/>
        </w:rPr>
      </w:pPr>
    </w:p>
    <w:p w14:paraId="7791D8C0" w14:textId="77777777" w:rsidR="003B777E" w:rsidRPr="009B5839" w:rsidRDefault="003B777E">
      <w:pPr>
        <w:rPr>
          <w:rFonts w:ascii="Aptos" w:hAnsi="Aptos"/>
        </w:rPr>
        <w:sectPr w:rsidR="003B777E" w:rsidRPr="009B5839">
          <w:pgSz w:w="11910" w:h="16840"/>
          <w:pgMar w:top="1920" w:right="0" w:bottom="1360" w:left="0" w:header="472" w:footer="1161" w:gutter="0"/>
          <w:cols w:space="720"/>
        </w:sectPr>
      </w:pPr>
    </w:p>
    <w:p w14:paraId="31353F14" w14:textId="77777777" w:rsidR="003B777E" w:rsidRPr="009B5839" w:rsidRDefault="003B777E">
      <w:pPr>
        <w:rPr>
          <w:rFonts w:ascii="Aptos" w:hAnsi="Aptos"/>
          <w:sz w:val="20"/>
        </w:rPr>
      </w:pPr>
    </w:p>
    <w:p w14:paraId="3A91498E" w14:textId="09C7DFEC" w:rsidR="003B777E" w:rsidRPr="009B5839" w:rsidRDefault="00000000" w:rsidP="00291B23">
      <w:pPr>
        <w:pStyle w:val="Heading2"/>
        <w:ind w:left="696" w:firstLine="720"/>
        <w:rPr>
          <w:rFonts w:ascii="Aptos" w:hAnsi="Aptos"/>
          <w:sz w:val="20"/>
        </w:rPr>
      </w:pPr>
      <w:bookmarkStart w:id="95" w:name="European_Social_Climate_Fund"/>
      <w:bookmarkStart w:id="96" w:name="_bookmark26"/>
      <w:bookmarkStart w:id="97" w:name="_Toc168584212"/>
      <w:bookmarkEnd w:id="95"/>
      <w:bookmarkEnd w:id="96"/>
      <w:r w:rsidRPr="000E5FB9">
        <w:rPr>
          <w:rFonts w:ascii="Aptos" w:hAnsi="Aptos"/>
          <w:b/>
          <w:bCs/>
          <w:color w:val="FF0000"/>
          <w:sz w:val="24"/>
          <w:szCs w:val="24"/>
        </w:rPr>
        <w:t>European Social Climate Fund</w:t>
      </w:r>
      <w:bookmarkEnd w:id="97"/>
    </w:p>
    <w:p w14:paraId="72BF9830" w14:textId="77777777" w:rsidR="003B777E" w:rsidRPr="009B5839" w:rsidRDefault="003B777E">
      <w:pPr>
        <w:pStyle w:val="BodyText"/>
        <w:spacing w:before="10"/>
        <w:rPr>
          <w:rFonts w:ascii="Aptos" w:hAnsi="Aptos"/>
          <w:sz w:val="16"/>
        </w:rPr>
      </w:pPr>
    </w:p>
    <w:tbl>
      <w:tblPr>
        <w:tblStyle w:val="TableNormal1"/>
        <w:tblW w:w="0" w:type="auto"/>
        <w:tblInd w:w="1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3B777E" w:rsidRPr="009B5839" w14:paraId="603D1A3A" w14:textId="77777777">
        <w:trPr>
          <w:trHeight w:val="273"/>
        </w:trPr>
        <w:tc>
          <w:tcPr>
            <w:tcW w:w="9066" w:type="dxa"/>
            <w:shd w:val="clear" w:color="auto" w:fill="D9D9D9"/>
          </w:tcPr>
          <w:p w14:paraId="3B3E4DD8" w14:textId="77777777" w:rsidR="003B777E" w:rsidRPr="009B5839" w:rsidRDefault="00000000">
            <w:pPr>
              <w:pStyle w:val="TableParagraph"/>
              <w:spacing w:line="253" w:lineRule="exact"/>
              <w:rPr>
                <w:rFonts w:ascii="Aptos" w:hAnsi="Aptos"/>
                <w:b/>
                <w:sz w:val="24"/>
              </w:rPr>
            </w:pPr>
            <w:r w:rsidRPr="004D0DD6">
              <w:rPr>
                <w:rFonts w:ascii="Aptos" w:hAnsi="Aptos"/>
                <w:b/>
                <w:szCs w:val="20"/>
              </w:rPr>
              <w:t>Question</w:t>
            </w:r>
          </w:p>
        </w:tc>
      </w:tr>
      <w:tr w:rsidR="003B777E" w:rsidRPr="009B5839" w14:paraId="66316BB0" w14:textId="77777777">
        <w:trPr>
          <w:trHeight w:val="2025"/>
        </w:trPr>
        <w:tc>
          <w:tcPr>
            <w:tcW w:w="9066" w:type="dxa"/>
          </w:tcPr>
          <w:p w14:paraId="3B813094" w14:textId="25E0694E" w:rsidR="003B777E" w:rsidRPr="009B5839" w:rsidRDefault="002850BF" w:rsidP="002850BF">
            <w:pPr>
              <w:pStyle w:val="TableParagraph"/>
              <w:ind w:right="98"/>
              <w:jc w:val="both"/>
              <w:rPr>
                <w:rFonts w:ascii="Aptos" w:hAnsi="Aptos"/>
                <w:b/>
              </w:rPr>
            </w:pPr>
            <w:r w:rsidRPr="002850BF">
              <w:rPr>
                <w:rFonts w:ascii="Aptos" w:hAnsi="Aptos"/>
              </w:rPr>
              <w:t xml:space="preserve">Climate change will have economic and social impacts. Substantial public funding will be needed to meet climate change targets. Financing public infrastructure is a guarantee for affordable mobility, investing in energy efficiency measures and heating systems based on renewable energy and participating in energy communities are effective ways to reduce dependency and at the same time strengthen the Union's resilience. Earmarked funds are needed to support disadvantaged households, disadvantaged businesses and disadvantaged transport users. </w:t>
            </w:r>
            <w:r w:rsidRPr="002850BF">
              <w:rPr>
                <w:rFonts w:ascii="Aptos" w:hAnsi="Aptos"/>
                <w:b/>
                <w:bCs/>
              </w:rPr>
              <w:t>How would you use the European Social</w:t>
            </w:r>
            <w:r>
              <w:rPr>
                <w:rFonts w:ascii="Aptos" w:hAnsi="Aptos"/>
                <w:b/>
                <w:bCs/>
              </w:rPr>
              <w:t xml:space="preserve"> </w:t>
            </w:r>
            <w:r w:rsidRPr="002850BF">
              <w:rPr>
                <w:rFonts w:ascii="Aptos" w:hAnsi="Aptos"/>
                <w:b/>
                <w:bCs/>
              </w:rPr>
              <w:t>Fund to support regional public services in particular?</w:t>
            </w:r>
          </w:p>
        </w:tc>
      </w:tr>
      <w:tr w:rsidR="003B777E" w:rsidRPr="009B5839" w14:paraId="5DE21FF5" w14:textId="77777777">
        <w:trPr>
          <w:trHeight w:val="278"/>
        </w:trPr>
        <w:tc>
          <w:tcPr>
            <w:tcW w:w="9066" w:type="dxa"/>
            <w:shd w:val="clear" w:color="auto" w:fill="D9D9D9"/>
          </w:tcPr>
          <w:p w14:paraId="10FD3B8C" w14:textId="09791AE1" w:rsidR="003B777E" w:rsidRPr="009B5839" w:rsidRDefault="00F95277">
            <w:pPr>
              <w:pStyle w:val="TableParagraph"/>
              <w:spacing w:line="258" w:lineRule="exact"/>
              <w:rPr>
                <w:rFonts w:ascii="Aptos" w:hAnsi="Aptos"/>
                <w:b/>
                <w:sz w:val="24"/>
              </w:rPr>
            </w:pPr>
            <w:r>
              <w:rPr>
                <w:rFonts w:ascii="Aptos" w:hAnsi="Aptos"/>
                <w:b/>
              </w:rPr>
              <w:t>Further questions</w:t>
            </w:r>
          </w:p>
        </w:tc>
      </w:tr>
      <w:tr w:rsidR="003B777E" w:rsidRPr="009B5839" w14:paraId="7BD3F560" w14:textId="77777777">
        <w:trPr>
          <w:trHeight w:val="1022"/>
        </w:trPr>
        <w:tc>
          <w:tcPr>
            <w:tcW w:w="9066" w:type="dxa"/>
          </w:tcPr>
          <w:p w14:paraId="64A1D0CE" w14:textId="1F3DF896" w:rsidR="002850BF" w:rsidRPr="00291B23" w:rsidRDefault="002850BF" w:rsidP="002850BF">
            <w:pPr>
              <w:pStyle w:val="TableParagraph"/>
              <w:numPr>
                <w:ilvl w:val="0"/>
                <w:numId w:val="37"/>
              </w:numPr>
              <w:tabs>
                <w:tab w:val="left" w:pos="826"/>
              </w:tabs>
              <w:spacing w:before="115"/>
              <w:ind w:right="96"/>
              <w:jc w:val="both"/>
              <w:rPr>
                <w:rFonts w:ascii="Aptos" w:hAnsi="Aptos"/>
              </w:rPr>
            </w:pPr>
            <w:r w:rsidRPr="00291B23">
              <w:rPr>
                <w:rFonts w:ascii="Aptos" w:hAnsi="Aptos"/>
              </w:rPr>
              <w:t>How can it be ensured that these funds also reach municipal and local actors and businesses?</w:t>
            </w:r>
          </w:p>
          <w:p w14:paraId="20D08D93" w14:textId="1A951641" w:rsidR="003B777E" w:rsidRPr="002850BF" w:rsidRDefault="002850BF" w:rsidP="002850BF">
            <w:pPr>
              <w:pStyle w:val="TableParagraph"/>
              <w:numPr>
                <w:ilvl w:val="0"/>
                <w:numId w:val="37"/>
              </w:numPr>
              <w:tabs>
                <w:tab w:val="left" w:pos="826"/>
              </w:tabs>
              <w:spacing w:before="115"/>
              <w:ind w:right="96"/>
              <w:jc w:val="both"/>
              <w:rPr>
                <w:rFonts w:ascii="Aptos" w:hAnsi="Aptos"/>
                <w:spacing w:val="-5"/>
              </w:rPr>
            </w:pPr>
            <w:r w:rsidRPr="00291B23">
              <w:rPr>
                <w:rFonts w:ascii="Aptos" w:hAnsi="Aptos"/>
              </w:rPr>
              <w:t xml:space="preserve">What other initiatives and EU </w:t>
            </w:r>
            <w:r w:rsidR="00754633" w:rsidRPr="00291B23">
              <w:rPr>
                <w:rFonts w:ascii="Aptos" w:hAnsi="Aptos"/>
              </w:rPr>
              <w:t>programs</w:t>
            </w:r>
            <w:r w:rsidRPr="002850BF">
              <w:rPr>
                <w:rFonts w:ascii="Aptos" w:hAnsi="Aptos"/>
                <w:spacing w:val="-5"/>
              </w:rPr>
              <w:t xml:space="preserve"> are you planning to ensure a socially just transition to a climate neutral Europe?</w:t>
            </w:r>
          </w:p>
        </w:tc>
      </w:tr>
    </w:tbl>
    <w:p w14:paraId="0D794DD4" w14:textId="77777777" w:rsidR="003B777E" w:rsidRPr="009B5839" w:rsidRDefault="003B777E">
      <w:pPr>
        <w:pStyle w:val="BodyText"/>
        <w:spacing w:before="6"/>
        <w:rPr>
          <w:rFonts w:ascii="Aptos" w:hAnsi="Aptos"/>
          <w:sz w:val="23"/>
        </w:rPr>
      </w:pPr>
    </w:p>
    <w:tbl>
      <w:tblPr>
        <w:tblStyle w:val="TableNormal1"/>
        <w:tblW w:w="0" w:type="auto"/>
        <w:tblInd w:w="1426" w:type="dxa"/>
        <w:tblLayout w:type="fixed"/>
        <w:tblLook w:val="01E0" w:firstRow="1" w:lastRow="1" w:firstColumn="1" w:lastColumn="1" w:noHBand="0" w:noVBand="0"/>
      </w:tblPr>
      <w:tblGrid>
        <w:gridCol w:w="9066"/>
      </w:tblGrid>
      <w:tr w:rsidR="00196764" w:rsidRPr="009B5839" w14:paraId="73475BD8" w14:textId="77777777" w:rsidTr="009C65DE">
        <w:trPr>
          <w:trHeight w:val="277"/>
        </w:trPr>
        <w:tc>
          <w:tcPr>
            <w:tcW w:w="9066" w:type="dxa"/>
            <w:shd w:val="clear" w:color="auto" w:fill="D9D9D9"/>
          </w:tcPr>
          <w:p w14:paraId="16EBE89C" w14:textId="3F84EC0D" w:rsidR="00196764" w:rsidRPr="009B5839" w:rsidRDefault="00196764" w:rsidP="009C65DE">
            <w:pPr>
              <w:pStyle w:val="TableParagraph"/>
              <w:spacing w:line="258" w:lineRule="exact"/>
              <w:rPr>
                <w:rFonts w:ascii="Aptos" w:hAnsi="Aptos"/>
                <w:b/>
                <w:sz w:val="24"/>
              </w:rPr>
            </w:pPr>
            <w:r w:rsidRPr="004D0DD6">
              <w:rPr>
                <w:rFonts w:ascii="Aptos" w:hAnsi="Aptos"/>
                <w:b/>
                <w:szCs w:val="20"/>
              </w:rPr>
              <w:t>Back</w:t>
            </w:r>
            <w:r w:rsidR="00291B23" w:rsidRPr="004D0DD6">
              <w:rPr>
                <w:rFonts w:ascii="Aptos" w:hAnsi="Aptos"/>
                <w:b/>
                <w:szCs w:val="20"/>
              </w:rPr>
              <w:t>g</w:t>
            </w:r>
            <w:r w:rsidRPr="004D0DD6">
              <w:rPr>
                <w:rFonts w:ascii="Aptos" w:hAnsi="Aptos"/>
                <w:b/>
                <w:szCs w:val="20"/>
              </w:rPr>
              <w:t>round</w:t>
            </w:r>
          </w:p>
        </w:tc>
      </w:tr>
      <w:tr w:rsidR="00196764" w:rsidRPr="004D0DD6" w14:paraId="04B63747" w14:textId="77777777" w:rsidTr="009C65DE">
        <w:trPr>
          <w:trHeight w:val="1516"/>
        </w:trPr>
        <w:tc>
          <w:tcPr>
            <w:tcW w:w="9066" w:type="dxa"/>
          </w:tcPr>
          <w:p w14:paraId="4D244D4C" w14:textId="0FB9A82B" w:rsidR="00196764" w:rsidRPr="004D0DD6" w:rsidRDefault="00291B23" w:rsidP="00291B23">
            <w:pPr>
              <w:pStyle w:val="TableParagraph"/>
              <w:spacing w:before="3" w:line="239" w:lineRule="exact"/>
              <w:jc w:val="both"/>
              <w:rPr>
                <w:rFonts w:ascii="Aptos" w:hAnsi="Aptos"/>
                <w:bCs/>
              </w:rPr>
            </w:pPr>
            <w:r w:rsidRPr="004D0DD6">
              <w:rPr>
                <w:rFonts w:ascii="Aptos" w:hAnsi="Aptos"/>
                <w:bCs/>
              </w:rPr>
              <w:t>Social protection plays a pivotal role in the achievement of several environmental objectives set out in the 2030 Agenda for Sustainable Development. It is believed that various social protection instruments have the potential to enhance the resilience of vulnerable groups to climate change, facilitate a just transition to a green economy and drive intergenerational resilience building. A just transition will not be just if it is not inclusive. Currently, one in five Europeans is at risk of poverty or social exclusion. The concept of "leaving no one behind" implies the necessity to direct particular attention to the most vulnerable groups in the context of the energy transition. Those most vulnerable to the effects of climate change, including financially and politically, are those who are already disadvantaged. The Social Climate Fund (SCF) proposed by the European Commission offers a solution to bridge the financial and political gap. The SCF would provide EU funding of over € 72 billion over the period 2025-2032, to be used mainly through the Emissions Trading Scheme in the buildings and road transport sectors.  However, it is crucial that these funds are allocated to the individuals and organisations that have been fulfilling the social mandate for a fair and ecological life in their respective fields of activity for decades. The SCF must provide better and more effective support to services of general interest and their companies, particularly in assisting socially disadvantaged groups in society. This is the only way to ensure that the socio-ecological transformation is fair and sustainable.</w:t>
            </w:r>
          </w:p>
        </w:tc>
      </w:tr>
    </w:tbl>
    <w:p w14:paraId="239FCFA5" w14:textId="77777777" w:rsidR="00196764" w:rsidRDefault="00196764">
      <w:pPr>
        <w:rPr>
          <w:rFonts w:ascii="Aptos" w:hAnsi="Aptos"/>
        </w:rPr>
      </w:pPr>
    </w:p>
    <w:p w14:paraId="6B8636A9" w14:textId="77777777" w:rsidR="00196764" w:rsidRDefault="00196764">
      <w:pPr>
        <w:rPr>
          <w:rFonts w:ascii="Aptos" w:hAnsi="Aptos"/>
        </w:rPr>
      </w:pPr>
    </w:p>
    <w:p w14:paraId="653B978D" w14:textId="77777777" w:rsidR="00196764" w:rsidRPr="009B5839" w:rsidRDefault="00196764">
      <w:pPr>
        <w:rPr>
          <w:rFonts w:ascii="Aptos" w:hAnsi="Aptos"/>
        </w:rPr>
        <w:sectPr w:rsidR="00196764" w:rsidRPr="009B5839">
          <w:pgSz w:w="11910" w:h="16840"/>
          <w:pgMar w:top="1920" w:right="0" w:bottom="1360" w:left="0" w:header="472" w:footer="1161" w:gutter="0"/>
          <w:cols w:space="720"/>
        </w:sectPr>
      </w:pPr>
    </w:p>
    <w:p w14:paraId="391CDA2B" w14:textId="77777777" w:rsidR="00FE6156" w:rsidRPr="009B5839" w:rsidRDefault="00FE6156" w:rsidP="00FE6156">
      <w:pPr>
        <w:rPr>
          <w:rFonts w:ascii="Aptos" w:hAnsi="Aptos"/>
          <w:sz w:val="20"/>
        </w:rPr>
      </w:pPr>
    </w:p>
    <w:p w14:paraId="216A9DDD" w14:textId="53E62777" w:rsidR="00FE6156" w:rsidRPr="00FE6156" w:rsidRDefault="00FE6156" w:rsidP="00291B23">
      <w:pPr>
        <w:pStyle w:val="Heading2"/>
        <w:ind w:left="696" w:firstLine="720"/>
      </w:pPr>
      <w:bookmarkStart w:id="98" w:name="_Toc168584213"/>
      <w:r>
        <w:rPr>
          <w:rFonts w:ascii="Aptos" w:hAnsi="Aptos"/>
          <w:b/>
          <w:bCs/>
          <w:color w:val="FF0000"/>
          <w:sz w:val="24"/>
          <w:szCs w:val="24"/>
        </w:rPr>
        <w:t>Effective i</w:t>
      </w:r>
      <w:r w:rsidRPr="00FE6156">
        <w:rPr>
          <w:rFonts w:ascii="Aptos" w:hAnsi="Aptos"/>
          <w:b/>
          <w:bCs/>
          <w:color w:val="FF0000"/>
          <w:sz w:val="24"/>
          <w:szCs w:val="24"/>
        </w:rPr>
        <w:t xml:space="preserve">nfrastructure </w:t>
      </w:r>
      <w:r>
        <w:rPr>
          <w:rFonts w:ascii="Aptos" w:hAnsi="Aptos"/>
          <w:b/>
          <w:bCs/>
          <w:color w:val="FF0000"/>
          <w:sz w:val="24"/>
          <w:szCs w:val="24"/>
        </w:rPr>
        <w:t>f</w:t>
      </w:r>
      <w:r w:rsidRPr="00FE6156">
        <w:rPr>
          <w:rFonts w:ascii="Aptos" w:hAnsi="Aptos"/>
          <w:b/>
          <w:bCs/>
          <w:color w:val="FF0000"/>
          <w:sz w:val="24"/>
          <w:szCs w:val="24"/>
        </w:rPr>
        <w:t>unding</w:t>
      </w:r>
      <w:bookmarkEnd w:id="98"/>
    </w:p>
    <w:p w14:paraId="3D9C43C7" w14:textId="77777777" w:rsidR="00FE6156" w:rsidRPr="009B5839" w:rsidRDefault="00FE6156" w:rsidP="00FE6156">
      <w:pPr>
        <w:pStyle w:val="BodyText"/>
        <w:spacing w:before="10"/>
        <w:rPr>
          <w:rFonts w:ascii="Aptos" w:hAnsi="Aptos"/>
          <w:sz w:val="16"/>
        </w:rPr>
      </w:pPr>
    </w:p>
    <w:tbl>
      <w:tblPr>
        <w:tblStyle w:val="TableNormal1"/>
        <w:tblW w:w="0" w:type="auto"/>
        <w:tblInd w:w="1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FE6156" w:rsidRPr="009B5839" w14:paraId="0642838F" w14:textId="77777777" w:rsidTr="009C65DE">
        <w:trPr>
          <w:trHeight w:val="273"/>
        </w:trPr>
        <w:tc>
          <w:tcPr>
            <w:tcW w:w="9066" w:type="dxa"/>
            <w:shd w:val="clear" w:color="auto" w:fill="D9D9D9"/>
          </w:tcPr>
          <w:p w14:paraId="2EE0EF21" w14:textId="77777777" w:rsidR="00FE6156" w:rsidRPr="009B5839" w:rsidRDefault="00FE6156" w:rsidP="009C65DE">
            <w:pPr>
              <w:pStyle w:val="TableParagraph"/>
              <w:spacing w:line="253" w:lineRule="exact"/>
              <w:rPr>
                <w:rFonts w:ascii="Aptos" w:hAnsi="Aptos"/>
                <w:b/>
                <w:sz w:val="24"/>
              </w:rPr>
            </w:pPr>
            <w:r w:rsidRPr="004D0DD6">
              <w:rPr>
                <w:rFonts w:ascii="Aptos" w:hAnsi="Aptos"/>
                <w:b/>
                <w:szCs w:val="20"/>
              </w:rPr>
              <w:t>Question</w:t>
            </w:r>
          </w:p>
        </w:tc>
      </w:tr>
      <w:tr w:rsidR="00FE6156" w:rsidRPr="009B5839" w14:paraId="47733520" w14:textId="77777777" w:rsidTr="009C65DE">
        <w:trPr>
          <w:trHeight w:val="2025"/>
        </w:trPr>
        <w:tc>
          <w:tcPr>
            <w:tcW w:w="9066" w:type="dxa"/>
          </w:tcPr>
          <w:p w14:paraId="40BDABC3" w14:textId="7F5F0C50" w:rsidR="00FE6156" w:rsidRPr="009B5839" w:rsidRDefault="00FE6156" w:rsidP="009C65DE">
            <w:pPr>
              <w:pStyle w:val="TableParagraph"/>
              <w:ind w:right="98"/>
              <w:jc w:val="both"/>
              <w:rPr>
                <w:rFonts w:ascii="Aptos" w:hAnsi="Aptos"/>
                <w:b/>
              </w:rPr>
            </w:pPr>
            <w:r w:rsidRPr="00FE6156">
              <w:rPr>
                <w:rFonts w:ascii="Aptos" w:hAnsi="Aptos"/>
              </w:rPr>
              <w:t xml:space="preserve">The European Union has set itself ambitious targets for reducing emissions and achieving the Paris Agreement. In order to drive a socio-ecological transformation in the European Single Market the European Commission has made various funding instruments available. However, many of these subsidies are aimed at end-of-pipe projects and stand-alone innovations at the end of the value chain in order to realize potential emission reduction. </w:t>
            </w:r>
            <w:r w:rsidRPr="00FE6156">
              <w:rPr>
                <w:rFonts w:ascii="Aptos" w:hAnsi="Aptos"/>
                <w:b/>
                <w:bCs/>
              </w:rPr>
              <w:t>What priority do you give to infrastructure funding at the beginning of the value chain (e.g. grid expansion) and are new funding programs planned in this regard?</w:t>
            </w:r>
          </w:p>
        </w:tc>
      </w:tr>
      <w:tr w:rsidR="00FE6156" w:rsidRPr="009B5839" w14:paraId="426D0B76" w14:textId="77777777" w:rsidTr="009C65DE">
        <w:trPr>
          <w:trHeight w:val="278"/>
        </w:trPr>
        <w:tc>
          <w:tcPr>
            <w:tcW w:w="9066" w:type="dxa"/>
            <w:shd w:val="clear" w:color="auto" w:fill="D9D9D9"/>
          </w:tcPr>
          <w:p w14:paraId="29C9EBEF" w14:textId="77777777" w:rsidR="00FE6156" w:rsidRPr="009B5839" w:rsidRDefault="00FE6156" w:rsidP="009C65DE">
            <w:pPr>
              <w:pStyle w:val="TableParagraph"/>
              <w:spacing w:line="258" w:lineRule="exact"/>
              <w:rPr>
                <w:rFonts w:ascii="Aptos" w:hAnsi="Aptos"/>
                <w:b/>
                <w:sz w:val="24"/>
              </w:rPr>
            </w:pPr>
            <w:r>
              <w:rPr>
                <w:rFonts w:ascii="Aptos" w:hAnsi="Aptos"/>
                <w:b/>
              </w:rPr>
              <w:t>Further questions</w:t>
            </w:r>
          </w:p>
        </w:tc>
      </w:tr>
      <w:tr w:rsidR="00FE6156" w:rsidRPr="009B5839" w14:paraId="1020C0DD" w14:textId="77777777" w:rsidTr="009C65DE">
        <w:trPr>
          <w:trHeight w:val="1022"/>
        </w:trPr>
        <w:tc>
          <w:tcPr>
            <w:tcW w:w="9066" w:type="dxa"/>
          </w:tcPr>
          <w:p w14:paraId="5E77AAE8" w14:textId="6CB142F0" w:rsidR="00EF71FE" w:rsidRPr="00291B23" w:rsidRDefault="00EF71FE" w:rsidP="00EF71FE">
            <w:pPr>
              <w:pStyle w:val="TableParagraph"/>
              <w:numPr>
                <w:ilvl w:val="0"/>
                <w:numId w:val="37"/>
              </w:numPr>
              <w:tabs>
                <w:tab w:val="left" w:pos="826"/>
              </w:tabs>
              <w:spacing w:before="115"/>
              <w:ind w:right="96"/>
              <w:jc w:val="both"/>
              <w:rPr>
                <w:rFonts w:ascii="Aptos" w:hAnsi="Aptos"/>
              </w:rPr>
            </w:pPr>
            <w:r w:rsidRPr="00291B23">
              <w:rPr>
                <w:rFonts w:ascii="Aptos" w:hAnsi="Aptos"/>
              </w:rPr>
              <w:t>How do you intend to ensure that these funds reach municipal and local players and companies?</w:t>
            </w:r>
          </w:p>
          <w:p w14:paraId="5C0392BA" w14:textId="2F182D75" w:rsidR="00FE6156" w:rsidRPr="002850BF" w:rsidRDefault="00EF71FE" w:rsidP="00EF71FE">
            <w:pPr>
              <w:pStyle w:val="TableParagraph"/>
              <w:numPr>
                <w:ilvl w:val="0"/>
                <w:numId w:val="37"/>
              </w:numPr>
              <w:tabs>
                <w:tab w:val="left" w:pos="826"/>
              </w:tabs>
              <w:spacing w:before="115"/>
              <w:ind w:right="96"/>
              <w:jc w:val="both"/>
              <w:rPr>
                <w:rFonts w:ascii="Aptos" w:hAnsi="Aptos"/>
                <w:spacing w:val="-5"/>
              </w:rPr>
            </w:pPr>
            <w:r w:rsidRPr="00291B23">
              <w:rPr>
                <w:rFonts w:ascii="Aptos" w:hAnsi="Aptos"/>
              </w:rPr>
              <w:t>Are you planning a White or Green Book on the design of effective financial instruments for a socio-ecological transformation?</w:t>
            </w:r>
          </w:p>
        </w:tc>
      </w:tr>
    </w:tbl>
    <w:p w14:paraId="62CF6F08" w14:textId="77777777" w:rsidR="00FE6156" w:rsidRDefault="00FE6156" w:rsidP="00FE6156">
      <w:pPr>
        <w:rPr>
          <w:rFonts w:ascii="Aptos" w:hAnsi="Aptos"/>
        </w:rPr>
      </w:pPr>
    </w:p>
    <w:tbl>
      <w:tblPr>
        <w:tblStyle w:val="TableNormal1"/>
        <w:tblW w:w="0" w:type="auto"/>
        <w:tblInd w:w="1426" w:type="dxa"/>
        <w:tblLayout w:type="fixed"/>
        <w:tblLook w:val="01E0" w:firstRow="1" w:lastRow="1" w:firstColumn="1" w:lastColumn="1" w:noHBand="0" w:noVBand="0"/>
      </w:tblPr>
      <w:tblGrid>
        <w:gridCol w:w="9066"/>
      </w:tblGrid>
      <w:tr w:rsidR="00FE6156" w:rsidRPr="009B5839" w14:paraId="11F67BE1" w14:textId="77777777" w:rsidTr="009C65DE">
        <w:trPr>
          <w:trHeight w:val="277"/>
        </w:trPr>
        <w:tc>
          <w:tcPr>
            <w:tcW w:w="9066" w:type="dxa"/>
            <w:shd w:val="clear" w:color="auto" w:fill="D9D9D9"/>
          </w:tcPr>
          <w:p w14:paraId="4AE36DC2" w14:textId="6960972C" w:rsidR="00FE6156" w:rsidRPr="009B5839" w:rsidRDefault="00FE6156" w:rsidP="00291B23">
            <w:pPr>
              <w:pStyle w:val="TableParagraph"/>
              <w:spacing w:line="258" w:lineRule="exact"/>
              <w:ind w:left="0"/>
              <w:rPr>
                <w:rFonts w:ascii="Aptos" w:hAnsi="Aptos"/>
                <w:b/>
                <w:sz w:val="24"/>
              </w:rPr>
            </w:pPr>
            <w:r w:rsidRPr="004D0DD6">
              <w:rPr>
                <w:rFonts w:ascii="Aptos" w:hAnsi="Aptos"/>
                <w:b/>
                <w:szCs w:val="20"/>
              </w:rPr>
              <w:t>Back</w:t>
            </w:r>
            <w:r w:rsidR="00291B23" w:rsidRPr="004D0DD6">
              <w:rPr>
                <w:rFonts w:ascii="Aptos" w:hAnsi="Aptos"/>
                <w:b/>
                <w:szCs w:val="20"/>
              </w:rPr>
              <w:t>g</w:t>
            </w:r>
            <w:r w:rsidRPr="004D0DD6">
              <w:rPr>
                <w:rFonts w:ascii="Aptos" w:hAnsi="Aptos"/>
                <w:b/>
                <w:szCs w:val="20"/>
              </w:rPr>
              <w:t>round</w:t>
            </w:r>
          </w:p>
        </w:tc>
      </w:tr>
      <w:tr w:rsidR="00FE6156" w:rsidRPr="009B5839" w14:paraId="5658A4A2" w14:textId="77777777" w:rsidTr="009C65DE">
        <w:trPr>
          <w:trHeight w:val="1516"/>
        </w:trPr>
        <w:tc>
          <w:tcPr>
            <w:tcW w:w="9066" w:type="dxa"/>
          </w:tcPr>
          <w:p w14:paraId="3696E840" w14:textId="5C64DFDD" w:rsidR="00FE6156" w:rsidRPr="00CE3E5E" w:rsidRDefault="00291B23" w:rsidP="00291B23">
            <w:pPr>
              <w:pStyle w:val="TableParagraph"/>
              <w:spacing w:before="3" w:line="239" w:lineRule="exact"/>
              <w:ind w:left="0"/>
              <w:jc w:val="both"/>
              <w:rPr>
                <w:rFonts w:ascii="Aptos" w:hAnsi="Aptos"/>
                <w:bCs/>
              </w:rPr>
            </w:pPr>
            <w:r w:rsidRPr="00291B23">
              <w:rPr>
                <w:rFonts w:ascii="Aptos" w:hAnsi="Aptos"/>
                <w:bCs/>
              </w:rPr>
              <w:t>The European Commission has made a range of funding instruments available to drive forward a socio-ecological transformation throughout the economic system and communities. However, many of these subsidies are aimed at niche innovations and end-of-pipe projects at the end of the value chain in order to realise potential emission savings. This concentration on emission savings for actors and projects at the end of the value chain is an inefficient and ineffective approach to achieving climate targets. The establishment of sustainable industries and economic sectors in the Union is contingent upon investment in infrastructure. For instance, the expansion of digital infrastructure (e.g. broadband) or rail infrastructure represents a crucial foundation. It is therefore crucial that funding is made available at the earliest stage of the value chain. These funds should be directed towards the stakeholders who have been fulfilling the social mandate for a fair and ecological life in their respective fields of activity for decades. It is essential to provide better and more effective support to services of general interest and their companies in order to enable them to fulfil their vital task. This is the only way to ensure that the socio-ecological transformation is fair and sustainable.</w:t>
            </w:r>
          </w:p>
        </w:tc>
      </w:tr>
    </w:tbl>
    <w:p w14:paraId="21B0BC56" w14:textId="77777777" w:rsidR="00FE6156" w:rsidRDefault="00FE6156" w:rsidP="00FE6156">
      <w:pPr>
        <w:rPr>
          <w:rFonts w:ascii="Aptos" w:hAnsi="Aptos"/>
        </w:rPr>
      </w:pPr>
    </w:p>
    <w:p w14:paraId="1435EEC9" w14:textId="77777777" w:rsidR="00FE6156" w:rsidRDefault="00FE6156" w:rsidP="00FE6156">
      <w:pPr>
        <w:rPr>
          <w:rFonts w:ascii="Aptos" w:hAnsi="Aptos"/>
        </w:rPr>
      </w:pPr>
    </w:p>
    <w:p w14:paraId="741649B1" w14:textId="77777777" w:rsidR="00FE6156" w:rsidRPr="009B5839" w:rsidRDefault="00FE6156" w:rsidP="00FE6156">
      <w:pPr>
        <w:rPr>
          <w:rFonts w:ascii="Aptos" w:hAnsi="Aptos"/>
        </w:rPr>
        <w:sectPr w:rsidR="00FE6156" w:rsidRPr="009B5839" w:rsidSect="00FE6156">
          <w:pgSz w:w="11910" w:h="16840"/>
          <w:pgMar w:top="1920" w:right="0" w:bottom="1360" w:left="0" w:header="472" w:footer="1161" w:gutter="0"/>
          <w:cols w:space="720"/>
        </w:sectPr>
      </w:pPr>
    </w:p>
    <w:p w14:paraId="33B0F318" w14:textId="77777777" w:rsidR="00FE6156" w:rsidRDefault="00FE6156" w:rsidP="00FE6156">
      <w:pPr>
        <w:rPr>
          <w:rFonts w:ascii="Aptos" w:hAnsi="Aptos"/>
          <w:sz w:val="20"/>
        </w:rPr>
      </w:pPr>
    </w:p>
    <w:p w14:paraId="3BB0FBD3" w14:textId="77777777" w:rsidR="00291B23" w:rsidRPr="009B5839" w:rsidRDefault="00291B23" w:rsidP="00FE6156">
      <w:pPr>
        <w:rPr>
          <w:rFonts w:ascii="Aptos" w:hAnsi="Aptos"/>
          <w:sz w:val="20"/>
        </w:rPr>
      </w:pPr>
    </w:p>
    <w:p w14:paraId="6899A665" w14:textId="24ED149A" w:rsidR="00FE6156" w:rsidRPr="009B5839" w:rsidRDefault="004541EB" w:rsidP="00291B23">
      <w:pPr>
        <w:pStyle w:val="Heading2"/>
        <w:ind w:left="696" w:firstLine="720"/>
        <w:rPr>
          <w:rFonts w:ascii="Aptos" w:hAnsi="Aptos"/>
          <w:sz w:val="20"/>
        </w:rPr>
      </w:pPr>
      <w:bookmarkStart w:id="99" w:name="_Toc168584214"/>
      <w:r>
        <w:rPr>
          <w:rFonts w:ascii="Aptos" w:hAnsi="Aptos"/>
          <w:b/>
          <w:bCs/>
          <w:color w:val="FF0000"/>
          <w:sz w:val="24"/>
          <w:szCs w:val="24"/>
        </w:rPr>
        <w:t>The i</w:t>
      </w:r>
      <w:r w:rsidRPr="004541EB">
        <w:rPr>
          <w:rFonts w:ascii="Aptos" w:hAnsi="Aptos"/>
          <w:b/>
          <w:bCs/>
          <w:color w:val="FF0000"/>
          <w:sz w:val="24"/>
          <w:szCs w:val="24"/>
        </w:rPr>
        <w:t>mportance of the EIB for climate-protecting infrastructure investments</w:t>
      </w:r>
      <w:bookmarkEnd w:id="99"/>
    </w:p>
    <w:p w14:paraId="6991511F" w14:textId="77777777" w:rsidR="00FE6156" w:rsidRPr="009B5839" w:rsidRDefault="00FE6156" w:rsidP="00FE6156">
      <w:pPr>
        <w:pStyle w:val="BodyText"/>
        <w:spacing w:before="10"/>
        <w:rPr>
          <w:rFonts w:ascii="Aptos" w:hAnsi="Aptos"/>
          <w:sz w:val="16"/>
        </w:rPr>
      </w:pPr>
    </w:p>
    <w:tbl>
      <w:tblPr>
        <w:tblStyle w:val="TableNormal1"/>
        <w:tblW w:w="0" w:type="auto"/>
        <w:tblInd w:w="1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FE6156" w:rsidRPr="009B5839" w14:paraId="289AE009" w14:textId="77777777" w:rsidTr="009C65DE">
        <w:trPr>
          <w:trHeight w:val="273"/>
        </w:trPr>
        <w:tc>
          <w:tcPr>
            <w:tcW w:w="9066" w:type="dxa"/>
            <w:shd w:val="clear" w:color="auto" w:fill="D9D9D9"/>
          </w:tcPr>
          <w:p w14:paraId="06E209B4" w14:textId="77777777" w:rsidR="00FE6156" w:rsidRPr="009B5839" w:rsidRDefault="00FE6156" w:rsidP="009C65DE">
            <w:pPr>
              <w:pStyle w:val="TableParagraph"/>
              <w:spacing w:line="253" w:lineRule="exact"/>
              <w:rPr>
                <w:rFonts w:ascii="Aptos" w:hAnsi="Aptos"/>
                <w:b/>
                <w:sz w:val="24"/>
              </w:rPr>
            </w:pPr>
            <w:r w:rsidRPr="004D0DD6">
              <w:rPr>
                <w:rFonts w:ascii="Aptos" w:hAnsi="Aptos"/>
                <w:b/>
                <w:szCs w:val="20"/>
              </w:rPr>
              <w:t>Question</w:t>
            </w:r>
          </w:p>
        </w:tc>
      </w:tr>
      <w:tr w:rsidR="00FE6156" w:rsidRPr="009B5839" w14:paraId="6138E833" w14:textId="77777777" w:rsidTr="009C65DE">
        <w:trPr>
          <w:trHeight w:val="2025"/>
        </w:trPr>
        <w:tc>
          <w:tcPr>
            <w:tcW w:w="9066" w:type="dxa"/>
          </w:tcPr>
          <w:p w14:paraId="58918219" w14:textId="640C2BD0" w:rsidR="00FE6156" w:rsidRPr="009B5839" w:rsidRDefault="003C05D9" w:rsidP="009C65DE">
            <w:pPr>
              <w:pStyle w:val="TableParagraph"/>
              <w:ind w:right="98"/>
              <w:jc w:val="both"/>
              <w:rPr>
                <w:rFonts w:ascii="Aptos" w:hAnsi="Aptos"/>
                <w:b/>
              </w:rPr>
            </w:pPr>
            <w:r w:rsidRPr="003C05D9">
              <w:rPr>
                <w:rFonts w:ascii="Aptos" w:hAnsi="Aptos"/>
              </w:rPr>
              <w:t xml:space="preserve">The European Investment Bank is the development and investment bank of the EU Member States. It is the largest multilateral financing institution in the world and the most important financier for climate protection within and outside the European Single Market. The European Green Deal aims to make the European economy sustainable and fair. To achieve this goal effectively, quickly and in a socially just manner, enormous financial resources are required in the form of grants and loans, which can be pooled and distributed only across the EU. </w:t>
            </w:r>
            <w:r w:rsidRPr="003C05D9">
              <w:rPr>
                <w:rFonts w:ascii="Aptos" w:hAnsi="Aptos"/>
                <w:b/>
                <w:bCs/>
              </w:rPr>
              <w:t>What significance does the EIB have for climate-protecting infrastructure investments in Europe and what measures do you want to take to strengthen the EIB's scope of action in this area?</w:t>
            </w:r>
            <w:r w:rsidRPr="003C05D9">
              <w:rPr>
                <w:rFonts w:ascii="Aptos" w:hAnsi="Aptos"/>
              </w:rPr>
              <w:t xml:space="preserve">  </w:t>
            </w:r>
          </w:p>
        </w:tc>
      </w:tr>
      <w:tr w:rsidR="00FE6156" w:rsidRPr="009B5839" w14:paraId="6F5BDD1E" w14:textId="77777777" w:rsidTr="009C65DE">
        <w:trPr>
          <w:trHeight w:val="278"/>
        </w:trPr>
        <w:tc>
          <w:tcPr>
            <w:tcW w:w="9066" w:type="dxa"/>
            <w:shd w:val="clear" w:color="auto" w:fill="D9D9D9"/>
          </w:tcPr>
          <w:p w14:paraId="5F30D4AD" w14:textId="77777777" w:rsidR="00FE6156" w:rsidRPr="009B5839" w:rsidRDefault="00FE6156" w:rsidP="009C65DE">
            <w:pPr>
              <w:pStyle w:val="TableParagraph"/>
              <w:spacing w:line="258" w:lineRule="exact"/>
              <w:rPr>
                <w:rFonts w:ascii="Aptos" w:hAnsi="Aptos"/>
                <w:b/>
                <w:sz w:val="24"/>
              </w:rPr>
            </w:pPr>
            <w:r>
              <w:rPr>
                <w:rFonts w:ascii="Aptos" w:hAnsi="Aptos"/>
                <w:b/>
              </w:rPr>
              <w:t>Further questions</w:t>
            </w:r>
          </w:p>
        </w:tc>
      </w:tr>
      <w:tr w:rsidR="00FE6156" w:rsidRPr="009B5839" w14:paraId="33B6C2EB" w14:textId="77777777" w:rsidTr="009C65DE">
        <w:trPr>
          <w:trHeight w:val="1022"/>
        </w:trPr>
        <w:tc>
          <w:tcPr>
            <w:tcW w:w="9066" w:type="dxa"/>
          </w:tcPr>
          <w:p w14:paraId="5F5F29C4" w14:textId="6A36B6C6" w:rsidR="003C05D9" w:rsidRPr="00291B23" w:rsidRDefault="003C05D9" w:rsidP="003C05D9">
            <w:pPr>
              <w:pStyle w:val="TableParagraph"/>
              <w:numPr>
                <w:ilvl w:val="0"/>
                <w:numId w:val="37"/>
              </w:numPr>
              <w:tabs>
                <w:tab w:val="left" w:pos="826"/>
              </w:tabs>
              <w:spacing w:before="115"/>
              <w:ind w:right="96"/>
              <w:jc w:val="both"/>
              <w:rPr>
                <w:rFonts w:ascii="Aptos" w:hAnsi="Aptos"/>
              </w:rPr>
            </w:pPr>
            <w:r w:rsidRPr="00291B23">
              <w:rPr>
                <w:rFonts w:ascii="Aptos" w:hAnsi="Aptos"/>
              </w:rPr>
              <w:t>What other initiatives and EU programs are you planning to ensure a socially just transition to a climate-neutral Europe?</w:t>
            </w:r>
          </w:p>
          <w:p w14:paraId="2A84622B" w14:textId="6028A625" w:rsidR="00FE6156" w:rsidRPr="002850BF" w:rsidRDefault="003C05D9" w:rsidP="003C05D9">
            <w:pPr>
              <w:pStyle w:val="TableParagraph"/>
              <w:numPr>
                <w:ilvl w:val="0"/>
                <w:numId w:val="37"/>
              </w:numPr>
              <w:tabs>
                <w:tab w:val="left" w:pos="826"/>
              </w:tabs>
              <w:spacing w:before="115"/>
              <w:ind w:right="96"/>
              <w:jc w:val="both"/>
              <w:rPr>
                <w:rFonts w:ascii="Aptos" w:hAnsi="Aptos"/>
                <w:spacing w:val="-5"/>
              </w:rPr>
            </w:pPr>
            <w:r w:rsidRPr="00291B23">
              <w:rPr>
                <w:rFonts w:ascii="Aptos" w:hAnsi="Aptos"/>
              </w:rPr>
              <w:t>Do you intend to increase the EIB's capital to strengthen its role and make it more resilient to financial crises?</w:t>
            </w:r>
          </w:p>
        </w:tc>
      </w:tr>
    </w:tbl>
    <w:p w14:paraId="641424ED" w14:textId="77777777" w:rsidR="00FE6156" w:rsidRDefault="00FE6156" w:rsidP="00FE6156">
      <w:pPr>
        <w:rPr>
          <w:rFonts w:ascii="Aptos" w:hAnsi="Aptos"/>
        </w:rPr>
      </w:pPr>
    </w:p>
    <w:tbl>
      <w:tblPr>
        <w:tblStyle w:val="TableNormal1"/>
        <w:tblW w:w="0" w:type="auto"/>
        <w:tblInd w:w="1426" w:type="dxa"/>
        <w:tblLayout w:type="fixed"/>
        <w:tblLook w:val="01E0" w:firstRow="1" w:lastRow="1" w:firstColumn="1" w:lastColumn="1" w:noHBand="0" w:noVBand="0"/>
      </w:tblPr>
      <w:tblGrid>
        <w:gridCol w:w="9066"/>
      </w:tblGrid>
      <w:tr w:rsidR="00FE6156" w:rsidRPr="009B5839" w14:paraId="791448EC" w14:textId="77777777" w:rsidTr="009C65DE">
        <w:trPr>
          <w:trHeight w:val="277"/>
        </w:trPr>
        <w:tc>
          <w:tcPr>
            <w:tcW w:w="9066" w:type="dxa"/>
            <w:shd w:val="clear" w:color="auto" w:fill="D9D9D9"/>
          </w:tcPr>
          <w:p w14:paraId="73D9796D" w14:textId="4716E58C" w:rsidR="00FE6156" w:rsidRPr="009B5839" w:rsidRDefault="00FE6156" w:rsidP="00291B23">
            <w:pPr>
              <w:pStyle w:val="TableParagraph"/>
              <w:spacing w:line="258" w:lineRule="exact"/>
              <w:ind w:left="0"/>
              <w:rPr>
                <w:rFonts w:ascii="Aptos" w:hAnsi="Aptos"/>
                <w:b/>
                <w:sz w:val="24"/>
              </w:rPr>
            </w:pPr>
            <w:r w:rsidRPr="004D0DD6">
              <w:rPr>
                <w:rFonts w:ascii="Aptos" w:hAnsi="Aptos"/>
                <w:b/>
                <w:szCs w:val="20"/>
              </w:rPr>
              <w:t>Back</w:t>
            </w:r>
            <w:r w:rsidR="00291B23" w:rsidRPr="004D0DD6">
              <w:rPr>
                <w:rFonts w:ascii="Aptos" w:hAnsi="Aptos"/>
                <w:b/>
                <w:szCs w:val="20"/>
              </w:rPr>
              <w:t>g</w:t>
            </w:r>
            <w:r w:rsidRPr="004D0DD6">
              <w:rPr>
                <w:rFonts w:ascii="Aptos" w:hAnsi="Aptos"/>
                <w:b/>
                <w:szCs w:val="20"/>
              </w:rPr>
              <w:t>round</w:t>
            </w:r>
          </w:p>
        </w:tc>
      </w:tr>
      <w:tr w:rsidR="00FE6156" w:rsidRPr="009B5839" w14:paraId="5B15B830" w14:textId="77777777" w:rsidTr="009C65DE">
        <w:trPr>
          <w:trHeight w:val="1516"/>
        </w:trPr>
        <w:tc>
          <w:tcPr>
            <w:tcW w:w="9066" w:type="dxa"/>
          </w:tcPr>
          <w:p w14:paraId="6D150961" w14:textId="3CC9183B" w:rsidR="00FE6156" w:rsidRPr="00CE3E5E" w:rsidRDefault="00291B23" w:rsidP="00291B23">
            <w:pPr>
              <w:pStyle w:val="TableParagraph"/>
              <w:spacing w:before="3" w:line="239" w:lineRule="exact"/>
              <w:ind w:left="0"/>
              <w:jc w:val="both"/>
              <w:rPr>
                <w:rFonts w:ascii="Aptos" w:hAnsi="Aptos"/>
                <w:bCs/>
              </w:rPr>
            </w:pPr>
            <w:r w:rsidRPr="00291B23">
              <w:rPr>
                <w:rFonts w:ascii="Aptos" w:hAnsi="Aptos"/>
                <w:bCs/>
              </w:rPr>
              <w:t>The shareholders of the European Investment Bank are the 27 Member States of the European Union. EU Member States are eligible for financing from the Bank without restriction or geographical or sectoral quotas. The EIB is the climate bank of the European Union. In this capacity, it provides funding and expertise for economically, technically, financially and environmentally viable investment projects in Europe and beyond, which contribute to the EU's policy objectives and priorities. In pursuing its objectives, the EIB is financially independent and raises the majority of its lending on the international capital markets through the issuance of bonds. The ongoing pandemic, energy crisis and Russia's war of aggression have led to a loss of confidence among economic actors in the Single Market, which has in turn hindered investment in the socio-ecological transition. It is therefore prudent to consolidate EU-wide resources and make European projects accessible to citizens in pursuit of a climate-neutral EU, regardless of political controversies and market fluctuations. This also includes expanding the European Investment Bank's scope of action so that it can withstand future financial crises and provide more start-up financing for climate-friendly infrastructure investments.</w:t>
            </w:r>
          </w:p>
        </w:tc>
      </w:tr>
    </w:tbl>
    <w:p w14:paraId="6B47DD48" w14:textId="77777777" w:rsidR="00FE6156" w:rsidRDefault="00FE6156" w:rsidP="00FE6156">
      <w:pPr>
        <w:rPr>
          <w:rFonts w:ascii="Aptos" w:hAnsi="Aptos"/>
        </w:rPr>
      </w:pPr>
    </w:p>
    <w:p w14:paraId="3F00F6D0" w14:textId="77777777" w:rsidR="00FE6156" w:rsidRDefault="00FE6156" w:rsidP="00FE6156">
      <w:pPr>
        <w:rPr>
          <w:rFonts w:ascii="Aptos" w:hAnsi="Aptos"/>
        </w:rPr>
      </w:pPr>
    </w:p>
    <w:p w14:paraId="23095385" w14:textId="77777777" w:rsidR="00FE6156" w:rsidRPr="009B5839" w:rsidRDefault="00FE6156" w:rsidP="00FE6156">
      <w:pPr>
        <w:rPr>
          <w:rFonts w:ascii="Aptos" w:hAnsi="Aptos"/>
        </w:rPr>
        <w:sectPr w:rsidR="00FE6156" w:rsidRPr="009B5839" w:rsidSect="00FE6156">
          <w:pgSz w:w="11910" w:h="16840"/>
          <w:pgMar w:top="1920" w:right="0" w:bottom="1360" w:left="0" w:header="472" w:footer="1161" w:gutter="0"/>
          <w:cols w:space="720"/>
        </w:sectPr>
      </w:pPr>
    </w:p>
    <w:p w14:paraId="75B173B6" w14:textId="77777777" w:rsidR="00FE6156" w:rsidRPr="009B5839" w:rsidRDefault="00FE6156">
      <w:pPr>
        <w:rPr>
          <w:rFonts w:ascii="Aptos" w:hAnsi="Aptos"/>
          <w:sz w:val="20"/>
        </w:rPr>
      </w:pPr>
    </w:p>
    <w:p w14:paraId="27E4D358" w14:textId="77777777" w:rsidR="003B777E" w:rsidRPr="009B5839" w:rsidRDefault="003B777E">
      <w:pPr>
        <w:spacing w:before="11"/>
        <w:rPr>
          <w:rFonts w:ascii="Aptos" w:hAnsi="Aptos"/>
          <w:sz w:val="15"/>
        </w:rPr>
      </w:pPr>
    </w:p>
    <w:p w14:paraId="108CA293" w14:textId="5938BC19" w:rsidR="003B777E" w:rsidRPr="009B5839" w:rsidRDefault="002850BF">
      <w:pPr>
        <w:pStyle w:val="Heading1"/>
        <w:rPr>
          <w:rFonts w:ascii="Aptos" w:hAnsi="Aptos"/>
        </w:rPr>
      </w:pPr>
      <w:bookmarkStart w:id="100" w:name="Sub-area_III_-_Digital_policy"/>
      <w:bookmarkStart w:id="101" w:name="_bookmark27"/>
      <w:bookmarkEnd w:id="100"/>
      <w:bookmarkEnd w:id="101"/>
      <w:r>
        <w:rPr>
          <w:rFonts w:ascii="Aptos" w:hAnsi="Aptos"/>
        </w:rPr>
        <w:tab/>
      </w:r>
      <w:bookmarkStart w:id="102" w:name="_Toc168584215"/>
      <w:r w:rsidRPr="009B5839">
        <w:rPr>
          <w:rFonts w:ascii="Aptos" w:hAnsi="Aptos"/>
        </w:rPr>
        <w:t xml:space="preserve">Subsection </w:t>
      </w:r>
      <w:r>
        <w:rPr>
          <w:rFonts w:ascii="Aptos" w:hAnsi="Aptos"/>
        </w:rPr>
        <w:t>I</w:t>
      </w:r>
      <w:r w:rsidRPr="009B5839">
        <w:rPr>
          <w:rFonts w:ascii="Aptos" w:hAnsi="Aptos"/>
        </w:rPr>
        <w:t>I</w:t>
      </w:r>
      <w:r>
        <w:rPr>
          <w:rFonts w:ascii="Aptos" w:hAnsi="Aptos"/>
        </w:rPr>
        <w:t xml:space="preserve">I </w:t>
      </w:r>
      <w:r w:rsidRPr="009B5839">
        <w:rPr>
          <w:rFonts w:ascii="Aptos" w:hAnsi="Aptos"/>
        </w:rPr>
        <w:t>-</w:t>
      </w:r>
      <w:r w:rsidRPr="009B5839">
        <w:rPr>
          <w:rFonts w:ascii="Aptos" w:hAnsi="Aptos"/>
          <w:spacing w:val="-2"/>
        </w:rPr>
        <w:t xml:space="preserve"> </w:t>
      </w:r>
      <w:r w:rsidRPr="009B5839">
        <w:rPr>
          <w:rFonts w:ascii="Aptos" w:hAnsi="Aptos"/>
        </w:rPr>
        <w:t>Digital</w:t>
      </w:r>
      <w:r w:rsidRPr="009B5839">
        <w:rPr>
          <w:rFonts w:ascii="Aptos" w:hAnsi="Aptos"/>
          <w:spacing w:val="-4"/>
        </w:rPr>
        <w:t xml:space="preserve"> </w:t>
      </w:r>
      <w:r w:rsidRPr="009B5839">
        <w:rPr>
          <w:rFonts w:ascii="Aptos" w:hAnsi="Aptos"/>
        </w:rPr>
        <w:t>policy</w:t>
      </w:r>
      <w:bookmarkEnd w:id="102"/>
    </w:p>
    <w:p w14:paraId="7E459F71" w14:textId="77777777" w:rsidR="003B777E" w:rsidRPr="009B5839" w:rsidRDefault="003B777E">
      <w:pPr>
        <w:pStyle w:val="BodyText"/>
        <w:spacing w:before="5"/>
        <w:rPr>
          <w:rFonts w:ascii="Aptos" w:hAnsi="Aptos"/>
          <w:sz w:val="34"/>
        </w:rPr>
      </w:pPr>
    </w:p>
    <w:p w14:paraId="50029B2D" w14:textId="18B0D2EB" w:rsidR="003B777E" w:rsidRPr="000E5FB9" w:rsidRDefault="00000000" w:rsidP="000E5FB9">
      <w:pPr>
        <w:pStyle w:val="Heading2"/>
        <w:ind w:left="696" w:firstLine="720"/>
        <w:rPr>
          <w:rFonts w:ascii="Aptos" w:hAnsi="Aptos"/>
          <w:b/>
          <w:bCs/>
          <w:color w:val="FF0000"/>
          <w:sz w:val="24"/>
          <w:szCs w:val="24"/>
        </w:rPr>
      </w:pPr>
      <w:bookmarkStart w:id="103" w:name="Market_distortions_due_to_reviews_in_the"/>
      <w:bookmarkStart w:id="104" w:name="_bookmark28"/>
      <w:bookmarkStart w:id="105" w:name="_Toc168584216"/>
      <w:bookmarkStart w:id="106" w:name="_Hlk170394274"/>
      <w:bookmarkEnd w:id="103"/>
      <w:bookmarkEnd w:id="104"/>
      <w:r w:rsidRPr="000E5FB9">
        <w:rPr>
          <w:rFonts w:ascii="Aptos" w:hAnsi="Aptos"/>
          <w:b/>
          <w:bCs/>
          <w:color w:val="FF0000"/>
          <w:sz w:val="24"/>
          <w:szCs w:val="24"/>
        </w:rPr>
        <w:t>Market distortions due to the platform economy</w:t>
      </w:r>
      <w:bookmarkEnd w:id="105"/>
    </w:p>
    <w:p w14:paraId="0F07E132" w14:textId="77777777" w:rsidR="003B777E" w:rsidRPr="009B5839" w:rsidRDefault="003B777E">
      <w:pPr>
        <w:pStyle w:val="BodyText"/>
        <w:rPr>
          <w:rFonts w:ascii="Aptos" w:hAnsi="Aptos"/>
          <w:sz w:val="20"/>
        </w:rPr>
      </w:pPr>
    </w:p>
    <w:p w14:paraId="3C56F875" w14:textId="77777777" w:rsidR="003B777E" w:rsidRPr="009B5839" w:rsidRDefault="003B777E">
      <w:pPr>
        <w:pStyle w:val="BodyText"/>
        <w:spacing w:before="3"/>
        <w:rPr>
          <w:rFonts w:ascii="Aptos" w:hAnsi="Aptos"/>
          <w:sz w:val="15"/>
        </w:rPr>
      </w:pPr>
    </w:p>
    <w:tbl>
      <w:tblPr>
        <w:tblStyle w:val="TableNormal1"/>
        <w:tblW w:w="0" w:type="auto"/>
        <w:tblInd w:w="1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3B777E" w:rsidRPr="009B5839" w14:paraId="12A92F52" w14:textId="77777777">
        <w:trPr>
          <w:trHeight w:val="489"/>
        </w:trPr>
        <w:tc>
          <w:tcPr>
            <w:tcW w:w="9066" w:type="dxa"/>
            <w:shd w:val="clear" w:color="auto" w:fill="D9D9D9"/>
          </w:tcPr>
          <w:p w14:paraId="6F866A4E" w14:textId="77777777" w:rsidR="003B777E" w:rsidRPr="009B5839" w:rsidRDefault="00000000">
            <w:pPr>
              <w:pStyle w:val="TableParagraph"/>
              <w:spacing w:before="115"/>
              <w:rPr>
                <w:rFonts w:ascii="Aptos" w:hAnsi="Aptos"/>
                <w:b/>
              </w:rPr>
            </w:pPr>
            <w:r w:rsidRPr="009B5839">
              <w:rPr>
                <w:rFonts w:ascii="Aptos" w:hAnsi="Aptos"/>
                <w:b/>
              </w:rPr>
              <w:t>Question</w:t>
            </w:r>
          </w:p>
        </w:tc>
      </w:tr>
      <w:tr w:rsidR="003B777E" w:rsidRPr="009B5839" w14:paraId="481F53ED" w14:textId="77777777">
        <w:trPr>
          <w:trHeight w:val="1761"/>
        </w:trPr>
        <w:tc>
          <w:tcPr>
            <w:tcW w:w="9066" w:type="dxa"/>
          </w:tcPr>
          <w:p w14:paraId="7F890F5D" w14:textId="45A011AB" w:rsidR="003B777E" w:rsidRPr="009B5839" w:rsidRDefault="002850BF">
            <w:pPr>
              <w:pStyle w:val="TableParagraph"/>
              <w:spacing w:before="120"/>
              <w:ind w:right="92"/>
              <w:jc w:val="both"/>
              <w:rPr>
                <w:rFonts w:ascii="Aptos" w:hAnsi="Aptos"/>
                <w:b/>
              </w:rPr>
            </w:pPr>
            <w:r w:rsidRPr="002850BF">
              <w:rPr>
                <w:rFonts w:ascii="Aptos" w:hAnsi="Aptos"/>
              </w:rPr>
              <w:t xml:space="preserve">Many customers in the EU make their purchasing decisions based on so-called product and company ratings (e.g. reviews on Amazon, Google). These platforms are even used to make decisions about public services and public spaces (e.g. Google Maps). Manipulation and a lack of consistent rules can lead to market distortions. </w:t>
            </w:r>
            <w:r w:rsidRPr="002850BF">
              <w:rPr>
                <w:rFonts w:ascii="Aptos" w:hAnsi="Aptos"/>
                <w:b/>
                <w:bCs/>
              </w:rPr>
              <w:t>What initiatives are you planning to ensure that reviews on digital platforms do not lead to market distortions or manipulation?</w:t>
            </w:r>
          </w:p>
        </w:tc>
      </w:tr>
      <w:tr w:rsidR="003B777E" w:rsidRPr="009B5839" w14:paraId="590DAA3C" w14:textId="77777777">
        <w:trPr>
          <w:trHeight w:val="489"/>
        </w:trPr>
        <w:tc>
          <w:tcPr>
            <w:tcW w:w="9066" w:type="dxa"/>
            <w:shd w:val="clear" w:color="auto" w:fill="D9D9D9"/>
          </w:tcPr>
          <w:p w14:paraId="74E38FB9" w14:textId="6A6A4828" w:rsidR="003B777E" w:rsidRPr="009B5839" w:rsidRDefault="00F95277">
            <w:pPr>
              <w:pStyle w:val="TableParagraph"/>
              <w:spacing w:before="115"/>
              <w:rPr>
                <w:rFonts w:ascii="Aptos" w:hAnsi="Aptos"/>
                <w:b/>
              </w:rPr>
            </w:pPr>
            <w:r>
              <w:rPr>
                <w:rFonts w:ascii="Aptos" w:hAnsi="Aptos"/>
                <w:b/>
              </w:rPr>
              <w:t>Further questions</w:t>
            </w:r>
          </w:p>
        </w:tc>
      </w:tr>
      <w:tr w:rsidR="003B777E" w:rsidRPr="009B5839" w14:paraId="0B3D313B" w14:textId="77777777">
        <w:trPr>
          <w:trHeight w:val="748"/>
        </w:trPr>
        <w:tc>
          <w:tcPr>
            <w:tcW w:w="9066" w:type="dxa"/>
          </w:tcPr>
          <w:p w14:paraId="7C48ADB7" w14:textId="5249C9FA" w:rsidR="003B777E" w:rsidRPr="009B5839" w:rsidRDefault="002850BF">
            <w:pPr>
              <w:pStyle w:val="TableParagraph"/>
              <w:numPr>
                <w:ilvl w:val="0"/>
                <w:numId w:val="12"/>
              </w:numPr>
              <w:tabs>
                <w:tab w:val="left" w:pos="831"/>
              </w:tabs>
              <w:spacing w:before="120"/>
              <w:ind w:right="97"/>
              <w:rPr>
                <w:rFonts w:ascii="Aptos" w:hAnsi="Aptos"/>
              </w:rPr>
            </w:pPr>
            <w:r w:rsidRPr="002850BF">
              <w:rPr>
                <w:rFonts w:ascii="Aptos" w:hAnsi="Aptos"/>
              </w:rPr>
              <w:t xml:space="preserve">Are you planning a White or Green Paper on discrimination against European brands and companies in the </w:t>
            </w:r>
            <w:r w:rsidR="008915F0">
              <w:rPr>
                <w:rFonts w:ascii="Aptos" w:hAnsi="Aptos"/>
              </w:rPr>
              <w:t>Single</w:t>
            </w:r>
            <w:r w:rsidRPr="002850BF">
              <w:rPr>
                <w:rFonts w:ascii="Aptos" w:hAnsi="Aptos"/>
              </w:rPr>
              <w:t xml:space="preserve"> Market?</w:t>
            </w:r>
          </w:p>
        </w:tc>
      </w:tr>
    </w:tbl>
    <w:p w14:paraId="0293BD98" w14:textId="4EF92EC6" w:rsidR="003B777E" w:rsidRPr="00313602" w:rsidRDefault="003B777E" w:rsidP="00313602">
      <w:pPr>
        <w:pStyle w:val="TableParagraph"/>
        <w:spacing w:line="258" w:lineRule="exact"/>
        <w:ind w:left="0"/>
        <w:rPr>
          <w:rFonts w:ascii="Aptos" w:hAnsi="Aptos"/>
          <w:bCs/>
          <w:szCs w:val="20"/>
        </w:rPr>
      </w:pPr>
    </w:p>
    <w:tbl>
      <w:tblPr>
        <w:tblStyle w:val="TableNormal1"/>
        <w:tblW w:w="0" w:type="auto"/>
        <w:tblInd w:w="1426" w:type="dxa"/>
        <w:tblLayout w:type="fixed"/>
        <w:tblLook w:val="01E0" w:firstRow="1" w:lastRow="1" w:firstColumn="1" w:lastColumn="1" w:noHBand="0" w:noVBand="0"/>
      </w:tblPr>
      <w:tblGrid>
        <w:gridCol w:w="9066"/>
      </w:tblGrid>
      <w:tr w:rsidR="00313602" w:rsidRPr="009B5839" w14:paraId="78FC9774" w14:textId="77777777" w:rsidTr="0066677D">
        <w:trPr>
          <w:trHeight w:val="277"/>
        </w:trPr>
        <w:tc>
          <w:tcPr>
            <w:tcW w:w="9066" w:type="dxa"/>
            <w:shd w:val="clear" w:color="auto" w:fill="D9D9D9"/>
          </w:tcPr>
          <w:p w14:paraId="2361C62E" w14:textId="77777777" w:rsidR="00313602" w:rsidRPr="009B5839" w:rsidRDefault="00313602" w:rsidP="0066677D">
            <w:pPr>
              <w:pStyle w:val="TableParagraph"/>
              <w:spacing w:line="258" w:lineRule="exact"/>
              <w:ind w:left="0"/>
              <w:rPr>
                <w:rFonts w:ascii="Aptos" w:hAnsi="Aptos"/>
                <w:b/>
                <w:sz w:val="24"/>
              </w:rPr>
            </w:pPr>
            <w:r w:rsidRPr="004D0DD6">
              <w:rPr>
                <w:rFonts w:ascii="Aptos" w:hAnsi="Aptos"/>
                <w:b/>
                <w:szCs w:val="20"/>
              </w:rPr>
              <w:t>Background</w:t>
            </w:r>
          </w:p>
        </w:tc>
      </w:tr>
      <w:tr w:rsidR="00313602" w:rsidRPr="009B5839" w14:paraId="1B61B079" w14:textId="77777777" w:rsidTr="00AE26E1">
        <w:trPr>
          <w:trHeight w:val="5088"/>
        </w:trPr>
        <w:tc>
          <w:tcPr>
            <w:tcW w:w="9066" w:type="dxa"/>
          </w:tcPr>
          <w:p w14:paraId="08F15B43" w14:textId="52816163" w:rsidR="00313602" w:rsidRPr="00313602" w:rsidRDefault="00313602" w:rsidP="00BA3AB9">
            <w:pPr>
              <w:pStyle w:val="TableParagraph"/>
              <w:spacing w:before="3" w:line="239" w:lineRule="exact"/>
              <w:ind w:left="0"/>
              <w:jc w:val="both"/>
              <w:rPr>
                <w:rFonts w:ascii="Aptos" w:hAnsi="Aptos"/>
                <w:bCs/>
              </w:rPr>
            </w:pPr>
            <w:r w:rsidRPr="00313602">
              <w:rPr>
                <w:rFonts w:ascii="Aptos" w:hAnsi="Aptos"/>
                <w:bCs/>
              </w:rPr>
              <w:t xml:space="preserve">Online reviews have become an important decision-making factor for many people when shopping and are very important for customers, companies and public service providers. </w:t>
            </w:r>
            <w:r w:rsidR="007E0FC8">
              <w:rPr>
                <w:rFonts w:ascii="Aptos" w:hAnsi="Aptos"/>
                <w:bCs/>
              </w:rPr>
              <w:t>They</w:t>
            </w:r>
            <w:r w:rsidRPr="00313602">
              <w:rPr>
                <w:rFonts w:ascii="Aptos" w:hAnsi="Aptos"/>
                <w:bCs/>
              </w:rPr>
              <w:t xml:space="preserve"> are a way for many customers to make the professionalism and working methods of the company visible to everyone. On the business side, good customer reviews can increase sales and bad reviews can slow them down. On both sides, however, there is a risk of manipulation and the associated distortion of competition. Private individuals can rate products or services, sometimes anonymously, and thus (deliberately) harm companies and public service providers, as well as sites (e.g. Google Maps). On the other hand, manufacturers, retailers and portals can also get involved in reviews in various ways. The consumer advice center therefore warns of serious distortions of competition due to manipulated reviews.</w:t>
            </w:r>
            <w:r>
              <w:rPr>
                <w:rFonts w:ascii="Aptos" w:hAnsi="Aptos"/>
                <w:bCs/>
              </w:rPr>
              <w:t xml:space="preserve"> </w:t>
            </w:r>
            <w:r w:rsidRPr="00313602">
              <w:rPr>
                <w:rFonts w:ascii="Aptos" w:hAnsi="Aptos"/>
                <w:bCs/>
              </w:rPr>
              <w:t>Directive (EU) 2019/2161 ("Modernization Directive") was dedicated to the advancing digitalization and the resulting digital challenges, which required adjustments to the EU's legal framework. Although the Directive modernized consumer protection regulations within the Union and introduced new statutory transparency obligations, an investigation by the Federation of German Consumer Organizations (vzbv) in spring 2023 revealed major shortcomings in the implementation of these obligations. Furthermore, there are no European regulations that protect companies and public service providers from distortions of competition caused by manipulated ratings. A European solution would lead to greater legal certainty and ensure that both private companies and public service providers remain safe from false negative reviews that are detrimental to business.</w:t>
            </w:r>
          </w:p>
          <w:p w14:paraId="0D4B434E" w14:textId="672B22F9" w:rsidR="00313602" w:rsidRPr="00CE3E5E" w:rsidRDefault="00313602" w:rsidP="00313602">
            <w:pPr>
              <w:pStyle w:val="TableParagraph"/>
              <w:spacing w:before="3" w:line="239" w:lineRule="exact"/>
              <w:jc w:val="both"/>
              <w:rPr>
                <w:rFonts w:ascii="Aptos" w:hAnsi="Aptos"/>
                <w:bCs/>
              </w:rPr>
            </w:pPr>
          </w:p>
        </w:tc>
      </w:tr>
      <w:bookmarkEnd w:id="106"/>
    </w:tbl>
    <w:p w14:paraId="37BF4851" w14:textId="77777777" w:rsidR="00313602" w:rsidRDefault="00313602" w:rsidP="00313602">
      <w:pPr>
        <w:rPr>
          <w:rFonts w:ascii="Aptos" w:hAnsi="Aptos"/>
        </w:rPr>
      </w:pPr>
    </w:p>
    <w:p w14:paraId="209C331E" w14:textId="77777777" w:rsidR="00313602" w:rsidRPr="00313602" w:rsidRDefault="00313602" w:rsidP="00313602">
      <w:pPr>
        <w:rPr>
          <w:rFonts w:ascii="Aptos" w:hAnsi="Aptos"/>
        </w:rPr>
      </w:pPr>
    </w:p>
    <w:p w14:paraId="4D5A6F95" w14:textId="77777777" w:rsidR="00313602" w:rsidRDefault="00313602">
      <w:pPr>
        <w:rPr>
          <w:rFonts w:ascii="Aptos" w:hAnsi="Aptos"/>
        </w:rPr>
      </w:pPr>
    </w:p>
    <w:p w14:paraId="5ED6903D" w14:textId="77777777" w:rsidR="00313602" w:rsidRPr="009B5839" w:rsidRDefault="00313602">
      <w:pPr>
        <w:rPr>
          <w:rFonts w:ascii="Aptos" w:hAnsi="Aptos"/>
        </w:rPr>
        <w:sectPr w:rsidR="00313602" w:rsidRPr="009B5839">
          <w:headerReference w:type="default" r:id="rId18"/>
          <w:footerReference w:type="default" r:id="rId19"/>
          <w:pgSz w:w="11910" w:h="16840"/>
          <w:pgMar w:top="1920" w:right="0" w:bottom="1360" w:left="0" w:header="472" w:footer="1161" w:gutter="0"/>
          <w:cols w:space="720"/>
        </w:sectPr>
      </w:pPr>
    </w:p>
    <w:p w14:paraId="6868514B" w14:textId="77777777" w:rsidR="003B777E" w:rsidRPr="009B5839" w:rsidRDefault="003B777E">
      <w:pPr>
        <w:spacing w:before="4"/>
        <w:rPr>
          <w:rFonts w:ascii="Aptos" w:hAnsi="Aptos"/>
          <w:sz w:val="13"/>
        </w:rPr>
      </w:pPr>
    </w:p>
    <w:p w14:paraId="2BF775A2" w14:textId="4EA6A489" w:rsidR="002850BF" w:rsidRDefault="002850BF">
      <w:pPr>
        <w:pStyle w:val="BodyText"/>
        <w:spacing w:before="92" w:line="242" w:lineRule="auto"/>
        <w:ind w:left="1416" w:right="4459"/>
        <w:rPr>
          <w:rFonts w:ascii="Aptos" w:hAnsi="Aptos"/>
          <w:color w:val="E3342C"/>
        </w:rPr>
      </w:pPr>
    </w:p>
    <w:p w14:paraId="7866BF21" w14:textId="1562E03F" w:rsidR="002850BF" w:rsidRDefault="002850BF">
      <w:pPr>
        <w:pStyle w:val="BodyText"/>
        <w:spacing w:before="92" w:line="242" w:lineRule="auto"/>
        <w:ind w:left="1416" w:right="4459"/>
        <w:rPr>
          <w:rFonts w:ascii="Aptos" w:hAnsi="Aptos"/>
          <w:color w:val="E3342C"/>
        </w:rPr>
      </w:pPr>
    </w:p>
    <w:p w14:paraId="661E3A49" w14:textId="77777777" w:rsidR="00224328" w:rsidRDefault="00224328" w:rsidP="00224328">
      <w:pPr>
        <w:pStyle w:val="BodyText"/>
        <w:spacing w:before="92" w:line="242" w:lineRule="auto"/>
        <w:ind w:left="1416" w:right="4459"/>
        <w:rPr>
          <w:rFonts w:ascii="Aptos" w:hAnsi="Aptos"/>
          <w:color w:val="E3342C"/>
        </w:rPr>
      </w:pPr>
      <w:bookmarkStart w:id="107" w:name="Fiscal_instruments_for_digital_groups_in"/>
      <w:bookmarkStart w:id="108" w:name="_bookmark29"/>
      <w:bookmarkEnd w:id="107"/>
      <w:bookmarkEnd w:id="108"/>
    </w:p>
    <w:p w14:paraId="0503A1FC" w14:textId="50C1CADA" w:rsidR="003B777E" w:rsidRPr="000E5FB9" w:rsidRDefault="00000000" w:rsidP="000E5FB9">
      <w:pPr>
        <w:pStyle w:val="Heading2"/>
        <w:ind w:left="696" w:firstLine="720"/>
        <w:rPr>
          <w:rFonts w:ascii="Aptos" w:hAnsi="Aptos"/>
          <w:b/>
          <w:bCs/>
          <w:color w:val="FF0000"/>
          <w:sz w:val="24"/>
          <w:szCs w:val="24"/>
        </w:rPr>
      </w:pPr>
      <w:bookmarkStart w:id="109" w:name="_Toc168584217"/>
      <w:bookmarkStart w:id="110" w:name="_Hlk170394343"/>
      <w:r w:rsidRPr="000E5FB9">
        <w:rPr>
          <w:rFonts w:ascii="Aptos" w:hAnsi="Aptos"/>
          <w:b/>
          <w:bCs/>
          <w:color w:val="FF0000"/>
          <w:sz w:val="24"/>
          <w:szCs w:val="24"/>
        </w:rPr>
        <w:t xml:space="preserve">Fiscal instruments for digital </w:t>
      </w:r>
      <w:r w:rsidR="00224328" w:rsidRPr="000E5FB9">
        <w:rPr>
          <w:rFonts w:ascii="Aptos" w:hAnsi="Aptos"/>
          <w:b/>
          <w:bCs/>
          <w:color w:val="FF0000"/>
          <w:sz w:val="24"/>
          <w:szCs w:val="24"/>
        </w:rPr>
        <w:t xml:space="preserve">companies </w:t>
      </w:r>
      <w:r w:rsidRPr="000E5FB9">
        <w:rPr>
          <w:rFonts w:ascii="Aptos" w:hAnsi="Aptos"/>
          <w:b/>
          <w:bCs/>
          <w:color w:val="FF0000"/>
          <w:sz w:val="24"/>
          <w:szCs w:val="24"/>
        </w:rPr>
        <w:t xml:space="preserve">in the </w:t>
      </w:r>
      <w:r w:rsidR="00224328" w:rsidRPr="000E5FB9">
        <w:rPr>
          <w:rFonts w:ascii="Aptos" w:hAnsi="Aptos"/>
          <w:b/>
          <w:bCs/>
          <w:color w:val="FF0000"/>
          <w:sz w:val="24"/>
          <w:szCs w:val="24"/>
        </w:rPr>
        <w:t>E</w:t>
      </w:r>
      <w:r w:rsidRPr="000E5FB9">
        <w:rPr>
          <w:rFonts w:ascii="Aptos" w:hAnsi="Aptos"/>
          <w:b/>
          <w:bCs/>
          <w:color w:val="FF0000"/>
          <w:sz w:val="24"/>
          <w:szCs w:val="24"/>
        </w:rPr>
        <w:t>uropean</w:t>
      </w:r>
      <w:r w:rsidR="00224328" w:rsidRPr="000E5FB9">
        <w:rPr>
          <w:rFonts w:ascii="Aptos" w:hAnsi="Aptos"/>
          <w:b/>
          <w:bCs/>
          <w:color w:val="FF0000"/>
          <w:sz w:val="24"/>
          <w:szCs w:val="24"/>
        </w:rPr>
        <w:t xml:space="preserve"> </w:t>
      </w:r>
      <w:r w:rsidRPr="000E5FB9">
        <w:rPr>
          <w:rFonts w:ascii="Aptos" w:hAnsi="Aptos"/>
          <w:b/>
          <w:bCs/>
          <w:color w:val="FF0000"/>
          <w:sz w:val="24"/>
          <w:szCs w:val="24"/>
        </w:rPr>
        <w:t>single market</w:t>
      </w:r>
      <w:bookmarkEnd w:id="109"/>
    </w:p>
    <w:p w14:paraId="7769FE0F" w14:textId="77777777" w:rsidR="003B777E" w:rsidRPr="009B5839" w:rsidRDefault="003B777E">
      <w:pPr>
        <w:pStyle w:val="BodyText"/>
        <w:rPr>
          <w:rFonts w:ascii="Aptos" w:hAnsi="Aptos"/>
          <w:sz w:val="20"/>
        </w:rPr>
      </w:pPr>
    </w:p>
    <w:tbl>
      <w:tblPr>
        <w:tblStyle w:val="TableNormal1"/>
        <w:tblW w:w="0" w:type="auto"/>
        <w:tblInd w:w="14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066"/>
      </w:tblGrid>
      <w:tr w:rsidR="003B777E" w:rsidRPr="009B5839" w14:paraId="14C7AAE4" w14:textId="77777777">
        <w:trPr>
          <w:trHeight w:val="491"/>
        </w:trPr>
        <w:tc>
          <w:tcPr>
            <w:tcW w:w="9066" w:type="dxa"/>
            <w:tcBorders>
              <w:left w:val="single" w:sz="4" w:space="0" w:color="000000"/>
              <w:bottom w:val="single" w:sz="4" w:space="0" w:color="000000"/>
              <w:right w:val="single" w:sz="4" w:space="0" w:color="000000"/>
            </w:tcBorders>
            <w:shd w:val="clear" w:color="auto" w:fill="D9D9D9"/>
          </w:tcPr>
          <w:p w14:paraId="388300EF" w14:textId="77777777" w:rsidR="003B777E" w:rsidRPr="009B5839" w:rsidRDefault="00000000">
            <w:pPr>
              <w:pStyle w:val="TableParagraph"/>
              <w:spacing w:before="112"/>
              <w:rPr>
                <w:rFonts w:ascii="Aptos" w:hAnsi="Aptos"/>
                <w:b/>
              </w:rPr>
            </w:pPr>
            <w:r w:rsidRPr="009B5839">
              <w:rPr>
                <w:rFonts w:ascii="Aptos" w:hAnsi="Aptos"/>
                <w:b/>
              </w:rPr>
              <w:t>Question</w:t>
            </w:r>
          </w:p>
        </w:tc>
      </w:tr>
      <w:tr w:rsidR="003B777E" w:rsidRPr="009B5839" w14:paraId="01424C07" w14:textId="77777777">
        <w:trPr>
          <w:trHeight w:val="1507"/>
        </w:trPr>
        <w:tc>
          <w:tcPr>
            <w:tcW w:w="9066" w:type="dxa"/>
            <w:tcBorders>
              <w:top w:val="single" w:sz="4" w:space="0" w:color="000000"/>
              <w:left w:val="single" w:sz="4" w:space="0" w:color="000000"/>
              <w:bottom w:val="single" w:sz="4" w:space="0" w:color="000000"/>
              <w:right w:val="single" w:sz="4" w:space="0" w:color="000000"/>
            </w:tcBorders>
          </w:tcPr>
          <w:p w14:paraId="4AF3AD0B" w14:textId="5F9C653E" w:rsidR="003B777E" w:rsidRPr="009B5839" w:rsidRDefault="002850BF">
            <w:pPr>
              <w:pStyle w:val="TableParagraph"/>
              <w:spacing w:before="120"/>
              <w:ind w:right="97"/>
              <w:jc w:val="both"/>
              <w:rPr>
                <w:rFonts w:ascii="Aptos" w:hAnsi="Aptos"/>
                <w:b/>
              </w:rPr>
            </w:pPr>
            <w:r w:rsidRPr="002850BF">
              <w:rPr>
                <w:rFonts w:ascii="Aptos" w:hAnsi="Aptos"/>
              </w:rPr>
              <w:t xml:space="preserve">While European companies generally provide location-based services in the Single Market and pay taxes and duties on them, we are seeing an increasing dominance of digital business models that operate in a decentralised and tax-optimised manner. </w:t>
            </w:r>
            <w:r w:rsidRPr="002850BF">
              <w:rPr>
                <w:rFonts w:ascii="Aptos" w:hAnsi="Aptos"/>
                <w:b/>
                <w:bCs/>
              </w:rPr>
              <w:t>What fiscal instruments do you envisage to create a level playing field between the real and the digital economy in terms of tax and duty burdens in the European Single Market?</w:t>
            </w:r>
          </w:p>
        </w:tc>
      </w:tr>
      <w:tr w:rsidR="003B777E" w:rsidRPr="009B5839" w14:paraId="1B238F99" w14:textId="77777777">
        <w:trPr>
          <w:trHeight w:val="489"/>
        </w:trPr>
        <w:tc>
          <w:tcPr>
            <w:tcW w:w="9066" w:type="dxa"/>
            <w:tcBorders>
              <w:top w:val="single" w:sz="4" w:space="0" w:color="000000"/>
              <w:left w:val="single" w:sz="4" w:space="0" w:color="000000"/>
              <w:bottom w:val="single" w:sz="4" w:space="0" w:color="000000"/>
              <w:right w:val="single" w:sz="4" w:space="0" w:color="000000"/>
            </w:tcBorders>
            <w:shd w:val="clear" w:color="auto" w:fill="D9D9D9"/>
          </w:tcPr>
          <w:p w14:paraId="676B5187" w14:textId="34CAFA33" w:rsidR="003B777E" w:rsidRPr="009B5839" w:rsidRDefault="00F95277">
            <w:pPr>
              <w:pStyle w:val="TableParagraph"/>
              <w:spacing w:before="115"/>
              <w:rPr>
                <w:rFonts w:ascii="Aptos" w:hAnsi="Aptos"/>
                <w:b/>
              </w:rPr>
            </w:pPr>
            <w:r>
              <w:rPr>
                <w:rFonts w:ascii="Aptos" w:hAnsi="Aptos"/>
                <w:b/>
              </w:rPr>
              <w:t>Further questions</w:t>
            </w:r>
          </w:p>
        </w:tc>
      </w:tr>
      <w:tr w:rsidR="003B777E" w:rsidRPr="009B5839" w14:paraId="246929C2" w14:textId="77777777">
        <w:trPr>
          <w:trHeight w:val="1277"/>
        </w:trPr>
        <w:tc>
          <w:tcPr>
            <w:tcW w:w="9066" w:type="dxa"/>
            <w:tcBorders>
              <w:top w:val="single" w:sz="4" w:space="0" w:color="000000"/>
              <w:left w:val="single" w:sz="4" w:space="0" w:color="000000"/>
              <w:bottom w:val="single" w:sz="4" w:space="0" w:color="000000"/>
              <w:right w:val="single" w:sz="4" w:space="0" w:color="000000"/>
            </w:tcBorders>
          </w:tcPr>
          <w:p w14:paraId="1089B734" w14:textId="11DD2F59" w:rsidR="002850BF" w:rsidRPr="00200295" w:rsidRDefault="002850BF" w:rsidP="00200295">
            <w:pPr>
              <w:pStyle w:val="TableParagraph"/>
              <w:numPr>
                <w:ilvl w:val="0"/>
                <w:numId w:val="37"/>
              </w:numPr>
              <w:tabs>
                <w:tab w:val="left" w:pos="831"/>
              </w:tabs>
              <w:spacing w:before="115"/>
              <w:ind w:right="96"/>
              <w:jc w:val="both"/>
              <w:rPr>
                <w:rFonts w:ascii="Aptos" w:hAnsi="Aptos"/>
                <w:spacing w:val="-5"/>
              </w:rPr>
            </w:pPr>
            <w:r w:rsidRPr="00200295">
              <w:rPr>
                <w:rFonts w:ascii="Aptos" w:hAnsi="Aptos"/>
                <w:spacing w:val="-5"/>
              </w:rPr>
              <w:t>Are there any plans to change the way digital groups are taxed?</w:t>
            </w:r>
          </w:p>
          <w:p w14:paraId="0E45F1BA" w14:textId="36D7E5E7" w:rsidR="002850BF" w:rsidRPr="00200295" w:rsidRDefault="002850BF" w:rsidP="00200295">
            <w:pPr>
              <w:pStyle w:val="TableParagraph"/>
              <w:numPr>
                <w:ilvl w:val="0"/>
                <w:numId w:val="37"/>
              </w:numPr>
              <w:tabs>
                <w:tab w:val="left" w:pos="831"/>
              </w:tabs>
              <w:spacing w:before="115"/>
              <w:ind w:right="96"/>
              <w:jc w:val="both"/>
              <w:rPr>
                <w:rFonts w:ascii="Aptos" w:hAnsi="Aptos"/>
                <w:spacing w:val="-5"/>
              </w:rPr>
            </w:pPr>
            <w:r w:rsidRPr="00200295">
              <w:rPr>
                <w:rFonts w:ascii="Aptos" w:hAnsi="Aptos"/>
                <w:spacing w:val="-5"/>
              </w:rPr>
              <w:t>Do your plans for taxing the digital economy include differences between small and large companies?</w:t>
            </w:r>
          </w:p>
          <w:p w14:paraId="043FF365" w14:textId="553E70CE" w:rsidR="003B777E" w:rsidRPr="009B5839" w:rsidRDefault="002850BF" w:rsidP="00200295">
            <w:pPr>
              <w:pStyle w:val="TableParagraph"/>
              <w:numPr>
                <w:ilvl w:val="0"/>
                <w:numId w:val="37"/>
              </w:numPr>
              <w:tabs>
                <w:tab w:val="left" w:pos="831"/>
              </w:tabs>
              <w:spacing w:before="115"/>
              <w:ind w:right="96"/>
              <w:jc w:val="both"/>
              <w:rPr>
                <w:rFonts w:ascii="Aptos" w:hAnsi="Aptos"/>
                <w:sz w:val="24"/>
              </w:rPr>
            </w:pPr>
            <w:r w:rsidRPr="00200295">
              <w:rPr>
                <w:rFonts w:ascii="Aptos" w:hAnsi="Aptos"/>
                <w:spacing w:val="-5"/>
              </w:rPr>
              <w:t>What other initiatives do you consider necessary to achieve a fair tax burden for digital companies?</w:t>
            </w:r>
          </w:p>
        </w:tc>
      </w:tr>
    </w:tbl>
    <w:p w14:paraId="7173CD8F" w14:textId="77777777" w:rsidR="003B777E" w:rsidRPr="009B5839" w:rsidRDefault="003B777E">
      <w:pPr>
        <w:pStyle w:val="BodyText"/>
        <w:rPr>
          <w:rFonts w:ascii="Aptos" w:hAnsi="Aptos"/>
        </w:rPr>
      </w:pPr>
    </w:p>
    <w:tbl>
      <w:tblPr>
        <w:tblStyle w:val="TableNormal1"/>
        <w:tblW w:w="0" w:type="auto"/>
        <w:tblInd w:w="1426" w:type="dxa"/>
        <w:tblLayout w:type="fixed"/>
        <w:tblLook w:val="01E0" w:firstRow="1" w:lastRow="1" w:firstColumn="1" w:lastColumn="1" w:noHBand="0" w:noVBand="0"/>
      </w:tblPr>
      <w:tblGrid>
        <w:gridCol w:w="9066"/>
      </w:tblGrid>
      <w:tr w:rsidR="00313602" w:rsidRPr="009B5839" w14:paraId="1EEA9463" w14:textId="77777777" w:rsidTr="0066677D">
        <w:trPr>
          <w:trHeight w:val="277"/>
        </w:trPr>
        <w:tc>
          <w:tcPr>
            <w:tcW w:w="9066" w:type="dxa"/>
            <w:shd w:val="clear" w:color="auto" w:fill="D9D9D9"/>
          </w:tcPr>
          <w:p w14:paraId="3E27FB90" w14:textId="77777777" w:rsidR="00313602" w:rsidRPr="009B5839" w:rsidRDefault="00313602" w:rsidP="0066677D">
            <w:pPr>
              <w:pStyle w:val="TableParagraph"/>
              <w:spacing w:line="258" w:lineRule="exact"/>
              <w:ind w:left="0"/>
              <w:rPr>
                <w:rFonts w:ascii="Aptos" w:hAnsi="Aptos"/>
                <w:b/>
                <w:sz w:val="24"/>
              </w:rPr>
            </w:pPr>
            <w:r>
              <w:rPr>
                <w:rFonts w:ascii="Aptos" w:hAnsi="Aptos"/>
                <w:b/>
                <w:sz w:val="24"/>
              </w:rPr>
              <w:t>Background</w:t>
            </w:r>
          </w:p>
        </w:tc>
      </w:tr>
      <w:tr w:rsidR="00313602" w:rsidRPr="00CE3E5E" w14:paraId="14CD1DA4" w14:textId="77777777" w:rsidTr="0066677D">
        <w:trPr>
          <w:trHeight w:val="1516"/>
        </w:trPr>
        <w:tc>
          <w:tcPr>
            <w:tcW w:w="9066" w:type="dxa"/>
          </w:tcPr>
          <w:p w14:paraId="6EFA5649" w14:textId="1564526B" w:rsidR="00313602" w:rsidRPr="00CE3E5E" w:rsidRDefault="00313602" w:rsidP="00AE26E1">
            <w:pPr>
              <w:pStyle w:val="TableParagraph"/>
              <w:spacing w:before="3" w:line="239" w:lineRule="exact"/>
              <w:ind w:left="0"/>
              <w:jc w:val="both"/>
              <w:rPr>
                <w:rFonts w:ascii="Aptos" w:hAnsi="Aptos"/>
                <w:bCs/>
              </w:rPr>
            </w:pPr>
            <w:r w:rsidRPr="00313602">
              <w:rPr>
                <w:rFonts w:ascii="Aptos" w:hAnsi="Aptos"/>
                <w:bCs/>
              </w:rPr>
              <w:t xml:space="preserve">The digital economy is one of the biggest challenges for tax policy. Digital groups also generate their sales and profits in places where they have no branch or permanent establishment, making taxation difficult and creating distortions of competition. However, large digital groups shift the majority of their profits to tax havens and therefore pay less tax than small and medium-sized enterprises. </w:t>
            </w:r>
            <w:r>
              <w:rPr>
                <w:rFonts w:ascii="Aptos" w:hAnsi="Aptos"/>
                <w:bCs/>
              </w:rPr>
              <w:t>T</w:t>
            </w:r>
            <w:r w:rsidRPr="00313602">
              <w:rPr>
                <w:rFonts w:ascii="Aptos" w:hAnsi="Aptos"/>
                <w:bCs/>
              </w:rPr>
              <w:t>he OECD and the EU have therefore been working for some time on implementing solutions for taxing the digital economy, but no agreement is yet in sight. The EU should revive its proposal to introduce an EU-wide digital tax and develop it further based on the OECD proposal in order to have a ready-to-use option in case the OECD proposal is not ratified. Measures against tax avoidance and profit shifting are urgently needed to create a level playing field between the real and digital economy in the European single market. The EU member states should also strengthen their tax authorities and take targeted action against tax avoidance by large digital corporations. The EU should take coordinating action here, particularly via the European Public Prosecutor's Office.</w:t>
            </w:r>
          </w:p>
        </w:tc>
      </w:tr>
    </w:tbl>
    <w:p w14:paraId="6B86AAD5" w14:textId="77777777" w:rsidR="003B777E" w:rsidRDefault="003B777E">
      <w:pPr>
        <w:rPr>
          <w:rFonts w:ascii="Aptos" w:hAnsi="Aptos"/>
        </w:rPr>
      </w:pPr>
    </w:p>
    <w:p w14:paraId="4FD3EA12" w14:textId="77777777" w:rsidR="00313602" w:rsidRDefault="00313602">
      <w:pPr>
        <w:rPr>
          <w:rFonts w:ascii="Aptos" w:hAnsi="Aptos"/>
        </w:rPr>
      </w:pPr>
    </w:p>
    <w:p w14:paraId="75F5CDAD" w14:textId="77777777" w:rsidR="00313602" w:rsidRDefault="00313602">
      <w:pPr>
        <w:rPr>
          <w:rFonts w:ascii="Aptos" w:hAnsi="Aptos"/>
        </w:rPr>
      </w:pPr>
    </w:p>
    <w:bookmarkEnd w:id="110"/>
    <w:p w14:paraId="7336830F" w14:textId="2C2F079A" w:rsidR="00313602" w:rsidRPr="009B5839" w:rsidRDefault="00313602">
      <w:pPr>
        <w:rPr>
          <w:rFonts w:ascii="Aptos" w:hAnsi="Aptos"/>
        </w:rPr>
        <w:sectPr w:rsidR="00313602" w:rsidRPr="009B5839">
          <w:headerReference w:type="default" r:id="rId20"/>
          <w:footerReference w:type="default" r:id="rId21"/>
          <w:pgSz w:w="11910" w:h="16840"/>
          <w:pgMar w:top="1160" w:right="0" w:bottom="1360" w:left="0" w:header="472" w:footer="1161" w:gutter="0"/>
          <w:cols w:space="720"/>
        </w:sectPr>
      </w:pPr>
    </w:p>
    <w:p w14:paraId="0D4EDD53" w14:textId="4D0AA479" w:rsidR="003B777E" w:rsidRPr="000E5FB9" w:rsidRDefault="000E5FB9" w:rsidP="000E5FB9">
      <w:pPr>
        <w:pStyle w:val="Heading2"/>
        <w:ind w:left="696" w:firstLine="720"/>
        <w:rPr>
          <w:rFonts w:ascii="Aptos" w:hAnsi="Aptos"/>
          <w:b/>
          <w:bCs/>
          <w:color w:val="FF0000"/>
          <w:sz w:val="24"/>
          <w:szCs w:val="24"/>
        </w:rPr>
      </w:pPr>
      <w:bookmarkStart w:id="111" w:name="_Toc168584218"/>
      <w:bookmarkStart w:id="112" w:name="_Hlk170394433"/>
      <w:r w:rsidRPr="000E5FB9">
        <w:rPr>
          <w:rFonts w:ascii="Aptos" w:hAnsi="Aptos"/>
          <w:b/>
          <w:bCs/>
          <w:color w:val="FF0000"/>
          <w:sz w:val="24"/>
          <w:szCs w:val="24"/>
        </w:rPr>
        <w:lastRenderedPageBreak/>
        <w:t>Implementation of digital legal acts</w:t>
      </w:r>
      <w:bookmarkEnd w:id="111"/>
    </w:p>
    <w:p w14:paraId="258D6AD5" w14:textId="77777777" w:rsidR="003B777E" w:rsidRPr="009B5839" w:rsidRDefault="003B777E">
      <w:pPr>
        <w:spacing w:before="4"/>
        <w:rPr>
          <w:rFonts w:ascii="Aptos" w:hAnsi="Aptos"/>
          <w:sz w:val="21"/>
        </w:rPr>
      </w:pPr>
    </w:p>
    <w:tbl>
      <w:tblPr>
        <w:tblStyle w:val="TableNormal1"/>
        <w:tblW w:w="0" w:type="auto"/>
        <w:tblInd w:w="1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3B777E" w:rsidRPr="009B5839" w14:paraId="69E77C4C" w14:textId="77777777">
        <w:trPr>
          <w:trHeight w:val="494"/>
        </w:trPr>
        <w:tc>
          <w:tcPr>
            <w:tcW w:w="9066" w:type="dxa"/>
            <w:shd w:val="clear" w:color="auto" w:fill="D9D9D9"/>
          </w:tcPr>
          <w:p w14:paraId="0D0A9449" w14:textId="0E760212" w:rsidR="003B777E" w:rsidRPr="009B5839" w:rsidRDefault="000E5FB9">
            <w:pPr>
              <w:pStyle w:val="TableParagraph"/>
              <w:spacing w:before="115"/>
              <w:rPr>
                <w:rFonts w:ascii="Aptos" w:hAnsi="Aptos"/>
                <w:b/>
              </w:rPr>
            </w:pPr>
            <w:bookmarkStart w:id="113" w:name="Implementation_of_digital_legal_files"/>
            <w:bookmarkStart w:id="114" w:name="_bookmark30"/>
            <w:bookmarkEnd w:id="113"/>
            <w:bookmarkEnd w:id="114"/>
            <w:r>
              <w:rPr>
                <w:rFonts w:ascii="Aptos" w:eastAsiaTheme="majorEastAsia" w:hAnsi="Aptos" w:cstheme="majorBidi"/>
                <w:color w:val="FF0000"/>
              </w:rPr>
              <w:br w:type="page"/>
            </w:r>
            <w:r w:rsidRPr="009B5839">
              <w:rPr>
                <w:rFonts w:ascii="Aptos" w:hAnsi="Aptos"/>
                <w:b/>
              </w:rPr>
              <w:t>Question</w:t>
            </w:r>
          </w:p>
        </w:tc>
      </w:tr>
      <w:tr w:rsidR="003B777E" w:rsidRPr="009B5839" w14:paraId="23178F76" w14:textId="77777777">
        <w:trPr>
          <w:trHeight w:val="1756"/>
        </w:trPr>
        <w:tc>
          <w:tcPr>
            <w:tcW w:w="9066" w:type="dxa"/>
          </w:tcPr>
          <w:p w14:paraId="70987042" w14:textId="3242197E" w:rsidR="003B777E" w:rsidRPr="009B5839" w:rsidRDefault="00200295">
            <w:pPr>
              <w:pStyle w:val="TableParagraph"/>
              <w:spacing w:before="115"/>
              <w:ind w:right="96"/>
              <w:jc w:val="both"/>
              <w:rPr>
                <w:rFonts w:ascii="Aptos" w:hAnsi="Aptos"/>
                <w:b/>
              </w:rPr>
            </w:pPr>
            <w:r w:rsidRPr="00200295">
              <w:rPr>
                <w:rFonts w:ascii="Aptos" w:hAnsi="Aptos"/>
              </w:rPr>
              <w:t xml:space="preserve">In recent years, as part of the "Digital Decade", the EU has implemented a number of digital laws that require new or strengthened national supervisory authorities. However, the staffing levels of the Member State authorities responsible for monitoring platforms vary and in some cases are not up to the high standards required, resulting in inadequate monitoring. </w:t>
            </w:r>
            <w:r w:rsidRPr="00200295">
              <w:rPr>
                <w:rFonts w:ascii="Aptos" w:hAnsi="Aptos"/>
                <w:b/>
                <w:bCs/>
              </w:rPr>
              <w:t>How can you ensure that there are enough posts in Member States to implement and monitor the relevant digitisation legislation?</w:t>
            </w:r>
          </w:p>
        </w:tc>
      </w:tr>
      <w:tr w:rsidR="003B777E" w:rsidRPr="009B5839" w14:paraId="1CBBCBE2" w14:textId="77777777">
        <w:trPr>
          <w:trHeight w:val="494"/>
        </w:trPr>
        <w:tc>
          <w:tcPr>
            <w:tcW w:w="9066" w:type="dxa"/>
            <w:shd w:val="clear" w:color="auto" w:fill="D9D9D9"/>
          </w:tcPr>
          <w:p w14:paraId="59E76287" w14:textId="17AA16FC" w:rsidR="003B777E" w:rsidRPr="009B5839" w:rsidRDefault="00F95277">
            <w:pPr>
              <w:pStyle w:val="TableParagraph"/>
              <w:spacing w:before="115"/>
              <w:rPr>
                <w:rFonts w:ascii="Aptos" w:hAnsi="Aptos"/>
                <w:b/>
              </w:rPr>
            </w:pPr>
            <w:r>
              <w:rPr>
                <w:rFonts w:ascii="Aptos" w:hAnsi="Aptos"/>
                <w:b/>
              </w:rPr>
              <w:t>Further questions</w:t>
            </w:r>
          </w:p>
        </w:tc>
      </w:tr>
      <w:tr w:rsidR="003B777E" w:rsidRPr="009B5839" w14:paraId="3F1B747C" w14:textId="77777777">
        <w:trPr>
          <w:trHeight w:val="997"/>
        </w:trPr>
        <w:tc>
          <w:tcPr>
            <w:tcW w:w="9066" w:type="dxa"/>
          </w:tcPr>
          <w:p w14:paraId="13791916" w14:textId="77777777" w:rsidR="00200295" w:rsidRPr="00200295" w:rsidRDefault="00200295" w:rsidP="00200295">
            <w:pPr>
              <w:pStyle w:val="TableParagraph"/>
              <w:numPr>
                <w:ilvl w:val="0"/>
                <w:numId w:val="37"/>
              </w:numPr>
              <w:tabs>
                <w:tab w:val="left" w:pos="831"/>
              </w:tabs>
              <w:spacing w:before="115"/>
              <w:ind w:right="96"/>
              <w:jc w:val="both"/>
              <w:rPr>
                <w:rFonts w:ascii="Aptos" w:hAnsi="Aptos"/>
                <w:spacing w:val="-5"/>
              </w:rPr>
            </w:pPr>
            <w:r w:rsidRPr="00200295">
              <w:rPr>
                <w:rFonts w:ascii="Aptos" w:hAnsi="Aptos"/>
                <w:spacing w:val="-5"/>
              </w:rPr>
              <w:t xml:space="preserve">Are there any plans to implement the Digital Service Act and the Digital Markets Act, for example, through new posts? </w:t>
            </w:r>
          </w:p>
          <w:p w14:paraId="0E5DCA02" w14:textId="440874E4" w:rsidR="003B777E" w:rsidRPr="009B5839" w:rsidRDefault="00200295" w:rsidP="00200295">
            <w:pPr>
              <w:pStyle w:val="TableParagraph"/>
              <w:numPr>
                <w:ilvl w:val="0"/>
                <w:numId w:val="37"/>
              </w:numPr>
              <w:tabs>
                <w:tab w:val="left" w:pos="831"/>
              </w:tabs>
              <w:spacing w:before="115"/>
              <w:ind w:right="96"/>
              <w:jc w:val="both"/>
              <w:rPr>
                <w:rFonts w:ascii="Aptos" w:hAnsi="Aptos"/>
              </w:rPr>
            </w:pPr>
            <w:r w:rsidRPr="00200295">
              <w:rPr>
                <w:rFonts w:ascii="Aptos" w:hAnsi="Aptos"/>
                <w:spacing w:val="-5"/>
              </w:rPr>
              <w:t>Are tax instruments being considered to finance the new expenditure?</w:t>
            </w:r>
          </w:p>
        </w:tc>
      </w:tr>
    </w:tbl>
    <w:p w14:paraId="1B509702" w14:textId="77777777" w:rsidR="003B777E" w:rsidRPr="009B5839" w:rsidRDefault="003B777E">
      <w:pPr>
        <w:pStyle w:val="BodyText"/>
        <w:rPr>
          <w:rFonts w:ascii="Aptos" w:hAnsi="Aptos"/>
        </w:rPr>
      </w:pPr>
    </w:p>
    <w:tbl>
      <w:tblPr>
        <w:tblStyle w:val="TableNormal1"/>
        <w:tblW w:w="0" w:type="auto"/>
        <w:tblInd w:w="1426" w:type="dxa"/>
        <w:tblLayout w:type="fixed"/>
        <w:tblLook w:val="01E0" w:firstRow="1" w:lastRow="1" w:firstColumn="1" w:lastColumn="1" w:noHBand="0" w:noVBand="0"/>
      </w:tblPr>
      <w:tblGrid>
        <w:gridCol w:w="9066"/>
      </w:tblGrid>
      <w:tr w:rsidR="00313602" w:rsidRPr="009B5839" w14:paraId="0692A04A" w14:textId="77777777" w:rsidTr="0066677D">
        <w:trPr>
          <w:trHeight w:val="277"/>
        </w:trPr>
        <w:tc>
          <w:tcPr>
            <w:tcW w:w="9066" w:type="dxa"/>
            <w:shd w:val="clear" w:color="auto" w:fill="D9D9D9"/>
          </w:tcPr>
          <w:p w14:paraId="5726CCFB" w14:textId="77777777" w:rsidR="00313602" w:rsidRPr="009B5839" w:rsidRDefault="00313602" w:rsidP="0066677D">
            <w:pPr>
              <w:pStyle w:val="TableParagraph"/>
              <w:spacing w:line="258" w:lineRule="exact"/>
              <w:ind w:left="0"/>
              <w:rPr>
                <w:rFonts w:ascii="Aptos" w:hAnsi="Aptos"/>
                <w:b/>
                <w:sz w:val="24"/>
              </w:rPr>
            </w:pPr>
            <w:r>
              <w:rPr>
                <w:rFonts w:ascii="Aptos" w:hAnsi="Aptos"/>
                <w:b/>
                <w:sz w:val="24"/>
              </w:rPr>
              <w:t>Background</w:t>
            </w:r>
          </w:p>
        </w:tc>
      </w:tr>
      <w:tr w:rsidR="00313602" w:rsidRPr="00CE3E5E" w14:paraId="439EA13B" w14:textId="77777777" w:rsidTr="0066677D">
        <w:trPr>
          <w:trHeight w:val="1516"/>
        </w:trPr>
        <w:tc>
          <w:tcPr>
            <w:tcW w:w="9066" w:type="dxa"/>
          </w:tcPr>
          <w:p w14:paraId="421BE7F6" w14:textId="656F974C" w:rsidR="00313602" w:rsidRPr="00CE3E5E" w:rsidRDefault="00262C5D" w:rsidP="00F612D4">
            <w:pPr>
              <w:pStyle w:val="TableParagraph"/>
              <w:spacing w:before="3" w:line="239" w:lineRule="exact"/>
              <w:ind w:left="0"/>
              <w:jc w:val="both"/>
              <w:rPr>
                <w:rFonts w:ascii="Aptos" w:hAnsi="Aptos"/>
                <w:bCs/>
              </w:rPr>
            </w:pPr>
            <w:r w:rsidRPr="00262C5D">
              <w:rPr>
                <w:rFonts w:ascii="Aptos" w:hAnsi="Aptos"/>
                <w:bCs/>
              </w:rPr>
              <w:t>Numerous laws, projects and programs relating to the digital economy have been proposed and implemented in the EU in recent years. Examples include the Digital Markets Act (DMA), the Digital Services Act (DSA) and the Artificial Intelligence Act (AI Act). The implementation and monitoring of the companies affected by the laws pose major challenges for the supervisory authorities. For this reason, it is feared that the necessary bodies are not adequately staffed and that enforcement of the law is stalling.</w:t>
            </w:r>
            <w:r>
              <w:rPr>
                <w:rFonts w:ascii="Aptos" w:hAnsi="Aptos"/>
                <w:bCs/>
              </w:rPr>
              <w:t xml:space="preserve"> </w:t>
            </w:r>
            <w:r w:rsidRPr="00262C5D">
              <w:rPr>
                <w:rFonts w:ascii="Aptos" w:hAnsi="Aptos"/>
                <w:bCs/>
              </w:rPr>
              <w:t>An increase in the number of posts for monitoring and controlling laws in the digital sector will ensure a legally secure EU and can guarantee the enforcement of legal acts.</w:t>
            </w:r>
          </w:p>
        </w:tc>
      </w:tr>
    </w:tbl>
    <w:p w14:paraId="379C3E9C" w14:textId="77777777" w:rsidR="00313602" w:rsidRDefault="00313602" w:rsidP="00313602">
      <w:pPr>
        <w:rPr>
          <w:rFonts w:ascii="Aptos" w:hAnsi="Aptos"/>
        </w:rPr>
      </w:pPr>
    </w:p>
    <w:bookmarkEnd w:id="112"/>
    <w:p w14:paraId="5B243D1E" w14:textId="77777777" w:rsidR="003B777E" w:rsidRDefault="003B777E">
      <w:pPr>
        <w:rPr>
          <w:rFonts w:ascii="Aptos" w:hAnsi="Aptos"/>
        </w:rPr>
      </w:pPr>
    </w:p>
    <w:p w14:paraId="2F7CEE46" w14:textId="77777777" w:rsidR="00313602" w:rsidRDefault="00313602">
      <w:pPr>
        <w:rPr>
          <w:rFonts w:ascii="Aptos" w:hAnsi="Aptos"/>
        </w:rPr>
      </w:pPr>
    </w:p>
    <w:p w14:paraId="3BFFAD30" w14:textId="77777777" w:rsidR="00313602" w:rsidRPr="009B5839" w:rsidRDefault="00313602">
      <w:pPr>
        <w:rPr>
          <w:rFonts w:ascii="Aptos" w:hAnsi="Aptos"/>
        </w:rPr>
        <w:sectPr w:rsidR="00313602" w:rsidRPr="009B5839">
          <w:headerReference w:type="default" r:id="rId22"/>
          <w:footerReference w:type="default" r:id="rId23"/>
          <w:pgSz w:w="11910" w:h="16840"/>
          <w:pgMar w:top="1920" w:right="0" w:bottom="1360" w:left="0" w:header="472" w:footer="1161" w:gutter="0"/>
          <w:cols w:space="720"/>
        </w:sectPr>
      </w:pPr>
    </w:p>
    <w:p w14:paraId="5AA3D464" w14:textId="77777777" w:rsidR="003B777E" w:rsidRPr="009B5839" w:rsidRDefault="003B777E">
      <w:pPr>
        <w:rPr>
          <w:rFonts w:ascii="Aptos" w:hAnsi="Aptos"/>
          <w:sz w:val="20"/>
        </w:rPr>
      </w:pPr>
    </w:p>
    <w:p w14:paraId="5A17E4E1" w14:textId="77777777" w:rsidR="003B777E" w:rsidRPr="009B5839" w:rsidRDefault="003B777E">
      <w:pPr>
        <w:spacing w:before="3"/>
        <w:rPr>
          <w:rFonts w:ascii="Aptos" w:hAnsi="Aptos"/>
          <w:sz w:val="24"/>
        </w:rPr>
      </w:pPr>
    </w:p>
    <w:p w14:paraId="61B482CC" w14:textId="77777777" w:rsidR="003B777E" w:rsidRPr="000E5FB9" w:rsidRDefault="00000000" w:rsidP="000E5FB9">
      <w:pPr>
        <w:pStyle w:val="Heading2"/>
        <w:ind w:left="696" w:firstLine="720"/>
        <w:rPr>
          <w:rFonts w:ascii="Aptos" w:hAnsi="Aptos"/>
          <w:b/>
          <w:bCs/>
          <w:color w:val="FF0000"/>
          <w:sz w:val="24"/>
          <w:szCs w:val="24"/>
        </w:rPr>
      </w:pPr>
      <w:bookmarkStart w:id="115" w:name="Expansion_of_digital_infrastructure_in_t"/>
      <w:bookmarkStart w:id="116" w:name="_bookmark31"/>
      <w:bookmarkStart w:id="117" w:name="_Toc168584219"/>
      <w:bookmarkStart w:id="118" w:name="_Hlk170394528"/>
      <w:bookmarkEnd w:id="115"/>
      <w:bookmarkEnd w:id="116"/>
      <w:r w:rsidRPr="000E5FB9">
        <w:rPr>
          <w:rFonts w:ascii="Aptos" w:hAnsi="Aptos"/>
          <w:b/>
          <w:bCs/>
          <w:color w:val="FF0000"/>
          <w:sz w:val="24"/>
          <w:szCs w:val="24"/>
        </w:rPr>
        <w:t>Expansion of digital infrastructure in technologically underdeveloped regions</w:t>
      </w:r>
      <w:bookmarkEnd w:id="117"/>
    </w:p>
    <w:p w14:paraId="650ABE00" w14:textId="77777777" w:rsidR="003B777E" w:rsidRPr="009B5839" w:rsidRDefault="003B777E">
      <w:pPr>
        <w:pStyle w:val="BodyText"/>
        <w:rPr>
          <w:rFonts w:ascii="Aptos" w:hAnsi="Aptos"/>
          <w:sz w:val="20"/>
        </w:rPr>
      </w:pPr>
    </w:p>
    <w:tbl>
      <w:tblPr>
        <w:tblStyle w:val="TableNormal1"/>
        <w:tblW w:w="0" w:type="auto"/>
        <w:tblInd w:w="1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3B777E" w:rsidRPr="009B5839" w14:paraId="6F01E26F" w14:textId="77777777">
        <w:trPr>
          <w:trHeight w:val="493"/>
        </w:trPr>
        <w:tc>
          <w:tcPr>
            <w:tcW w:w="9066" w:type="dxa"/>
            <w:shd w:val="clear" w:color="auto" w:fill="D9D9D9"/>
          </w:tcPr>
          <w:p w14:paraId="5D4D0691" w14:textId="77777777" w:rsidR="003B777E" w:rsidRPr="009B5839" w:rsidRDefault="00000000">
            <w:pPr>
              <w:pStyle w:val="TableParagraph"/>
              <w:spacing w:before="115"/>
              <w:rPr>
                <w:rFonts w:ascii="Aptos" w:hAnsi="Aptos"/>
                <w:b/>
              </w:rPr>
            </w:pPr>
            <w:r w:rsidRPr="009B5839">
              <w:rPr>
                <w:rFonts w:ascii="Aptos" w:hAnsi="Aptos"/>
                <w:b/>
              </w:rPr>
              <w:t>Question</w:t>
            </w:r>
          </w:p>
        </w:tc>
      </w:tr>
      <w:tr w:rsidR="003B777E" w:rsidRPr="009B5839" w14:paraId="0079EFF1" w14:textId="77777777">
        <w:trPr>
          <w:trHeight w:val="1252"/>
        </w:trPr>
        <w:tc>
          <w:tcPr>
            <w:tcW w:w="9066" w:type="dxa"/>
          </w:tcPr>
          <w:p w14:paraId="36589C88" w14:textId="66770E40" w:rsidR="003B777E" w:rsidRPr="009B5839" w:rsidRDefault="00200295">
            <w:pPr>
              <w:pStyle w:val="TableParagraph"/>
              <w:spacing w:before="115"/>
              <w:ind w:right="103"/>
              <w:jc w:val="both"/>
              <w:rPr>
                <w:rFonts w:ascii="Aptos" w:hAnsi="Aptos"/>
                <w:b/>
              </w:rPr>
            </w:pPr>
            <w:r w:rsidRPr="00200295">
              <w:rPr>
                <w:rFonts w:ascii="Aptos" w:hAnsi="Aptos"/>
              </w:rPr>
              <w:t xml:space="preserve">Despite some progress in recent years, rural areas are lagging behind in the expansion of broadband networks. Many rural areas are affected by an inadequate digital infrastructure. </w:t>
            </w:r>
            <w:r w:rsidR="00EA2B54" w:rsidRPr="00EA2B54">
              <w:rPr>
                <w:rFonts w:ascii="Aptos" w:hAnsi="Aptos"/>
                <w:b/>
                <w:bCs/>
              </w:rPr>
              <w:t>How do you intend to ensure that funding for digital infrastructure also reaches Europe's rural and technologically underdeveloped regions?</w:t>
            </w:r>
          </w:p>
        </w:tc>
      </w:tr>
      <w:tr w:rsidR="003B777E" w:rsidRPr="009B5839" w14:paraId="702D9BA7" w14:textId="77777777">
        <w:trPr>
          <w:trHeight w:val="489"/>
        </w:trPr>
        <w:tc>
          <w:tcPr>
            <w:tcW w:w="9066" w:type="dxa"/>
            <w:shd w:val="clear" w:color="auto" w:fill="D9D9D9"/>
          </w:tcPr>
          <w:p w14:paraId="60F69E8E" w14:textId="7AC2DCDD" w:rsidR="003B777E" w:rsidRPr="009B5839" w:rsidRDefault="00F95277">
            <w:pPr>
              <w:pStyle w:val="TableParagraph"/>
              <w:spacing w:before="115"/>
              <w:rPr>
                <w:rFonts w:ascii="Aptos" w:hAnsi="Aptos"/>
                <w:b/>
              </w:rPr>
            </w:pPr>
            <w:r>
              <w:rPr>
                <w:rFonts w:ascii="Aptos" w:hAnsi="Aptos"/>
                <w:b/>
              </w:rPr>
              <w:t>Further questions</w:t>
            </w:r>
          </w:p>
        </w:tc>
      </w:tr>
      <w:tr w:rsidR="003B777E" w:rsidRPr="009B5839" w14:paraId="3649C89E" w14:textId="77777777">
        <w:trPr>
          <w:trHeight w:val="1252"/>
        </w:trPr>
        <w:tc>
          <w:tcPr>
            <w:tcW w:w="9066" w:type="dxa"/>
          </w:tcPr>
          <w:p w14:paraId="16E13C60" w14:textId="77777777" w:rsidR="00200295" w:rsidRPr="00200295" w:rsidRDefault="00200295" w:rsidP="00AC3C8F">
            <w:pPr>
              <w:pStyle w:val="TableParagraph"/>
              <w:numPr>
                <w:ilvl w:val="0"/>
                <w:numId w:val="37"/>
              </w:numPr>
              <w:tabs>
                <w:tab w:val="left" w:pos="831"/>
              </w:tabs>
              <w:spacing w:before="120" w:after="120"/>
              <w:ind w:left="834" w:right="96" w:hanging="363"/>
              <w:jc w:val="both"/>
              <w:rPr>
                <w:rFonts w:ascii="Aptos" w:hAnsi="Aptos"/>
                <w:spacing w:val="-5"/>
              </w:rPr>
            </w:pPr>
            <w:r w:rsidRPr="00200295">
              <w:rPr>
                <w:rFonts w:ascii="Aptos" w:hAnsi="Aptos"/>
                <w:spacing w:val="-5"/>
              </w:rPr>
              <w:t>Please indicate the extent to which you plan to use European manufacturers for the procurement of digital infrastructures or to promote/favour them over third countries.</w:t>
            </w:r>
          </w:p>
          <w:p w14:paraId="01DDD53A" w14:textId="59D5EF76" w:rsidR="003B777E" w:rsidRPr="009B5839" w:rsidRDefault="00200295" w:rsidP="00AC3C8F">
            <w:pPr>
              <w:pStyle w:val="TableParagraph"/>
              <w:numPr>
                <w:ilvl w:val="0"/>
                <w:numId w:val="37"/>
              </w:numPr>
              <w:tabs>
                <w:tab w:val="left" w:pos="831"/>
              </w:tabs>
              <w:spacing w:before="120" w:after="120"/>
              <w:ind w:left="834" w:right="96" w:hanging="363"/>
              <w:jc w:val="both"/>
              <w:rPr>
                <w:rFonts w:ascii="Aptos" w:hAnsi="Aptos"/>
              </w:rPr>
            </w:pPr>
            <w:r w:rsidRPr="00200295">
              <w:rPr>
                <w:rFonts w:ascii="Aptos" w:hAnsi="Aptos"/>
                <w:spacing w:val="-5"/>
              </w:rPr>
              <w:t>Would you consider using a portion of the allocated funds for rural development to implement the necessary digital infrastructure?</w:t>
            </w:r>
          </w:p>
        </w:tc>
      </w:tr>
    </w:tbl>
    <w:p w14:paraId="47A2383B" w14:textId="77777777" w:rsidR="003B777E" w:rsidRPr="009B5839" w:rsidRDefault="003B777E">
      <w:pPr>
        <w:pStyle w:val="BodyText"/>
        <w:rPr>
          <w:rFonts w:ascii="Aptos" w:hAnsi="Aptos"/>
        </w:rPr>
      </w:pPr>
    </w:p>
    <w:tbl>
      <w:tblPr>
        <w:tblStyle w:val="TableNormal1"/>
        <w:tblW w:w="0" w:type="auto"/>
        <w:tblInd w:w="1426" w:type="dxa"/>
        <w:tblLayout w:type="fixed"/>
        <w:tblLook w:val="01E0" w:firstRow="1" w:lastRow="1" w:firstColumn="1" w:lastColumn="1" w:noHBand="0" w:noVBand="0"/>
      </w:tblPr>
      <w:tblGrid>
        <w:gridCol w:w="9066"/>
      </w:tblGrid>
      <w:tr w:rsidR="00262C5D" w:rsidRPr="009B5839" w14:paraId="08F78A20" w14:textId="77777777" w:rsidTr="0066677D">
        <w:trPr>
          <w:trHeight w:val="277"/>
        </w:trPr>
        <w:tc>
          <w:tcPr>
            <w:tcW w:w="9066" w:type="dxa"/>
            <w:shd w:val="clear" w:color="auto" w:fill="D9D9D9"/>
          </w:tcPr>
          <w:p w14:paraId="786655D3" w14:textId="77777777" w:rsidR="00262C5D" w:rsidRPr="009B5839" w:rsidRDefault="00262C5D" w:rsidP="0066677D">
            <w:pPr>
              <w:pStyle w:val="TableParagraph"/>
              <w:spacing w:line="258" w:lineRule="exact"/>
              <w:ind w:left="0"/>
              <w:rPr>
                <w:rFonts w:ascii="Aptos" w:hAnsi="Aptos"/>
                <w:b/>
                <w:sz w:val="24"/>
              </w:rPr>
            </w:pPr>
            <w:r w:rsidRPr="00AC3C8F">
              <w:rPr>
                <w:rFonts w:ascii="Aptos" w:hAnsi="Aptos"/>
                <w:b/>
                <w:szCs w:val="20"/>
              </w:rPr>
              <w:t>Background</w:t>
            </w:r>
          </w:p>
        </w:tc>
      </w:tr>
      <w:tr w:rsidR="00262C5D" w:rsidRPr="00CE3E5E" w14:paraId="48A049D8" w14:textId="77777777" w:rsidTr="0066677D">
        <w:trPr>
          <w:trHeight w:val="1516"/>
        </w:trPr>
        <w:tc>
          <w:tcPr>
            <w:tcW w:w="9066" w:type="dxa"/>
          </w:tcPr>
          <w:p w14:paraId="1B7A9484" w14:textId="3A80ED82" w:rsidR="00262C5D" w:rsidRPr="00CE3E5E" w:rsidRDefault="00262C5D" w:rsidP="00AC3C8F">
            <w:pPr>
              <w:pStyle w:val="TableParagraph"/>
              <w:spacing w:before="3" w:line="239" w:lineRule="exact"/>
              <w:ind w:left="0"/>
              <w:jc w:val="both"/>
              <w:rPr>
                <w:rFonts w:ascii="Aptos" w:hAnsi="Aptos"/>
                <w:bCs/>
              </w:rPr>
            </w:pPr>
            <w:r w:rsidRPr="00262C5D">
              <w:rPr>
                <w:rFonts w:ascii="Aptos" w:hAnsi="Aptos"/>
                <w:bCs/>
              </w:rPr>
              <w:t>Despite the many efforts on the part of national governments and the European Union, broadband expansion continues to be slow, especially in rural areas. The expansion of broadband infrastructure is of the utmost relevance in order to establish a stable digital foundation for a competitive business location and liveable cities and regions. In the interests of equal opportunities, all people throughout the EU should have access to adequate digital infrastructures, regardless of whether they live in urban or rural areas. Ultra-fast broadband networks form the backbone of economic, social and cultural activities and are essential for digitalization processes. Investments in a good digital infrastructure are also investments in the future, quality of life and competitiveness.</w:t>
            </w:r>
            <w:r w:rsidR="00EA2B54">
              <w:rPr>
                <w:rFonts w:ascii="Aptos" w:hAnsi="Aptos"/>
                <w:bCs/>
              </w:rPr>
              <w:t xml:space="preserve"> </w:t>
            </w:r>
            <w:r w:rsidRPr="00262C5D">
              <w:rPr>
                <w:rFonts w:ascii="Aptos" w:hAnsi="Aptos"/>
                <w:bCs/>
              </w:rPr>
              <w:t>In terms of services of general interest, it is necessary to ensure nationwide fiber optic expansion through fair conditions, also to guarantee a level playing field for small and medium-sized municipal companies.</w:t>
            </w:r>
          </w:p>
        </w:tc>
      </w:tr>
    </w:tbl>
    <w:p w14:paraId="2771DF7B" w14:textId="77777777" w:rsidR="003B777E" w:rsidRDefault="003B777E">
      <w:pPr>
        <w:rPr>
          <w:rFonts w:ascii="Aptos" w:hAnsi="Aptos"/>
        </w:rPr>
      </w:pPr>
    </w:p>
    <w:p w14:paraId="0305BEB4" w14:textId="77777777" w:rsidR="00313602" w:rsidRDefault="00313602">
      <w:pPr>
        <w:rPr>
          <w:rFonts w:ascii="Aptos" w:hAnsi="Aptos"/>
        </w:rPr>
      </w:pPr>
    </w:p>
    <w:bookmarkEnd w:id="118"/>
    <w:p w14:paraId="06BD6490" w14:textId="77777777" w:rsidR="00313602" w:rsidRPr="009B5839" w:rsidRDefault="00313602">
      <w:pPr>
        <w:rPr>
          <w:rFonts w:ascii="Aptos" w:hAnsi="Aptos"/>
        </w:rPr>
        <w:sectPr w:rsidR="00313602" w:rsidRPr="009B5839">
          <w:pgSz w:w="11910" w:h="16840"/>
          <w:pgMar w:top="1920" w:right="0" w:bottom="1360" w:left="0" w:header="472" w:footer="1161" w:gutter="0"/>
          <w:cols w:space="720"/>
        </w:sectPr>
      </w:pPr>
    </w:p>
    <w:p w14:paraId="2AC78D1B" w14:textId="77777777" w:rsidR="003B777E" w:rsidRPr="009B5839" w:rsidRDefault="003B777E">
      <w:pPr>
        <w:rPr>
          <w:rFonts w:ascii="Aptos" w:hAnsi="Aptos"/>
          <w:sz w:val="20"/>
        </w:rPr>
      </w:pPr>
    </w:p>
    <w:p w14:paraId="447CFF67" w14:textId="77777777" w:rsidR="003B777E" w:rsidRPr="009B5839" w:rsidRDefault="003B777E">
      <w:pPr>
        <w:spacing w:before="4"/>
        <w:rPr>
          <w:rFonts w:ascii="Aptos" w:hAnsi="Aptos"/>
          <w:sz w:val="21"/>
        </w:rPr>
      </w:pPr>
    </w:p>
    <w:p w14:paraId="0A5EEDE9" w14:textId="77777777" w:rsidR="003B777E" w:rsidRPr="000E5FB9" w:rsidRDefault="00000000" w:rsidP="000E5FB9">
      <w:pPr>
        <w:pStyle w:val="Heading2"/>
        <w:ind w:left="696" w:firstLine="720"/>
        <w:rPr>
          <w:rFonts w:ascii="Aptos" w:hAnsi="Aptos"/>
          <w:b/>
          <w:bCs/>
          <w:color w:val="FF0000"/>
          <w:sz w:val="24"/>
          <w:szCs w:val="24"/>
        </w:rPr>
      </w:pPr>
      <w:bookmarkStart w:id="119" w:name="Costs_for_the_provision_of_data_by_publi"/>
      <w:bookmarkStart w:id="120" w:name="_bookmark32"/>
      <w:bookmarkStart w:id="121" w:name="_Toc168584220"/>
      <w:bookmarkStart w:id="122" w:name="_Hlk170394609"/>
      <w:bookmarkEnd w:id="119"/>
      <w:bookmarkEnd w:id="120"/>
      <w:r w:rsidRPr="000E5FB9">
        <w:rPr>
          <w:rFonts w:ascii="Aptos" w:hAnsi="Aptos"/>
          <w:b/>
          <w:bCs/>
          <w:color w:val="FF0000"/>
          <w:sz w:val="24"/>
          <w:szCs w:val="24"/>
        </w:rPr>
        <w:t>Costs for the provision of data by public &amp; municipal stakeholders</w:t>
      </w:r>
      <w:bookmarkEnd w:id="121"/>
    </w:p>
    <w:p w14:paraId="1813E04B" w14:textId="77777777" w:rsidR="003B777E" w:rsidRPr="009B5839" w:rsidRDefault="003B777E">
      <w:pPr>
        <w:pStyle w:val="BodyText"/>
        <w:spacing w:before="6" w:after="1"/>
        <w:rPr>
          <w:rFonts w:ascii="Aptos" w:hAnsi="Aptos"/>
          <w:sz w:val="23"/>
        </w:rPr>
      </w:pPr>
    </w:p>
    <w:tbl>
      <w:tblPr>
        <w:tblStyle w:val="TableNormal1"/>
        <w:tblW w:w="0" w:type="auto"/>
        <w:tblInd w:w="1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3B777E" w:rsidRPr="009B5839" w14:paraId="33F72092" w14:textId="77777777">
        <w:trPr>
          <w:trHeight w:val="494"/>
        </w:trPr>
        <w:tc>
          <w:tcPr>
            <w:tcW w:w="9066" w:type="dxa"/>
            <w:shd w:val="clear" w:color="auto" w:fill="D9D9D9"/>
          </w:tcPr>
          <w:p w14:paraId="4D904D6D" w14:textId="77777777" w:rsidR="003B777E" w:rsidRPr="009B5839" w:rsidRDefault="00000000">
            <w:pPr>
              <w:pStyle w:val="TableParagraph"/>
              <w:spacing w:before="115"/>
              <w:rPr>
                <w:rFonts w:ascii="Aptos" w:hAnsi="Aptos"/>
                <w:b/>
              </w:rPr>
            </w:pPr>
            <w:r w:rsidRPr="009B5839">
              <w:rPr>
                <w:rFonts w:ascii="Aptos" w:hAnsi="Aptos"/>
                <w:b/>
              </w:rPr>
              <w:t>Question</w:t>
            </w:r>
          </w:p>
        </w:tc>
      </w:tr>
      <w:tr w:rsidR="003B777E" w:rsidRPr="009B5839" w14:paraId="3C6C8E4B" w14:textId="77777777">
        <w:trPr>
          <w:trHeight w:val="1756"/>
        </w:trPr>
        <w:tc>
          <w:tcPr>
            <w:tcW w:w="9066" w:type="dxa"/>
          </w:tcPr>
          <w:p w14:paraId="2AA94FF1" w14:textId="5B3DF83D" w:rsidR="003B777E" w:rsidRPr="009B5839" w:rsidRDefault="00C977CE">
            <w:pPr>
              <w:pStyle w:val="TableParagraph"/>
              <w:spacing w:before="115"/>
              <w:ind w:right="99"/>
              <w:jc w:val="both"/>
              <w:rPr>
                <w:rFonts w:ascii="Aptos" w:hAnsi="Aptos"/>
                <w:b/>
              </w:rPr>
            </w:pPr>
            <w:r w:rsidRPr="00C977CE">
              <w:rPr>
                <w:rFonts w:ascii="Aptos" w:hAnsi="Aptos"/>
              </w:rPr>
              <w:t xml:space="preserve">Digitisation processes for public and municipal stakeholders are associated with high investment and operating costs. It is important to note that the provision of administrative data and complex real-time data comes at a significant cost. </w:t>
            </w:r>
            <w:r w:rsidR="00DD04E7" w:rsidRPr="00DD04E7">
              <w:rPr>
                <w:rFonts w:ascii="Aptos" w:hAnsi="Aptos"/>
                <w:b/>
                <w:bCs/>
              </w:rPr>
              <w:t>How do you intend to support public and municipal stakeholders (e.g. administrative authorities, public transport companies, etc.) with the digital transformation and the associated running costs?</w:t>
            </w:r>
          </w:p>
        </w:tc>
      </w:tr>
      <w:tr w:rsidR="003B777E" w:rsidRPr="009B5839" w14:paraId="0C690C65" w14:textId="77777777">
        <w:trPr>
          <w:trHeight w:val="494"/>
        </w:trPr>
        <w:tc>
          <w:tcPr>
            <w:tcW w:w="9066" w:type="dxa"/>
            <w:shd w:val="clear" w:color="auto" w:fill="D9D9D9"/>
          </w:tcPr>
          <w:p w14:paraId="2B9BA080" w14:textId="058FBFAB" w:rsidR="003B777E" w:rsidRPr="009B5839" w:rsidRDefault="00F95277">
            <w:pPr>
              <w:pStyle w:val="TableParagraph"/>
              <w:spacing w:before="115"/>
              <w:rPr>
                <w:rFonts w:ascii="Aptos" w:hAnsi="Aptos"/>
                <w:b/>
              </w:rPr>
            </w:pPr>
            <w:r>
              <w:rPr>
                <w:rFonts w:ascii="Aptos" w:hAnsi="Aptos"/>
                <w:b/>
              </w:rPr>
              <w:t>Further questions</w:t>
            </w:r>
          </w:p>
        </w:tc>
      </w:tr>
      <w:tr w:rsidR="003B777E" w:rsidRPr="009B5839" w14:paraId="414321AB" w14:textId="77777777">
        <w:trPr>
          <w:trHeight w:val="1502"/>
        </w:trPr>
        <w:tc>
          <w:tcPr>
            <w:tcW w:w="9066" w:type="dxa"/>
          </w:tcPr>
          <w:p w14:paraId="61233ACC" w14:textId="77777777" w:rsidR="00C977CE" w:rsidRPr="00C977CE" w:rsidRDefault="00C977CE" w:rsidP="00C977CE">
            <w:pPr>
              <w:pStyle w:val="TableParagraph"/>
              <w:numPr>
                <w:ilvl w:val="0"/>
                <w:numId w:val="37"/>
              </w:numPr>
              <w:tabs>
                <w:tab w:val="left" w:pos="831"/>
              </w:tabs>
              <w:spacing w:before="115"/>
              <w:ind w:right="96"/>
              <w:jc w:val="both"/>
              <w:rPr>
                <w:rFonts w:ascii="Aptos" w:hAnsi="Aptos"/>
                <w:spacing w:val="-5"/>
              </w:rPr>
            </w:pPr>
            <w:r w:rsidRPr="00C977CE">
              <w:rPr>
                <w:rFonts w:ascii="Aptos" w:hAnsi="Aptos"/>
                <w:spacing w:val="-5"/>
              </w:rPr>
              <w:t>Are there any EU programmes in place that provide financial support for the operational costs associated with the provision of public and municipal data?</w:t>
            </w:r>
          </w:p>
          <w:p w14:paraId="567E2AF7" w14:textId="72124603" w:rsidR="003B777E" w:rsidRPr="009B5839" w:rsidRDefault="00F95277" w:rsidP="00C977CE">
            <w:pPr>
              <w:pStyle w:val="TableParagraph"/>
              <w:numPr>
                <w:ilvl w:val="0"/>
                <w:numId w:val="37"/>
              </w:numPr>
              <w:tabs>
                <w:tab w:val="left" w:pos="831"/>
              </w:tabs>
              <w:spacing w:before="115"/>
              <w:ind w:right="96"/>
              <w:jc w:val="both"/>
              <w:rPr>
                <w:rFonts w:ascii="Aptos" w:hAnsi="Aptos"/>
              </w:rPr>
            </w:pPr>
            <w:r w:rsidRPr="00F95277">
              <w:rPr>
                <w:rFonts w:ascii="Aptos" w:hAnsi="Aptos"/>
                <w:spacing w:val="-5"/>
              </w:rPr>
              <w:t>In light of the high security risks faced by critical infrastructures, it is crucial to consider the associated costs of cyber security. Are EU subsidies earmarked for this purpose?</w:t>
            </w:r>
          </w:p>
        </w:tc>
      </w:tr>
    </w:tbl>
    <w:p w14:paraId="049841D9" w14:textId="05438715" w:rsidR="00313602" w:rsidRPr="00313602" w:rsidRDefault="00313602" w:rsidP="00313602">
      <w:pPr>
        <w:tabs>
          <w:tab w:val="left" w:pos="3948"/>
        </w:tabs>
        <w:rPr>
          <w:rFonts w:ascii="Aptos" w:hAnsi="Aptos"/>
        </w:rPr>
      </w:pPr>
    </w:p>
    <w:tbl>
      <w:tblPr>
        <w:tblStyle w:val="TableNormal1"/>
        <w:tblW w:w="0" w:type="auto"/>
        <w:tblInd w:w="1426" w:type="dxa"/>
        <w:tblLayout w:type="fixed"/>
        <w:tblLook w:val="01E0" w:firstRow="1" w:lastRow="1" w:firstColumn="1" w:lastColumn="1" w:noHBand="0" w:noVBand="0"/>
      </w:tblPr>
      <w:tblGrid>
        <w:gridCol w:w="9066"/>
      </w:tblGrid>
      <w:tr w:rsidR="00262C5D" w:rsidRPr="009B5839" w14:paraId="617B4585" w14:textId="77777777" w:rsidTr="0066677D">
        <w:trPr>
          <w:trHeight w:val="277"/>
        </w:trPr>
        <w:tc>
          <w:tcPr>
            <w:tcW w:w="9066" w:type="dxa"/>
            <w:shd w:val="clear" w:color="auto" w:fill="D9D9D9"/>
          </w:tcPr>
          <w:p w14:paraId="18326C8E" w14:textId="77777777" w:rsidR="00262C5D" w:rsidRPr="009B5839" w:rsidRDefault="00262C5D" w:rsidP="0066677D">
            <w:pPr>
              <w:pStyle w:val="TableParagraph"/>
              <w:spacing w:line="258" w:lineRule="exact"/>
              <w:ind w:left="0"/>
              <w:rPr>
                <w:rFonts w:ascii="Aptos" w:hAnsi="Aptos"/>
                <w:b/>
                <w:sz w:val="24"/>
              </w:rPr>
            </w:pPr>
            <w:r w:rsidRPr="0012585D">
              <w:rPr>
                <w:rFonts w:ascii="Aptos" w:hAnsi="Aptos"/>
                <w:b/>
                <w:szCs w:val="20"/>
              </w:rPr>
              <w:t>Background</w:t>
            </w:r>
          </w:p>
        </w:tc>
      </w:tr>
      <w:tr w:rsidR="00262C5D" w:rsidRPr="00CE3E5E" w14:paraId="5F3F6D55" w14:textId="77777777" w:rsidTr="00E968F4">
        <w:trPr>
          <w:trHeight w:val="4106"/>
        </w:trPr>
        <w:tc>
          <w:tcPr>
            <w:tcW w:w="9066" w:type="dxa"/>
          </w:tcPr>
          <w:p w14:paraId="5126F986" w14:textId="098D594C" w:rsidR="00262C5D" w:rsidRPr="00CE3E5E" w:rsidRDefault="00262C5D" w:rsidP="0012585D">
            <w:pPr>
              <w:pStyle w:val="TableParagraph"/>
              <w:spacing w:before="3" w:line="239" w:lineRule="exact"/>
              <w:ind w:left="0"/>
              <w:jc w:val="both"/>
              <w:rPr>
                <w:rFonts w:ascii="Aptos" w:hAnsi="Aptos"/>
                <w:bCs/>
              </w:rPr>
            </w:pPr>
            <w:r w:rsidRPr="00262C5D">
              <w:rPr>
                <w:rFonts w:ascii="Aptos" w:hAnsi="Aptos"/>
                <w:bCs/>
              </w:rPr>
              <w:t>The digital transformation and associated digitalization processes have led to considerable additional costs for many companies. On the one hand, existing systems and processes have to be adapted and integrated to the new digital solutions and employees have to be trained in how to use the new systems. On the other hand, digital systems require continuous maintenance and regular updates in order to remain efficient and close security gaps. Digitalization also increases the demands on IT security, with companies having to make (ongoing) large investments in this area. Other costly issues are data collection and data storage. The high costs of data storage are due to expensive hardware, infrastructure, security measures, compliance requirements and ongoing operating costs.</w:t>
            </w:r>
            <w:r>
              <w:t xml:space="preserve"> </w:t>
            </w:r>
            <w:r w:rsidRPr="00262C5D">
              <w:rPr>
                <w:rFonts w:ascii="Aptos" w:hAnsi="Aptos"/>
                <w:bCs/>
              </w:rPr>
              <w:t>Public companies in particular (e.g. public transport companies) collect large amounts of data in the course of providing their services, the management and storage of which leads to very high running costs. In addition, the majority of public companies are considered critical infrastructure and must therefore comply with stricter rules, which entail additional costs. In this context, the promotion and support of public enterprises should ensure that essential services are provided in a reliable, equitable and sustainable manner, while promoting social and economic stability.</w:t>
            </w:r>
          </w:p>
        </w:tc>
      </w:tr>
      <w:bookmarkEnd w:id="122"/>
    </w:tbl>
    <w:p w14:paraId="352CD48D" w14:textId="77777777" w:rsidR="00313602" w:rsidRDefault="00313602" w:rsidP="00313602">
      <w:pPr>
        <w:rPr>
          <w:rFonts w:ascii="Aptos" w:hAnsi="Aptos"/>
          <w:spacing w:val="-5"/>
        </w:rPr>
      </w:pPr>
    </w:p>
    <w:p w14:paraId="4D84C1DA" w14:textId="77777777" w:rsidR="00313602" w:rsidRDefault="00313602" w:rsidP="00313602">
      <w:pPr>
        <w:rPr>
          <w:rFonts w:ascii="Aptos" w:hAnsi="Aptos"/>
        </w:rPr>
      </w:pPr>
    </w:p>
    <w:p w14:paraId="1BC31CCC" w14:textId="77777777" w:rsidR="00313602" w:rsidRDefault="00313602" w:rsidP="00313602">
      <w:pPr>
        <w:rPr>
          <w:rFonts w:ascii="Aptos" w:hAnsi="Aptos"/>
        </w:rPr>
      </w:pPr>
    </w:p>
    <w:p w14:paraId="233E0A6C" w14:textId="77777777" w:rsidR="00313602" w:rsidRDefault="00313602" w:rsidP="00313602">
      <w:pPr>
        <w:rPr>
          <w:rFonts w:ascii="Aptos" w:hAnsi="Aptos"/>
        </w:rPr>
      </w:pPr>
    </w:p>
    <w:p w14:paraId="476F7217" w14:textId="77777777" w:rsidR="00313602" w:rsidRPr="00313602" w:rsidRDefault="00313602" w:rsidP="00313602">
      <w:pPr>
        <w:rPr>
          <w:rFonts w:ascii="Aptos" w:hAnsi="Aptos"/>
        </w:rPr>
        <w:sectPr w:rsidR="00313602" w:rsidRPr="00313602">
          <w:pgSz w:w="11910" w:h="16840"/>
          <w:pgMar w:top="1920" w:right="0" w:bottom="1360" w:left="0" w:header="472" w:footer="1161" w:gutter="0"/>
          <w:cols w:space="720"/>
        </w:sectPr>
      </w:pPr>
    </w:p>
    <w:p w14:paraId="1978B573" w14:textId="77777777" w:rsidR="003B777E" w:rsidRPr="009B5839" w:rsidRDefault="003B777E">
      <w:pPr>
        <w:pStyle w:val="BodyText"/>
        <w:rPr>
          <w:rFonts w:ascii="Aptos" w:hAnsi="Aptos"/>
          <w:sz w:val="20"/>
        </w:rPr>
      </w:pPr>
    </w:p>
    <w:p w14:paraId="46D5AF21" w14:textId="77777777" w:rsidR="003B777E" w:rsidRPr="009B5839" w:rsidRDefault="003B777E">
      <w:pPr>
        <w:pStyle w:val="BodyText"/>
        <w:spacing w:before="6"/>
        <w:rPr>
          <w:rFonts w:ascii="Aptos" w:hAnsi="Aptos"/>
          <w:sz w:val="23"/>
        </w:rPr>
      </w:pPr>
    </w:p>
    <w:p w14:paraId="0B0893DE" w14:textId="77777777" w:rsidR="00224328" w:rsidRDefault="00224328">
      <w:pPr>
        <w:pStyle w:val="BodyText"/>
        <w:ind w:left="1416"/>
        <w:rPr>
          <w:rFonts w:ascii="Aptos" w:hAnsi="Aptos"/>
          <w:color w:val="E3342C"/>
        </w:rPr>
      </w:pPr>
    </w:p>
    <w:p w14:paraId="2C59313A" w14:textId="77777777" w:rsidR="00224328" w:rsidRDefault="00224328">
      <w:pPr>
        <w:pStyle w:val="BodyText"/>
        <w:ind w:left="1416"/>
        <w:rPr>
          <w:rFonts w:ascii="Aptos" w:hAnsi="Aptos"/>
          <w:color w:val="E3342C"/>
        </w:rPr>
      </w:pPr>
      <w:bookmarkStart w:id="123" w:name="Data_protection_in_the_critical_infrastr"/>
      <w:bookmarkStart w:id="124" w:name="_bookmark33"/>
      <w:bookmarkEnd w:id="123"/>
      <w:bookmarkEnd w:id="124"/>
    </w:p>
    <w:p w14:paraId="0EAC613A" w14:textId="0D310353" w:rsidR="003B777E" w:rsidRPr="000E5FB9" w:rsidRDefault="00000000" w:rsidP="000E5FB9">
      <w:pPr>
        <w:pStyle w:val="Heading2"/>
        <w:ind w:left="696" w:firstLine="720"/>
        <w:rPr>
          <w:rFonts w:ascii="Aptos" w:hAnsi="Aptos"/>
          <w:b/>
          <w:bCs/>
          <w:color w:val="FF0000"/>
          <w:sz w:val="24"/>
          <w:szCs w:val="24"/>
        </w:rPr>
      </w:pPr>
      <w:bookmarkStart w:id="125" w:name="_Toc168584221"/>
      <w:bookmarkStart w:id="126" w:name="_Hlk170394696"/>
      <w:r w:rsidRPr="000E5FB9">
        <w:rPr>
          <w:rFonts w:ascii="Aptos" w:hAnsi="Aptos"/>
          <w:b/>
          <w:bCs/>
          <w:color w:val="FF0000"/>
          <w:sz w:val="24"/>
          <w:szCs w:val="24"/>
        </w:rPr>
        <w:t>Data protection in the critical infrastructure</w:t>
      </w:r>
      <w:bookmarkEnd w:id="125"/>
    </w:p>
    <w:p w14:paraId="4A26C1D4" w14:textId="77777777" w:rsidR="003B777E" w:rsidRPr="009B5839" w:rsidRDefault="003B777E">
      <w:pPr>
        <w:pStyle w:val="BodyText"/>
        <w:spacing w:before="6" w:after="1"/>
        <w:rPr>
          <w:rFonts w:ascii="Aptos" w:hAnsi="Aptos"/>
          <w:sz w:val="23"/>
        </w:rPr>
      </w:pPr>
    </w:p>
    <w:tbl>
      <w:tblPr>
        <w:tblStyle w:val="TableNormal1"/>
        <w:tblW w:w="0" w:type="auto"/>
        <w:tblInd w:w="1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3B777E" w:rsidRPr="009B5839" w14:paraId="6DCFF195" w14:textId="77777777">
        <w:trPr>
          <w:trHeight w:val="494"/>
        </w:trPr>
        <w:tc>
          <w:tcPr>
            <w:tcW w:w="9066" w:type="dxa"/>
            <w:shd w:val="clear" w:color="auto" w:fill="D9D9D9"/>
          </w:tcPr>
          <w:p w14:paraId="4BE6BC3B" w14:textId="77777777" w:rsidR="003B777E" w:rsidRPr="009B5839" w:rsidRDefault="00000000">
            <w:pPr>
              <w:pStyle w:val="TableParagraph"/>
              <w:spacing w:before="115"/>
              <w:rPr>
                <w:rFonts w:ascii="Aptos" w:hAnsi="Aptos"/>
                <w:b/>
              </w:rPr>
            </w:pPr>
            <w:r w:rsidRPr="009B5839">
              <w:rPr>
                <w:rFonts w:ascii="Aptos" w:hAnsi="Aptos"/>
                <w:b/>
              </w:rPr>
              <w:t>Question</w:t>
            </w:r>
          </w:p>
        </w:tc>
      </w:tr>
      <w:tr w:rsidR="003B777E" w:rsidRPr="009B5839" w14:paraId="3E70900B" w14:textId="77777777">
        <w:trPr>
          <w:trHeight w:val="1507"/>
        </w:trPr>
        <w:tc>
          <w:tcPr>
            <w:tcW w:w="9066" w:type="dxa"/>
          </w:tcPr>
          <w:p w14:paraId="5D73CC46" w14:textId="30ACAB18" w:rsidR="003B777E" w:rsidRPr="009B5839" w:rsidRDefault="00F95277">
            <w:pPr>
              <w:pStyle w:val="TableParagraph"/>
              <w:spacing w:before="120"/>
              <w:ind w:right="97"/>
              <w:jc w:val="both"/>
              <w:rPr>
                <w:rFonts w:ascii="Aptos" w:hAnsi="Aptos"/>
                <w:b/>
              </w:rPr>
            </w:pPr>
            <w:r w:rsidRPr="00F95277">
              <w:rPr>
                <w:rFonts w:ascii="Aptos" w:hAnsi="Aptos"/>
                <w:spacing w:val="-1"/>
              </w:rPr>
              <w:t xml:space="preserve">In many areas of daily life, such as health, energy supply, and transport, public and municipal actors have data sovereignty over sensitive data. However, given the business models of large digital corporations, there is a legitimate concern that this sensitive data will be commercialised. </w:t>
            </w:r>
            <w:r w:rsidR="00DD04E7" w:rsidRPr="00DD04E7">
              <w:rPr>
                <w:rFonts w:ascii="Aptos" w:hAnsi="Aptos"/>
                <w:b/>
                <w:bCs/>
                <w:spacing w:val="-1"/>
              </w:rPr>
              <w:t>What initiatives are you planning to sustainably protect public and municipal data of critical infrastructures from private commercial interests?</w:t>
            </w:r>
          </w:p>
        </w:tc>
      </w:tr>
      <w:tr w:rsidR="003B777E" w:rsidRPr="009B5839" w14:paraId="2452D511" w14:textId="77777777">
        <w:trPr>
          <w:trHeight w:val="489"/>
        </w:trPr>
        <w:tc>
          <w:tcPr>
            <w:tcW w:w="9066" w:type="dxa"/>
            <w:shd w:val="clear" w:color="auto" w:fill="D9D9D9"/>
          </w:tcPr>
          <w:p w14:paraId="7F52BE13" w14:textId="02E125DF" w:rsidR="003B777E" w:rsidRPr="009B5839" w:rsidRDefault="00F95277">
            <w:pPr>
              <w:pStyle w:val="TableParagraph"/>
              <w:spacing w:before="115"/>
              <w:rPr>
                <w:rFonts w:ascii="Aptos" w:hAnsi="Aptos"/>
                <w:b/>
              </w:rPr>
            </w:pPr>
            <w:r>
              <w:rPr>
                <w:rFonts w:ascii="Aptos" w:hAnsi="Aptos"/>
                <w:b/>
              </w:rPr>
              <w:t>Further questions</w:t>
            </w:r>
          </w:p>
        </w:tc>
      </w:tr>
      <w:tr w:rsidR="003B777E" w:rsidRPr="009B5839" w14:paraId="23BBE580" w14:textId="77777777">
        <w:trPr>
          <w:trHeight w:val="1521"/>
        </w:trPr>
        <w:tc>
          <w:tcPr>
            <w:tcW w:w="9066" w:type="dxa"/>
          </w:tcPr>
          <w:p w14:paraId="07F310B7" w14:textId="77777777" w:rsidR="00F95277" w:rsidRPr="00F95277" w:rsidRDefault="00F95277" w:rsidP="00F95277">
            <w:pPr>
              <w:pStyle w:val="TableParagraph"/>
              <w:numPr>
                <w:ilvl w:val="0"/>
                <w:numId w:val="37"/>
              </w:numPr>
              <w:tabs>
                <w:tab w:val="left" w:pos="831"/>
              </w:tabs>
              <w:spacing w:before="115"/>
              <w:ind w:right="96"/>
              <w:jc w:val="both"/>
              <w:rPr>
                <w:rFonts w:ascii="Aptos" w:hAnsi="Aptos"/>
                <w:spacing w:val="-5"/>
              </w:rPr>
            </w:pPr>
            <w:r w:rsidRPr="00F95277">
              <w:rPr>
                <w:rFonts w:ascii="Aptos" w:hAnsi="Aptos"/>
                <w:spacing w:val="-5"/>
              </w:rPr>
              <w:t>Please outline your plans for data protection for critical infrastructures in your legislative term.</w:t>
            </w:r>
          </w:p>
          <w:p w14:paraId="12D4E971" w14:textId="77777777" w:rsidR="00F95277" w:rsidRPr="00F95277" w:rsidRDefault="00F95277" w:rsidP="00F95277">
            <w:pPr>
              <w:pStyle w:val="TableParagraph"/>
              <w:numPr>
                <w:ilvl w:val="0"/>
                <w:numId w:val="37"/>
              </w:numPr>
              <w:tabs>
                <w:tab w:val="left" w:pos="831"/>
              </w:tabs>
              <w:spacing w:before="115"/>
              <w:ind w:right="96"/>
              <w:jc w:val="both"/>
              <w:rPr>
                <w:rFonts w:ascii="Aptos" w:hAnsi="Aptos"/>
                <w:spacing w:val="-5"/>
              </w:rPr>
            </w:pPr>
            <w:r w:rsidRPr="00F95277">
              <w:rPr>
                <w:rFonts w:ascii="Aptos" w:hAnsi="Aptos"/>
                <w:spacing w:val="-5"/>
              </w:rPr>
              <w:t>How do you intend to guarantee that sensitive data from critical infrastructures remains in the public and municipal hands?</w:t>
            </w:r>
          </w:p>
          <w:p w14:paraId="25AE1DD9" w14:textId="0D0C5DED" w:rsidR="003B777E" w:rsidRPr="009B5839" w:rsidRDefault="00F95277" w:rsidP="00F95277">
            <w:pPr>
              <w:pStyle w:val="TableParagraph"/>
              <w:numPr>
                <w:ilvl w:val="0"/>
                <w:numId w:val="37"/>
              </w:numPr>
              <w:tabs>
                <w:tab w:val="left" w:pos="831"/>
              </w:tabs>
              <w:spacing w:before="115"/>
              <w:ind w:right="96"/>
              <w:jc w:val="both"/>
              <w:rPr>
                <w:rFonts w:ascii="Aptos" w:hAnsi="Aptos"/>
              </w:rPr>
            </w:pPr>
            <w:r w:rsidRPr="00F95277">
              <w:rPr>
                <w:rFonts w:ascii="Aptos" w:hAnsi="Aptos"/>
                <w:spacing w:val="-5"/>
              </w:rPr>
              <w:t>How do you intend to ensure that the protection of critical infrastructure is taken into account in all data initiatives at EU level in future and thus guaranteed?</w:t>
            </w:r>
          </w:p>
        </w:tc>
      </w:tr>
    </w:tbl>
    <w:p w14:paraId="318E5AA5" w14:textId="77777777" w:rsidR="003B777E" w:rsidRDefault="003B777E">
      <w:pPr>
        <w:rPr>
          <w:rFonts w:ascii="Aptos" w:hAnsi="Aptos"/>
        </w:rPr>
      </w:pPr>
    </w:p>
    <w:tbl>
      <w:tblPr>
        <w:tblStyle w:val="TableNormal1"/>
        <w:tblW w:w="0" w:type="auto"/>
        <w:tblInd w:w="1426" w:type="dxa"/>
        <w:tblLayout w:type="fixed"/>
        <w:tblLook w:val="01E0" w:firstRow="1" w:lastRow="1" w:firstColumn="1" w:lastColumn="1" w:noHBand="0" w:noVBand="0"/>
      </w:tblPr>
      <w:tblGrid>
        <w:gridCol w:w="9066"/>
      </w:tblGrid>
      <w:tr w:rsidR="00262C5D" w:rsidRPr="009B5839" w14:paraId="7B8B3366" w14:textId="77777777" w:rsidTr="0066677D">
        <w:trPr>
          <w:trHeight w:val="277"/>
        </w:trPr>
        <w:tc>
          <w:tcPr>
            <w:tcW w:w="9066" w:type="dxa"/>
            <w:shd w:val="clear" w:color="auto" w:fill="D9D9D9"/>
          </w:tcPr>
          <w:p w14:paraId="50E8517E" w14:textId="77777777" w:rsidR="00262C5D" w:rsidRPr="009B5839" w:rsidRDefault="00262C5D" w:rsidP="0066677D">
            <w:pPr>
              <w:pStyle w:val="TableParagraph"/>
              <w:spacing w:line="258" w:lineRule="exact"/>
              <w:ind w:left="0"/>
              <w:rPr>
                <w:rFonts w:ascii="Aptos" w:hAnsi="Aptos"/>
                <w:b/>
                <w:sz w:val="24"/>
              </w:rPr>
            </w:pPr>
            <w:r w:rsidRPr="0012585D">
              <w:rPr>
                <w:rFonts w:ascii="Aptos" w:hAnsi="Aptos"/>
                <w:b/>
                <w:szCs w:val="20"/>
              </w:rPr>
              <w:t>Background</w:t>
            </w:r>
          </w:p>
        </w:tc>
      </w:tr>
      <w:tr w:rsidR="00262C5D" w:rsidRPr="00CE3E5E" w14:paraId="78D1E98C" w14:textId="77777777" w:rsidTr="0066677D">
        <w:trPr>
          <w:trHeight w:val="1516"/>
        </w:trPr>
        <w:tc>
          <w:tcPr>
            <w:tcW w:w="9066" w:type="dxa"/>
          </w:tcPr>
          <w:p w14:paraId="263FCE16" w14:textId="5A0FBA4C" w:rsidR="00262C5D" w:rsidRPr="00CE3E5E" w:rsidRDefault="00262C5D" w:rsidP="0012585D">
            <w:pPr>
              <w:pStyle w:val="TableParagraph"/>
              <w:spacing w:before="3" w:line="239" w:lineRule="exact"/>
              <w:ind w:left="0"/>
              <w:jc w:val="both"/>
              <w:rPr>
                <w:rFonts w:ascii="Aptos" w:hAnsi="Aptos"/>
                <w:bCs/>
              </w:rPr>
            </w:pPr>
            <w:r w:rsidRPr="00262C5D">
              <w:rPr>
                <w:rFonts w:ascii="Aptos" w:hAnsi="Aptos"/>
                <w:bCs/>
              </w:rPr>
              <w:t>Municipal administrations and public companies possess operational data, the disclosure of which could jeopardize the functionality and security of the municipal infrastructure and which should therefore also be protected from private commercial interests. This includes, for example, plans for water supply, waste management, traffic control systems and emergency measures, as well as citizens' personal data. Commercial use of municipal data is unethical and can have far-reaching negative consequences.</w:t>
            </w:r>
            <w:r>
              <w:rPr>
                <w:rFonts w:ascii="Aptos" w:hAnsi="Aptos"/>
                <w:bCs/>
              </w:rPr>
              <w:t xml:space="preserve"> </w:t>
            </w:r>
            <w:r w:rsidRPr="00262C5D">
              <w:rPr>
                <w:rFonts w:ascii="Aptos" w:hAnsi="Aptos"/>
                <w:bCs/>
              </w:rPr>
              <w:t>Protecting this municipal data and critical infrastructure is crucial to ensure the privacy of citizens, safeguard the integrity and security of data and comply with legal requirements.</w:t>
            </w:r>
          </w:p>
        </w:tc>
      </w:tr>
      <w:bookmarkEnd w:id="126"/>
    </w:tbl>
    <w:p w14:paraId="5449BD30" w14:textId="77777777" w:rsidR="00262C5D" w:rsidRDefault="00262C5D">
      <w:pPr>
        <w:rPr>
          <w:rFonts w:ascii="Aptos" w:hAnsi="Aptos"/>
        </w:rPr>
      </w:pPr>
    </w:p>
    <w:p w14:paraId="108ECA01" w14:textId="77777777" w:rsidR="00262C5D" w:rsidRDefault="00262C5D">
      <w:pPr>
        <w:rPr>
          <w:rFonts w:ascii="Aptos" w:hAnsi="Aptos"/>
        </w:rPr>
      </w:pPr>
    </w:p>
    <w:p w14:paraId="33D11035" w14:textId="77777777" w:rsidR="00313602" w:rsidRDefault="00313602">
      <w:pPr>
        <w:rPr>
          <w:rFonts w:ascii="Aptos" w:hAnsi="Aptos"/>
        </w:rPr>
      </w:pPr>
    </w:p>
    <w:p w14:paraId="123A406C" w14:textId="77777777" w:rsidR="00313602" w:rsidRPr="009B5839" w:rsidRDefault="00313602">
      <w:pPr>
        <w:rPr>
          <w:rFonts w:ascii="Aptos" w:hAnsi="Aptos"/>
        </w:rPr>
        <w:sectPr w:rsidR="00313602" w:rsidRPr="009B5839">
          <w:headerReference w:type="default" r:id="rId24"/>
          <w:footerReference w:type="default" r:id="rId25"/>
          <w:pgSz w:w="11910" w:h="16840"/>
          <w:pgMar w:top="1160" w:right="0" w:bottom="1360" w:left="0" w:header="472" w:footer="1161" w:gutter="0"/>
          <w:cols w:space="720"/>
        </w:sectPr>
      </w:pPr>
    </w:p>
    <w:p w14:paraId="5FC62B1A" w14:textId="77777777" w:rsidR="003B777E" w:rsidRPr="009B5839" w:rsidRDefault="003B777E">
      <w:pPr>
        <w:rPr>
          <w:rFonts w:ascii="Aptos" w:hAnsi="Aptos"/>
          <w:sz w:val="20"/>
        </w:rPr>
      </w:pPr>
    </w:p>
    <w:p w14:paraId="5070634E" w14:textId="77777777" w:rsidR="003B777E" w:rsidRPr="009B5839" w:rsidRDefault="003B777E">
      <w:pPr>
        <w:rPr>
          <w:rFonts w:ascii="Aptos" w:hAnsi="Aptos"/>
          <w:sz w:val="23"/>
        </w:rPr>
      </w:pPr>
    </w:p>
    <w:p w14:paraId="029E7F88" w14:textId="77777777" w:rsidR="003B777E" w:rsidRPr="000E5FB9" w:rsidRDefault="00000000" w:rsidP="000E5FB9">
      <w:pPr>
        <w:pStyle w:val="Heading2"/>
        <w:ind w:left="696" w:firstLine="720"/>
        <w:rPr>
          <w:rFonts w:ascii="Aptos" w:hAnsi="Aptos"/>
          <w:b/>
          <w:bCs/>
          <w:color w:val="FF0000"/>
          <w:sz w:val="24"/>
          <w:szCs w:val="24"/>
        </w:rPr>
      </w:pPr>
      <w:bookmarkStart w:id="127" w:name="Restriction_of_tax_optimisation_measures"/>
      <w:bookmarkStart w:id="128" w:name="_bookmark34"/>
      <w:bookmarkStart w:id="129" w:name="_Toc168584222"/>
      <w:bookmarkStart w:id="130" w:name="_Hlk170394771"/>
      <w:bookmarkEnd w:id="127"/>
      <w:bookmarkEnd w:id="128"/>
      <w:r w:rsidRPr="000E5FB9">
        <w:rPr>
          <w:rFonts w:ascii="Aptos" w:hAnsi="Aptos"/>
          <w:b/>
          <w:bCs/>
          <w:color w:val="FF0000"/>
          <w:sz w:val="24"/>
          <w:szCs w:val="24"/>
        </w:rPr>
        <w:t>Restriction of tax optimisation measures by large digital groups</w:t>
      </w:r>
      <w:bookmarkEnd w:id="129"/>
    </w:p>
    <w:p w14:paraId="312C189D" w14:textId="77777777" w:rsidR="003B777E" w:rsidRPr="009B5839" w:rsidRDefault="003B777E">
      <w:pPr>
        <w:pStyle w:val="BodyText"/>
        <w:spacing w:before="3"/>
        <w:rPr>
          <w:rFonts w:ascii="Aptos" w:hAnsi="Aptos"/>
          <w:sz w:val="15"/>
        </w:rPr>
      </w:pPr>
    </w:p>
    <w:tbl>
      <w:tblPr>
        <w:tblStyle w:val="TableNormal1"/>
        <w:tblW w:w="0" w:type="auto"/>
        <w:tblInd w:w="1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3B777E" w:rsidRPr="009B5839" w14:paraId="6F74D59D" w14:textId="77777777">
        <w:trPr>
          <w:trHeight w:val="494"/>
        </w:trPr>
        <w:tc>
          <w:tcPr>
            <w:tcW w:w="9066" w:type="dxa"/>
            <w:shd w:val="clear" w:color="auto" w:fill="D9D9D9"/>
          </w:tcPr>
          <w:p w14:paraId="03B91C06" w14:textId="77777777" w:rsidR="003B777E" w:rsidRPr="009B5839" w:rsidRDefault="00000000">
            <w:pPr>
              <w:pStyle w:val="TableParagraph"/>
              <w:spacing w:before="115"/>
              <w:rPr>
                <w:rFonts w:ascii="Aptos" w:hAnsi="Aptos"/>
                <w:b/>
              </w:rPr>
            </w:pPr>
            <w:r w:rsidRPr="009B5839">
              <w:rPr>
                <w:rFonts w:ascii="Aptos" w:hAnsi="Aptos"/>
                <w:b/>
              </w:rPr>
              <w:t>Question</w:t>
            </w:r>
          </w:p>
        </w:tc>
      </w:tr>
      <w:tr w:rsidR="003B777E" w:rsidRPr="009B5839" w14:paraId="0F5EE092" w14:textId="77777777">
        <w:trPr>
          <w:trHeight w:val="1507"/>
        </w:trPr>
        <w:tc>
          <w:tcPr>
            <w:tcW w:w="9066" w:type="dxa"/>
          </w:tcPr>
          <w:p w14:paraId="7033D427" w14:textId="69BA5007" w:rsidR="003B777E" w:rsidRPr="009B5839" w:rsidRDefault="00F95277">
            <w:pPr>
              <w:pStyle w:val="TableParagraph"/>
              <w:spacing w:before="120"/>
              <w:ind w:right="92"/>
              <w:jc w:val="both"/>
              <w:rPr>
                <w:rFonts w:ascii="Aptos" w:hAnsi="Aptos"/>
                <w:b/>
              </w:rPr>
            </w:pPr>
            <w:r w:rsidRPr="00F95277">
              <w:rPr>
                <w:rFonts w:ascii="Aptos" w:hAnsi="Aptos"/>
              </w:rPr>
              <w:t xml:space="preserve">The digital business models of large digital corporations are typically location-independent, enabling them to be offered flexibly from various EU countries and third countries. Some companies are employing tax optimisation strategies that are detrimental to the common good and the real economy. </w:t>
            </w:r>
            <w:r w:rsidR="00264B1B" w:rsidRPr="00264B1B">
              <w:rPr>
                <w:rFonts w:ascii="Aptos" w:hAnsi="Aptos"/>
                <w:b/>
                <w:bCs/>
              </w:rPr>
              <w:t>What initiatives are you planning to restrict the tax optimization strategies of large digital groups?</w:t>
            </w:r>
          </w:p>
        </w:tc>
      </w:tr>
      <w:tr w:rsidR="003B777E" w:rsidRPr="009B5839" w14:paraId="554CC036" w14:textId="77777777">
        <w:trPr>
          <w:trHeight w:val="494"/>
        </w:trPr>
        <w:tc>
          <w:tcPr>
            <w:tcW w:w="9066" w:type="dxa"/>
            <w:shd w:val="clear" w:color="auto" w:fill="D9D9D9"/>
          </w:tcPr>
          <w:p w14:paraId="45D9F304" w14:textId="6C871DB8" w:rsidR="003B777E" w:rsidRPr="009B5839" w:rsidRDefault="00F95277">
            <w:pPr>
              <w:pStyle w:val="TableParagraph"/>
              <w:spacing w:before="115"/>
              <w:rPr>
                <w:rFonts w:ascii="Aptos" w:hAnsi="Aptos"/>
                <w:b/>
              </w:rPr>
            </w:pPr>
            <w:r>
              <w:rPr>
                <w:rFonts w:ascii="Aptos" w:hAnsi="Aptos"/>
                <w:b/>
              </w:rPr>
              <w:t>Further questions</w:t>
            </w:r>
          </w:p>
        </w:tc>
      </w:tr>
      <w:tr w:rsidR="003B777E" w:rsidRPr="009B5839" w14:paraId="06953716" w14:textId="77777777">
        <w:trPr>
          <w:trHeight w:val="1502"/>
        </w:trPr>
        <w:tc>
          <w:tcPr>
            <w:tcW w:w="9066" w:type="dxa"/>
          </w:tcPr>
          <w:p w14:paraId="6A61DBD3" w14:textId="77777777" w:rsidR="00F95277" w:rsidRPr="00F95277" w:rsidRDefault="00F95277" w:rsidP="00F95277">
            <w:pPr>
              <w:pStyle w:val="TableParagraph"/>
              <w:numPr>
                <w:ilvl w:val="0"/>
                <w:numId w:val="37"/>
              </w:numPr>
              <w:tabs>
                <w:tab w:val="left" w:pos="831"/>
              </w:tabs>
              <w:spacing w:before="115"/>
              <w:ind w:right="96"/>
              <w:jc w:val="both"/>
              <w:rPr>
                <w:rFonts w:ascii="Aptos" w:hAnsi="Aptos"/>
                <w:spacing w:val="-5"/>
              </w:rPr>
            </w:pPr>
            <w:r w:rsidRPr="00F95277">
              <w:rPr>
                <w:rFonts w:ascii="Aptos" w:hAnsi="Aptos"/>
                <w:spacing w:val="-5"/>
              </w:rPr>
              <w:t>Are there already concrete considerations to increase the global sales tax for digital companies (over 15%)?</w:t>
            </w:r>
          </w:p>
          <w:p w14:paraId="714BDE1F" w14:textId="473B0FBC" w:rsidR="003B777E" w:rsidRPr="009B5839" w:rsidRDefault="00F95277" w:rsidP="00F95277">
            <w:pPr>
              <w:pStyle w:val="TableParagraph"/>
              <w:numPr>
                <w:ilvl w:val="0"/>
                <w:numId w:val="37"/>
              </w:numPr>
              <w:tabs>
                <w:tab w:val="left" w:pos="831"/>
              </w:tabs>
              <w:spacing w:before="115"/>
              <w:ind w:right="96"/>
              <w:jc w:val="both"/>
              <w:rPr>
                <w:rFonts w:ascii="Aptos" w:hAnsi="Aptos"/>
              </w:rPr>
            </w:pPr>
            <w:r w:rsidRPr="00F95277">
              <w:rPr>
                <w:rFonts w:ascii="Aptos" w:hAnsi="Aptos"/>
                <w:spacing w:val="-5"/>
              </w:rPr>
              <w:t>In this context, are new taxes, such as a transaction tax on tax havens, also being considered in order to create a level playing field?</w:t>
            </w:r>
          </w:p>
        </w:tc>
      </w:tr>
    </w:tbl>
    <w:p w14:paraId="256F0928" w14:textId="77777777" w:rsidR="003B777E" w:rsidRPr="009B5839" w:rsidRDefault="003B777E">
      <w:pPr>
        <w:pStyle w:val="BodyText"/>
        <w:rPr>
          <w:rFonts w:ascii="Aptos" w:hAnsi="Aptos"/>
        </w:rPr>
      </w:pPr>
    </w:p>
    <w:tbl>
      <w:tblPr>
        <w:tblStyle w:val="TableNormal1"/>
        <w:tblW w:w="0" w:type="auto"/>
        <w:tblInd w:w="1426" w:type="dxa"/>
        <w:tblLayout w:type="fixed"/>
        <w:tblLook w:val="01E0" w:firstRow="1" w:lastRow="1" w:firstColumn="1" w:lastColumn="1" w:noHBand="0" w:noVBand="0"/>
      </w:tblPr>
      <w:tblGrid>
        <w:gridCol w:w="9066"/>
      </w:tblGrid>
      <w:tr w:rsidR="00262C5D" w:rsidRPr="009B5839" w14:paraId="53EA958C" w14:textId="77777777" w:rsidTr="0066677D">
        <w:trPr>
          <w:trHeight w:val="277"/>
        </w:trPr>
        <w:tc>
          <w:tcPr>
            <w:tcW w:w="9066" w:type="dxa"/>
            <w:shd w:val="clear" w:color="auto" w:fill="D9D9D9"/>
          </w:tcPr>
          <w:p w14:paraId="02F38965" w14:textId="77777777" w:rsidR="00262C5D" w:rsidRPr="009B5839" w:rsidRDefault="00262C5D" w:rsidP="0066677D">
            <w:pPr>
              <w:pStyle w:val="TableParagraph"/>
              <w:spacing w:line="258" w:lineRule="exact"/>
              <w:ind w:left="0"/>
              <w:rPr>
                <w:rFonts w:ascii="Aptos" w:hAnsi="Aptos"/>
                <w:b/>
                <w:sz w:val="24"/>
              </w:rPr>
            </w:pPr>
            <w:r w:rsidRPr="0012585D">
              <w:rPr>
                <w:rFonts w:ascii="Aptos" w:hAnsi="Aptos"/>
                <w:b/>
                <w:szCs w:val="20"/>
              </w:rPr>
              <w:t>Background</w:t>
            </w:r>
          </w:p>
        </w:tc>
      </w:tr>
      <w:tr w:rsidR="00262C5D" w:rsidRPr="00CE3E5E" w14:paraId="3B0B31D7" w14:textId="77777777" w:rsidTr="0066677D">
        <w:trPr>
          <w:trHeight w:val="1516"/>
        </w:trPr>
        <w:tc>
          <w:tcPr>
            <w:tcW w:w="9066" w:type="dxa"/>
          </w:tcPr>
          <w:p w14:paraId="6977FBFE" w14:textId="20BFD1A1" w:rsidR="00262C5D" w:rsidRPr="00CE3E5E" w:rsidRDefault="00262C5D" w:rsidP="0012585D">
            <w:pPr>
              <w:pStyle w:val="TableParagraph"/>
              <w:spacing w:before="3" w:line="239" w:lineRule="exact"/>
              <w:ind w:left="0"/>
              <w:jc w:val="both"/>
              <w:rPr>
                <w:rFonts w:ascii="Aptos" w:hAnsi="Aptos"/>
                <w:bCs/>
              </w:rPr>
            </w:pPr>
            <w:r w:rsidRPr="00262C5D">
              <w:rPr>
                <w:rFonts w:ascii="Aptos" w:hAnsi="Aptos"/>
                <w:bCs/>
              </w:rPr>
              <w:t>The tax optimization strategies of large digital corporations deprive the EU member states in which the companies operate of considerable tax revenues. However, these revenues are necessary to finance public services and infrastructure, such as education, healthcare, security and transportation. Tax optimization measures shift the tax burden and distort competition, as companies that use aggressive tax optimization strategies can gain an unfair competitive advantage over companies that pay their taxes correctly. This can lead to a distortion of the market and impair the competitiveness of location-bound companies. With falling tax revenues, the state has fewer resources for public investment, which is crucial for economic growth and social development. This affects areas such as infrastructure, education, research and development as well as social security systems.</w:t>
            </w:r>
            <w:r>
              <w:rPr>
                <w:rFonts w:ascii="Aptos" w:hAnsi="Aptos"/>
                <w:bCs/>
              </w:rPr>
              <w:t xml:space="preserve"> </w:t>
            </w:r>
            <w:r w:rsidRPr="00262C5D">
              <w:rPr>
                <w:rFonts w:ascii="Aptos" w:hAnsi="Aptos"/>
                <w:bCs/>
              </w:rPr>
              <w:t>Overall, tax optimization measures harm the state and society by reducing tax revenues, increasing inequality, distorting competition and undermining confidence in the fairness of the tax system. In the interests of a level playing field, tax optimization measures for large digital corporations should therefore be restricted.</w:t>
            </w:r>
          </w:p>
        </w:tc>
      </w:tr>
      <w:bookmarkEnd w:id="130"/>
    </w:tbl>
    <w:p w14:paraId="33846B9D" w14:textId="77777777" w:rsidR="003B777E" w:rsidRDefault="003B777E">
      <w:pPr>
        <w:rPr>
          <w:rFonts w:ascii="Aptos" w:hAnsi="Aptos"/>
        </w:rPr>
      </w:pPr>
    </w:p>
    <w:p w14:paraId="65BC6727" w14:textId="77777777" w:rsidR="00313602" w:rsidRDefault="00313602">
      <w:pPr>
        <w:rPr>
          <w:rFonts w:ascii="Aptos" w:hAnsi="Aptos"/>
        </w:rPr>
      </w:pPr>
    </w:p>
    <w:p w14:paraId="5C5B47AF" w14:textId="77777777" w:rsidR="00313602" w:rsidRPr="009B5839" w:rsidRDefault="00313602">
      <w:pPr>
        <w:rPr>
          <w:rFonts w:ascii="Aptos" w:hAnsi="Aptos"/>
        </w:rPr>
        <w:sectPr w:rsidR="00313602" w:rsidRPr="009B5839">
          <w:headerReference w:type="default" r:id="rId26"/>
          <w:footerReference w:type="default" r:id="rId27"/>
          <w:pgSz w:w="11910" w:h="16840"/>
          <w:pgMar w:top="1920" w:right="0" w:bottom="1360" w:left="0" w:header="472" w:footer="1161" w:gutter="0"/>
          <w:cols w:space="720"/>
        </w:sectPr>
      </w:pPr>
    </w:p>
    <w:p w14:paraId="34D9F6FE" w14:textId="77777777" w:rsidR="003B777E" w:rsidRPr="009B5839" w:rsidRDefault="003B777E">
      <w:pPr>
        <w:rPr>
          <w:rFonts w:ascii="Aptos" w:hAnsi="Aptos"/>
          <w:sz w:val="20"/>
        </w:rPr>
      </w:pPr>
    </w:p>
    <w:p w14:paraId="7B661C3C" w14:textId="77777777" w:rsidR="003B777E" w:rsidRPr="000E5FB9" w:rsidRDefault="00000000" w:rsidP="000E5FB9">
      <w:pPr>
        <w:pStyle w:val="Heading2"/>
        <w:ind w:left="696" w:firstLine="720"/>
        <w:rPr>
          <w:rFonts w:ascii="Aptos" w:hAnsi="Aptos"/>
          <w:b/>
          <w:bCs/>
          <w:color w:val="FF0000"/>
          <w:sz w:val="24"/>
          <w:szCs w:val="24"/>
        </w:rPr>
      </w:pPr>
      <w:bookmarkStart w:id="131" w:name="Joint_European_cyber_defence"/>
      <w:bookmarkStart w:id="132" w:name="_bookmark35"/>
      <w:bookmarkStart w:id="133" w:name="_Toc168584223"/>
      <w:bookmarkStart w:id="134" w:name="_Hlk170394836"/>
      <w:bookmarkEnd w:id="131"/>
      <w:bookmarkEnd w:id="132"/>
      <w:r w:rsidRPr="000E5FB9">
        <w:rPr>
          <w:rFonts w:ascii="Aptos" w:hAnsi="Aptos"/>
          <w:b/>
          <w:bCs/>
          <w:color w:val="FF0000"/>
          <w:sz w:val="24"/>
          <w:szCs w:val="24"/>
        </w:rPr>
        <w:t>Joint European cyber defence</w:t>
      </w:r>
      <w:bookmarkEnd w:id="133"/>
    </w:p>
    <w:p w14:paraId="1756262E" w14:textId="77777777" w:rsidR="003B777E" w:rsidRPr="009B5839" w:rsidRDefault="003B777E">
      <w:pPr>
        <w:pStyle w:val="BodyText"/>
        <w:rPr>
          <w:rFonts w:ascii="Aptos" w:hAnsi="Aptos"/>
          <w:sz w:val="20"/>
        </w:rPr>
      </w:pPr>
    </w:p>
    <w:tbl>
      <w:tblPr>
        <w:tblStyle w:val="TableNormal1"/>
        <w:tblW w:w="0" w:type="auto"/>
        <w:tblInd w:w="1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3B777E" w:rsidRPr="009B5839" w14:paraId="11781343" w14:textId="77777777">
        <w:trPr>
          <w:trHeight w:val="494"/>
        </w:trPr>
        <w:tc>
          <w:tcPr>
            <w:tcW w:w="9066" w:type="dxa"/>
            <w:shd w:val="clear" w:color="auto" w:fill="D9D9D9"/>
          </w:tcPr>
          <w:p w14:paraId="23766E74" w14:textId="77777777" w:rsidR="003B777E" w:rsidRPr="009B5839" w:rsidRDefault="00000000">
            <w:pPr>
              <w:pStyle w:val="TableParagraph"/>
              <w:spacing w:before="115"/>
              <w:rPr>
                <w:rFonts w:ascii="Aptos" w:hAnsi="Aptos"/>
                <w:b/>
              </w:rPr>
            </w:pPr>
            <w:r w:rsidRPr="009B5839">
              <w:rPr>
                <w:rFonts w:ascii="Aptos" w:hAnsi="Aptos"/>
                <w:b/>
              </w:rPr>
              <w:t>Question</w:t>
            </w:r>
          </w:p>
        </w:tc>
      </w:tr>
      <w:tr w:rsidR="003B777E" w:rsidRPr="009B5839" w14:paraId="5E9982C6" w14:textId="77777777">
        <w:trPr>
          <w:trHeight w:val="1252"/>
        </w:trPr>
        <w:tc>
          <w:tcPr>
            <w:tcW w:w="9066" w:type="dxa"/>
          </w:tcPr>
          <w:p w14:paraId="4687B0E1" w14:textId="0515235A" w:rsidR="003B777E" w:rsidRPr="009B5839" w:rsidRDefault="00F95277">
            <w:pPr>
              <w:pStyle w:val="TableParagraph"/>
              <w:spacing w:before="122" w:line="237" w:lineRule="auto"/>
              <w:ind w:right="90"/>
              <w:jc w:val="both"/>
              <w:rPr>
                <w:rFonts w:ascii="Aptos" w:hAnsi="Aptos"/>
                <w:b/>
              </w:rPr>
            </w:pPr>
            <w:r w:rsidRPr="00F95277">
              <w:rPr>
                <w:rFonts w:ascii="Aptos" w:hAnsi="Aptos"/>
              </w:rPr>
              <w:t xml:space="preserve">It is becoming increasingly clear that public institutions in Europe are being targeted by cyber attacks. It is of the utmost importance to prevent attacks on energy suppliers, hospitals, municipal administrations and other security-critical areas. </w:t>
            </w:r>
            <w:r w:rsidRPr="00F95277">
              <w:rPr>
                <w:rFonts w:ascii="Aptos" w:hAnsi="Aptos"/>
                <w:b/>
                <w:bCs/>
              </w:rPr>
              <w:t>Are you considering establishing a joint European cyber defence initiative based on the American model?</w:t>
            </w:r>
          </w:p>
        </w:tc>
      </w:tr>
      <w:tr w:rsidR="003B777E" w:rsidRPr="009B5839" w14:paraId="66D82C53" w14:textId="77777777">
        <w:trPr>
          <w:trHeight w:val="494"/>
        </w:trPr>
        <w:tc>
          <w:tcPr>
            <w:tcW w:w="9066" w:type="dxa"/>
            <w:shd w:val="clear" w:color="auto" w:fill="D9D9D9"/>
          </w:tcPr>
          <w:p w14:paraId="423ADA5E" w14:textId="00F715F2" w:rsidR="003B777E" w:rsidRPr="009B5839" w:rsidRDefault="00F95277">
            <w:pPr>
              <w:pStyle w:val="TableParagraph"/>
              <w:spacing w:before="115"/>
              <w:rPr>
                <w:rFonts w:ascii="Aptos" w:hAnsi="Aptos"/>
                <w:b/>
              </w:rPr>
            </w:pPr>
            <w:r>
              <w:rPr>
                <w:rFonts w:ascii="Aptos" w:hAnsi="Aptos"/>
                <w:b/>
              </w:rPr>
              <w:t>Further questions</w:t>
            </w:r>
          </w:p>
        </w:tc>
      </w:tr>
      <w:tr w:rsidR="003B777E" w:rsidRPr="009B5839" w14:paraId="599DC986" w14:textId="77777777">
        <w:trPr>
          <w:trHeight w:val="1252"/>
        </w:trPr>
        <w:tc>
          <w:tcPr>
            <w:tcW w:w="9066" w:type="dxa"/>
          </w:tcPr>
          <w:p w14:paraId="02DDE2FA" w14:textId="77777777" w:rsidR="00F95277" w:rsidRPr="00F95277" w:rsidRDefault="00F95277" w:rsidP="00F95277">
            <w:pPr>
              <w:pStyle w:val="TableParagraph"/>
              <w:numPr>
                <w:ilvl w:val="0"/>
                <w:numId w:val="37"/>
              </w:numPr>
              <w:tabs>
                <w:tab w:val="left" w:pos="831"/>
              </w:tabs>
              <w:spacing w:before="115"/>
              <w:ind w:right="96"/>
              <w:jc w:val="both"/>
              <w:rPr>
                <w:rFonts w:ascii="Aptos" w:hAnsi="Aptos"/>
                <w:spacing w:val="-5"/>
              </w:rPr>
            </w:pPr>
            <w:r w:rsidRPr="00F95277">
              <w:rPr>
                <w:rFonts w:ascii="Aptos" w:hAnsi="Aptos"/>
                <w:spacing w:val="-5"/>
              </w:rPr>
              <w:t>If a strategic and joint European cyber defence is planned, please indicate the time horizon you see for this.</w:t>
            </w:r>
          </w:p>
          <w:p w14:paraId="65571A6E" w14:textId="155944E6" w:rsidR="003B777E" w:rsidRPr="009B5839" w:rsidRDefault="00F95277" w:rsidP="00F95277">
            <w:pPr>
              <w:pStyle w:val="TableParagraph"/>
              <w:numPr>
                <w:ilvl w:val="0"/>
                <w:numId w:val="37"/>
              </w:numPr>
              <w:tabs>
                <w:tab w:val="left" w:pos="831"/>
              </w:tabs>
              <w:spacing w:before="115"/>
              <w:ind w:right="96"/>
              <w:jc w:val="both"/>
              <w:rPr>
                <w:rFonts w:ascii="Aptos" w:hAnsi="Aptos"/>
              </w:rPr>
            </w:pPr>
            <w:r w:rsidRPr="00F95277">
              <w:rPr>
                <w:rFonts w:ascii="Aptos" w:hAnsi="Aptos"/>
                <w:spacing w:val="-5"/>
              </w:rPr>
              <w:t>Please outline the role of the protection of critical infrastructures and sensitive supply chains (e.g. medicines) in these plans.</w:t>
            </w:r>
          </w:p>
        </w:tc>
      </w:tr>
    </w:tbl>
    <w:p w14:paraId="1548F22C" w14:textId="77777777" w:rsidR="003B777E" w:rsidRPr="009B5839" w:rsidRDefault="003B777E">
      <w:pPr>
        <w:pStyle w:val="BodyText"/>
        <w:rPr>
          <w:rFonts w:ascii="Aptos" w:hAnsi="Aptos"/>
        </w:rPr>
      </w:pPr>
    </w:p>
    <w:tbl>
      <w:tblPr>
        <w:tblStyle w:val="TableNormal1"/>
        <w:tblW w:w="0" w:type="auto"/>
        <w:tblInd w:w="1426" w:type="dxa"/>
        <w:tblLayout w:type="fixed"/>
        <w:tblLook w:val="01E0" w:firstRow="1" w:lastRow="1" w:firstColumn="1" w:lastColumn="1" w:noHBand="0" w:noVBand="0"/>
      </w:tblPr>
      <w:tblGrid>
        <w:gridCol w:w="9066"/>
      </w:tblGrid>
      <w:tr w:rsidR="00262C5D" w:rsidRPr="009B5839" w14:paraId="718208DC" w14:textId="77777777" w:rsidTr="0066677D">
        <w:trPr>
          <w:trHeight w:val="277"/>
        </w:trPr>
        <w:tc>
          <w:tcPr>
            <w:tcW w:w="9066" w:type="dxa"/>
            <w:shd w:val="clear" w:color="auto" w:fill="D9D9D9"/>
          </w:tcPr>
          <w:p w14:paraId="0C63F386" w14:textId="77777777" w:rsidR="00262C5D" w:rsidRPr="009B5839" w:rsidRDefault="00262C5D" w:rsidP="0066677D">
            <w:pPr>
              <w:pStyle w:val="TableParagraph"/>
              <w:spacing w:line="258" w:lineRule="exact"/>
              <w:ind w:left="0"/>
              <w:rPr>
                <w:rFonts w:ascii="Aptos" w:hAnsi="Aptos"/>
                <w:b/>
                <w:sz w:val="24"/>
              </w:rPr>
            </w:pPr>
            <w:r w:rsidRPr="0012585D">
              <w:rPr>
                <w:rFonts w:ascii="Aptos" w:hAnsi="Aptos"/>
                <w:b/>
                <w:szCs w:val="20"/>
              </w:rPr>
              <w:t>Background</w:t>
            </w:r>
          </w:p>
        </w:tc>
      </w:tr>
      <w:tr w:rsidR="00262C5D" w:rsidRPr="00CE3E5E" w14:paraId="61E03C9D" w14:textId="77777777" w:rsidTr="0066677D">
        <w:trPr>
          <w:trHeight w:val="1516"/>
        </w:trPr>
        <w:tc>
          <w:tcPr>
            <w:tcW w:w="9066" w:type="dxa"/>
          </w:tcPr>
          <w:p w14:paraId="48E28E3A" w14:textId="77777777" w:rsidR="00262C5D" w:rsidRPr="00262C5D" w:rsidRDefault="00262C5D" w:rsidP="0012585D">
            <w:pPr>
              <w:pStyle w:val="TableParagraph"/>
              <w:spacing w:before="3" w:line="239" w:lineRule="exact"/>
              <w:ind w:left="0"/>
              <w:jc w:val="both"/>
              <w:rPr>
                <w:rFonts w:ascii="Aptos" w:hAnsi="Aptos"/>
                <w:bCs/>
              </w:rPr>
            </w:pPr>
            <w:r w:rsidRPr="00262C5D">
              <w:rPr>
                <w:rFonts w:ascii="Aptos" w:hAnsi="Aptos"/>
                <w:bCs/>
              </w:rPr>
              <w:t xml:space="preserve">Critical infrastructure and public institutions are essential to daily life and the functioning of society and the economy (e.g. energy supply, water supply, healthcare, transportation and communication). For this reason, they are attractive targets for cyberattacks by cybercriminals and state-sponsored hackers. </w:t>
            </w:r>
          </w:p>
          <w:p w14:paraId="249ACE12" w14:textId="007C5AAE" w:rsidR="00262C5D" w:rsidRPr="00CE3E5E" w:rsidRDefault="00262C5D" w:rsidP="0012585D">
            <w:pPr>
              <w:pStyle w:val="TableParagraph"/>
              <w:spacing w:before="3" w:line="239" w:lineRule="exact"/>
              <w:ind w:left="0"/>
              <w:jc w:val="both"/>
              <w:rPr>
                <w:rFonts w:ascii="Aptos" w:hAnsi="Aptos"/>
                <w:bCs/>
              </w:rPr>
            </w:pPr>
            <w:r w:rsidRPr="00262C5D">
              <w:rPr>
                <w:rFonts w:ascii="Aptos" w:hAnsi="Aptos"/>
                <w:bCs/>
              </w:rPr>
              <w:t>A common European cyber defense would both ensure the security of the Member States and strengthen the economic and political stability of the European Union. By sharing information on cyber threats and security incidents, EU member states can respond more quickly to threats and take preventive action. Common defense strategies enable a coordinated response to cyber attacks, which increases the effectiveness of defense measures (e.g. faster response times, effective crisis management). In addition, a strong, independent European cyber defense would reduce dependence on external providers and increase the EU's digital sovereignty. Critical infrastructures that operate across borders (such as energy supply, communication and transportation) can be better protected through coordinated measures and common security standards and protocols could help to identify and eliminate vulnerabilities.</w:t>
            </w:r>
            <w:r>
              <w:t xml:space="preserve"> </w:t>
            </w:r>
            <w:r w:rsidRPr="00262C5D">
              <w:rPr>
                <w:rFonts w:ascii="Aptos" w:hAnsi="Aptos"/>
                <w:bCs/>
              </w:rPr>
              <w:t>A common European cyber defense offers a variety of benefits, ranging from increased security and resilience to resource efficiency and a stronger international position. This cooperation is crucial to effectively counter the growing threats in cyberspace and secure the EU's digital future.</w:t>
            </w:r>
          </w:p>
        </w:tc>
      </w:tr>
      <w:bookmarkEnd w:id="134"/>
    </w:tbl>
    <w:p w14:paraId="43A24FBD" w14:textId="77777777" w:rsidR="003B777E" w:rsidRDefault="003B777E">
      <w:pPr>
        <w:rPr>
          <w:rFonts w:ascii="Aptos" w:hAnsi="Aptos"/>
        </w:rPr>
      </w:pPr>
    </w:p>
    <w:p w14:paraId="72802447" w14:textId="77777777" w:rsidR="00313602" w:rsidRDefault="00313602">
      <w:pPr>
        <w:rPr>
          <w:rFonts w:ascii="Aptos" w:hAnsi="Aptos"/>
        </w:rPr>
      </w:pPr>
    </w:p>
    <w:p w14:paraId="761B418C" w14:textId="77777777" w:rsidR="00313602" w:rsidRPr="009B5839" w:rsidRDefault="00313602">
      <w:pPr>
        <w:rPr>
          <w:rFonts w:ascii="Aptos" w:hAnsi="Aptos"/>
        </w:rPr>
        <w:sectPr w:rsidR="00313602" w:rsidRPr="009B5839">
          <w:pgSz w:w="11910" w:h="16840"/>
          <w:pgMar w:top="1920" w:right="0" w:bottom="1360" w:left="0" w:header="472" w:footer="1161" w:gutter="0"/>
          <w:cols w:space="720"/>
        </w:sectPr>
      </w:pPr>
    </w:p>
    <w:p w14:paraId="0EAE7CCB" w14:textId="77777777" w:rsidR="003B777E" w:rsidRPr="009B5839" w:rsidRDefault="003B777E">
      <w:pPr>
        <w:rPr>
          <w:rFonts w:ascii="Aptos" w:hAnsi="Aptos"/>
          <w:sz w:val="20"/>
        </w:rPr>
      </w:pPr>
    </w:p>
    <w:p w14:paraId="56F61EA2" w14:textId="77777777" w:rsidR="003B777E" w:rsidRPr="009B5839" w:rsidRDefault="003B777E">
      <w:pPr>
        <w:spacing w:before="10"/>
        <w:rPr>
          <w:rFonts w:ascii="Aptos" w:hAnsi="Aptos"/>
          <w:sz w:val="15"/>
        </w:rPr>
      </w:pPr>
    </w:p>
    <w:p w14:paraId="3B02111B" w14:textId="48675A68" w:rsidR="003B777E" w:rsidRPr="000E5FB9" w:rsidRDefault="00000000" w:rsidP="000E5FB9">
      <w:pPr>
        <w:pStyle w:val="Heading2"/>
        <w:ind w:left="696" w:firstLine="720"/>
        <w:rPr>
          <w:rFonts w:ascii="Aptos" w:hAnsi="Aptos"/>
          <w:b/>
          <w:bCs/>
          <w:color w:val="FF0000"/>
          <w:sz w:val="24"/>
          <w:szCs w:val="24"/>
        </w:rPr>
      </w:pPr>
      <w:bookmarkStart w:id="135" w:name="Cryptocurrencies_-_expansion_of_the_mark"/>
      <w:bookmarkStart w:id="136" w:name="_bookmark36"/>
      <w:bookmarkStart w:id="137" w:name="_Toc168584224"/>
      <w:bookmarkStart w:id="138" w:name="_Hlk170394912"/>
      <w:bookmarkEnd w:id="135"/>
      <w:bookmarkEnd w:id="136"/>
      <w:r w:rsidRPr="000E5FB9">
        <w:rPr>
          <w:rFonts w:ascii="Aptos" w:hAnsi="Aptos"/>
          <w:b/>
          <w:bCs/>
          <w:color w:val="FF0000"/>
          <w:sz w:val="24"/>
          <w:szCs w:val="24"/>
        </w:rPr>
        <w:t>Cryptocurrencies - expansion of the market for stablecoins</w:t>
      </w:r>
      <w:bookmarkEnd w:id="137"/>
    </w:p>
    <w:p w14:paraId="595713FF" w14:textId="77777777" w:rsidR="003B777E" w:rsidRPr="009B5839" w:rsidRDefault="003B777E">
      <w:pPr>
        <w:pStyle w:val="BodyText"/>
        <w:rPr>
          <w:rFonts w:ascii="Aptos" w:hAnsi="Aptos"/>
          <w:sz w:val="20"/>
        </w:rPr>
      </w:pPr>
    </w:p>
    <w:tbl>
      <w:tblPr>
        <w:tblStyle w:val="TableNormal1"/>
        <w:tblW w:w="0" w:type="auto"/>
        <w:tblInd w:w="1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3B777E" w:rsidRPr="009B5839" w14:paraId="7DA1EC90" w14:textId="77777777">
        <w:trPr>
          <w:trHeight w:val="494"/>
        </w:trPr>
        <w:tc>
          <w:tcPr>
            <w:tcW w:w="9066" w:type="dxa"/>
            <w:shd w:val="clear" w:color="auto" w:fill="D9D9D9"/>
          </w:tcPr>
          <w:p w14:paraId="2CC4313E" w14:textId="77777777" w:rsidR="003B777E" w:rsidRPr="009B5839" w:rsidRDefault="00000000">
            <w:pPr>
              <w:pStyle w:val="TableParagraph"/>
              <w:spacing w:before="115"/>
              <w:rPr>
                <w:rFonts w:ascii="Aptos" w:hAnsi="Aptos"/>
                <w:b/>
              </w:rPr>
            </w:pPr>
            <w:r w:rsidRPr="009B5839">
              <w:rPr>
                <w:rFonts w:ascii="Aptos" w:hAnsi="Aptos"/>
                <w:b/>
              </w:rPr>
              <w:t>Question</w:t>
            </w:r>
          </w:p>
        </w:tc>
      </w:tr>
      <w:tr w:rsidR="003B777E" w:rsidRPr="009B5839" w14:paraId="5CF53F0A" w14:textId="77777777">
        <w:trPr>
          <w:trHeight w:val="1756"/>
        </w:trPr>
        <w:tc>
          <w:tcPr>
            <w:tcW w:w="9066" w:type="dxa"/>
          </w:tcPr>
          <w:p w14:paraId="47FD56BC" w14:textId="0ECC88A9" w:rsidR="003B777E" w:rsidRPr="009B5839" w:rsidRDefault="00F95277">
            <w:pPr>
              <w:pStyle w:val="TableParagraph"/>
              <w:spacing w:before="120"/>
              <w:ind w:right="96"/>
              <w:jc w:val="both"/>
              <w:rPr>
                <w:rFonts w:ascii="Aptos" w:hAnsi="Aptos"/>
                <w:b/>
              </w:rPr>
            </w:pPr>
            <w:r w:rsidRPr="00F95277">
              <w:rPr>
                <w:rFonts w:ascii="Aptos" w:hAnsi="Aptos"/>
              </w:rPr>
              <w:t xml:space="preserve">Stablecoins are cryptocurrencies that, unlike most other cryptocurrencies, are linked to a stable asset, such as a fiat currency like the US dollar or a commodity like gold. Their value is therefore relatively stable compared to the high price volatility that is typical of other cryptocurrencies. While US dollar stablecoins are already widely used, the market share of euro stablecoins is still relatively low. </w:t>
            </w:r>
            <w:r w:rsidR="00264B1B" w:rsidRPr="00264B1B">
              <w:rPr>
                <w:rFonts w:ascii="Aptos" w:hAnsi="Aptos"/>
                <w:b/>
                <w:bCs/>
              </w:rPr>
              <w:t>To what extent do you plan to support European traders on the international market for stablecoins?</w:t>
            </w:r>
          </w:p>
        </w:tc>
      </w:tr>
      <w:tr w:rsidR="003B777E" w:rsidRPr="009B5839" w14:paraId="201DC2CB" w14:textId="77777777">
        <w:trPr>
          <w:trHeight w:val="494"/>
        </w:trPr>
        <w:tc>
          <w:tcPr>
            <w:tcW w:w="9066" w:type="dxa"/>
            <w:shd w:val="clear" w:color="auto" w:fill="D9D9D9"/>
          </w:tcPr>
          <w:p w14:paraId="47804D2E" w14:textId="63A995E4" w:rsidR="003B777E" w:rsidRPr="009B5839" w:rsidRDefault="00F95277">
            <w:pPr>
              <w:pStyle w:val="TableParagraph"/>
              <w:spacing w:before="115"/>
              <w:rPr>
                <w:rFonts w:ascii="Aptos" w:hAnsi="Aptos"/>
                <w:b/>
              </w:rPr>
            </w:pPr>
            <w:r>
              <w:rPr>
                <w:rFonts w:ascii="Aptos" w:hAnsi="Aptos"/>
                <w:b/>
              </w:rPr>
              <w:t>Further questions</w:t>
            </w:r>
          </w:p>
        </w:tc>
      </w:tr>
      <w:tr w:rsidR="003B777E" w:rsidRPr="009B5839" w14:paraId="0215F7C6" w14:textId="77777777">
        <w:trPr>
          <w:trHeight w:val="748"/>
        </w:trPr>
        <w:tc>
          <w:tcPr>
            <w:tcW w:w="9066" w:type="dxa"/>
          </w:tcPr>
          <w:p w14:paraId="04ED215F" w14:textId="77777777" w:rsidR="00F95277" w:rsidRPr="00F95277" w:rsidRDefault="00F95277" w:rsidP="0012585D">
            <w:pPr>
              <w:pStyle w:val="TableParagraph"/>
              <w:numPr>
                <w:ilvl w:val="0"/>
                <w:numId w:val="37"/>
              </w:numPr>
              <w:tabs>
                <w:tab w:val="left" w:pos="831"/>
              </w:tabs>
              <w:spacing w:before="120" w:after="120"/>
              <w:ind w:left="834" w:right="96" w:hanging="363"/>
              <w:jc w:val="both"/>
              <w:rPr>
                <w:rFonts w:ascii="Aptos" w:hAnsi="Aptos"/>
                <w:spacing w:val="-5"/>
              </w:rPr>
            </w:pPr>
            <w:r w:rsidRPr="00F95277">
              <w:rPr>
                <w:rFonts w:ascii="Aptos" w:hAnsi="Aptos"/>
                <w:spacing w:val="-5"/>
              </w:rPr>
              <w:t>Are there any plans to regulate the market for stablecoins?</w:t>
            </w:r>
          </w:p>
          <w:p w14:paraId="4E21CF2E" w14:textId="1825DB02" w:rsidR="003B777E" w:rsidRPr="009B5839" w:rsidRDefault="00F95277" w:rsidP="0012585D">
            <w:pPr>
              <w:pStyle w:val="TableParagraph"/>
              <w:numPr>
                <w:ilvl w:val="0"/>
                <w:numId w:val="37"/>
              </w:numPr>
              <w:tabs>
                <w:tab w:val="left" w:pos="831"/>
              </w:tabs>
              <w:spacing w:before="120" w:after="120"/>
              <w:ind w:left="834" w:right="96" w:hanging="363"/>
              <w:jc w:val="both"/>
              <w:rPr>
                <w:rFonts w:ascii="Aptos" w:hAnsi="Aptos"/>
              </w:rPr>
            </w:pPr>
            <w:r w:rsidRPr="00F95277">
              <w:rPr>
                <w:rFonts w:ascii="Aptos" w:hAnsi="Aptos"/>
                <w:spacing w:val="-5"/>
              </w:rPr>
              <w:t>What role do European providers play in the stablecoin market in your opinion?</w:t>
            </w:r>
          </w:p>
        </w:tc>
      </w:tr>
    </w:tbl>
    <w:p w14:paraId="1FCF152A" w14:textId="77777777" w:rsidR="003B777E" w:rsidRPr="009B5839" w:rsidRDefault="003B777E">
      <w:pPr>
        <w:pStyle w:val="BodyText"/>
        <w:spacing w:before="6"/>
        <w:rPr>
          <w:rFonts w:ascii="Aptos" w:hAnsi="Aptos"/>
          <w:sz w:val="23"/>
        </w:rPr>
      </w:pPr>
    </w:p>
    <w:tbl>
      <w:tblPr>
        <w:tblStyle w:val="TableNormal1"/>
        <w:tblW w:w="0" w:type="auto"/>
        <w:tblInd w:w="1426" w:type="dxa"/>
        <w:tblLayout w:type="fixed"/>
        <w:tblLook w:val="01E0" w:firstRow="1" w:lastRow="1" w:firstColumn="1" w:lastColumn="1" w:noHBand="0" w:noVBand="0"/>
      </w:tblPr>
      <w:tblGrid>
        <w:gridCol w:w="9066"/>
      </w:tblGrid>
      <w:tr w:rsidR="00262C5D" w:rsidRPr="009B5839" w14:paraId="3A1CD81D" w14:textId="77777777" w:rsidTr="0066677D">
        <w:trPr>
          <w:trHeight w:val="277"/>
        </w:trPr>
        <w:tc>
          <w:tcPr>
            <w:tcW w:w="9066" w:type="dxa"/>
            <w:shd w:val="clear" w:color="auto" w:fill="D9D9D9"/>
          </w:tcPr>
          <w:p w14:paraId="7413E3F3" w14:textId="77777777" w:rsidR="00262C5D" w:rsidRPr="009B5839" w:rsidRDefault="00262C5D" w:rsidP="0066677D">
            <w:pPr>
              <w:pStyle w:val="TableParagraph"/>
              <w:spacing w:line="258" w:lineRule="exact"/>
              <w:ind w:left="0"/>
              <w:rPr>
                <w:rFonts w:ascii="Aptos" w:hAnsi="Aptos"/>
                <w:b/>
                <w:sz w:val="24"/>
              </w:rPr>
            </w:pPr>
            <w:r w:rsidRPr="0012585D">
              <w:rPr>
                <w:rFonts w:ascii="Aptos" w:hAnsi="Aptos"/>
                <w:b/>
                <w:szCs w:val="20"/>
              </w:rPr>
              <w:t>Background</w:t>
            </w:r>
          </w:p>
        </w:tc>
      </w:tr>
      <w:tr w:rsidR="00262C5D" w:rsidRPr="00CE3E5E" w14:paraId="65906596" w14:textId="77777777" w:rsidTr="0066677D">
        <w:trPr>
          <w:trHeight w:val="1516"/>
        </w:trPr>
        <w:tc>
          <w:tcPr>
            <w:tcW w:w="9066" w:type="dxa"/>
          </w:tcPr>
          <w:p w14:paraId="126270DC" w14:textId="5F35A90C" w:rsidR="00262C5D" w:rsidRPr="00CE3E5E" w:rsidRDefault="00262C5D" w:rsidP="0012585D">
            <w:pPr>
              <w:pStyle w:val="TableParagraph"/>
              <w:spacing w:before="3" w:line="239" w:lineRule="exact"/>
              <w:ind w:left="0"/>
              <w:jc w:val="both"/>
              <w:rPr>
                <w:rFonts w:ascii="Aptos" w:hAnsi="Aptos"/>
                <w:bCs/>
              </w:rPr>
            </w:pPr>
            <w:r w:rsidRPr="00262C5D">
              <w:rPr>
                <w:rFonts w:ascii="Aptos" w:hAnsi="Aptos"/>
                <w:bCs/>
              </w:rPr>
              <w:t>Stablecoins are a special type of cryptocurrency developed to counteract the high volatility of traditional cryptocurrencies such as Bitcoin and Ethereum. Their aim is to maintain a stable value that is often tied to a traditional currency or other assets. In this way, price fluctuations can be minimized. Stablecoins offer a bridge between traditional financial systems and the world of cryptocurrencies by combining the benefits of blockchain technology with the stability of established currencies and assets.</w:t>
            </w:r>
            <w:r>
              <w:rPr>
                <w:rFonts w:ascii="Aptos" w:hAnsi="Aptos"/>
                <w:bCs/>
              </w:rPr>
              <w:t xml:space="preserve"> </w:t>
            </w:r>
            <w:r w:rsidRPr="00262C5D">
              <w:rPr>
                <w:rFonts w:ascii="Aptos" w:hAnsi="Aptos"/>
                <w:bCs/>
              </w:rPr>
              <w:t>There are numerous European merchants and platforms that offer or trade stablecoins. Projects such as Stasis EURS and Monerium are developing euro-pegged stablecoins, and leading European crypto exchanges such as Bitpanda, Kraken, Bitstamp and Bittrex Global offer trading in various stablecoins. Regulatory developments in the EU could further drive the use of stablecoins and promote their integration into the traditional financial system.</w:t>
            </w:r>
            <w:r>
              <w:rPr>
                <w:rFonts w:ascii="Aptos" w:hAnsi="Aptos"/>
                <w:bCs/>
              </w:rPr>
              <w:t xml:space="preserve"> </w:t>
            </w:r>
            <w:r w:rsidRPr="00262C5D">
              <w:rPr>
                <w:rFonts w:ascii="Aptos" w:hAnsi="Aptos"/>
                <w:bCs/>
              </w:rPr>
              <w:t>The promotion of stablecoins by the EU can offer several strategic benefits that can strengthen both economic stability and technological innovation within the Union. These include strengthening digital sovereignty, improving international competitiveness and increasing efficiency in payment transactions.</w:t>
            </w:r>
          </w:p>
        </w:tc>
      </w:tr>
      <w:bookmarkEnd w:id="138"/>
    </w:tbl>
    <w:p w14:paraId="0C35605A" w14:textId="77777777" w:rsidR="003B777E" w:rsidRDefault="003B777E">
      <w:pPr>
        <w:rPr>
          <w:rFonts w:ascii="Aptos" w:hAnsi="Aptos"/>
        </w:rPr>
      </w:pPr>
    </w:p>
    <w:p w14:paraId="72BBEDF5" w14:textId="77777777" w:rsidR="00313602" w:rsidRDefault="00313602">
      <w:pPr>
        <w:rPr>
          <w:rFonts w:ascii="Aptos" w:hAnsi="Aptos"/>
        </w:rPr>
      </w:pPr>
    </w:p>
    <w:p w14:paraId="022689BD" w14:textId="77777777" w:rsidR="00313602" w:rsidRPr="009B5839" w:rsidRDefault="00313602">
      <w:pPr>
        <w:rPr>
          <w:rFonts w:ascii="Aptos" w:hAnsi="Aptos"/>
        </w:rPr>
        <w:sectPr w:rsidR="00313602" w:rsidRPr="009B5839">
          <w:pgSz w:w="11910" w:h="16840"/>
          <w:pgMar w:top="1920" w:right="0" w:bottom="1360" w:left="0" w:header="472" w:footer="1161" w:gutter="0"/>
          <w:cols w:space="720"/>
        </w:sectPr>
      </w:pPr>
    </w:p>
    <w:p w14:paraId="1B7ECE36" w14:textId="77777777" w:rsidR="003B777E" w:rsidRPr="009B5839" w:rsidRDefault="003B777E">
      <w:pPr>
        <w:spacing w:before="6"/>
        <w:rPr>
          <w:rFonts w:ascii="Aptos" w:hAnsi="Aptos"/>
          <w:sz w:val="27"/>
        </w:rPr>
      </w:pPr>
    </w:p>
    <w:p w14:paraId="6AB9AA16" w14:textId="5D5F3740" w:rsidR="003B777E" w:rsidRDefault="000E5FB9" w:rsidP="000E5FB9">
      <w:pPr>
        <w:pStyle w:val="Heading2"/>
        <w:ind w:left="696" w:firstLine="720"/>
        <w:rPr>
          <w:rFonts w:ascii="Aptos" w:hAnsi="Aptos"/>
          <w:b/>
          <w:bCs/>
          <w:color w:val="FF0000"/>
          <w:sz w:val="24"/>
          <w:szCs w:val="24"/>
        </w:rPr>
      </w:pPr>
      <w:bookmarkStart w:id="139" w:name="Introduction_of_the_digital_euro"/>
      <w:bookmarkStart w:id="140" w:name="_bookmark37"/>
      <w:bookmarkStart w:id="141" w:name="_Toc168584225"/>
      <w:bookmarkStart w:id="142" w:name="_Hlk170394955"/>
      <w:bookmarkEnd w:id="139"/>
      <w:bookmarkEnd w:id="140"/>
      <w:r>
        <w:rPr>
          <w:rFonts w:ascii="Aptos" w:hAnsi="Aptos"/>
          <w:b/>
          <w:bCs/>
          <w:color w:val="FF0000"/>
          <w:sz w:val="24"/>
          <w:szCs w:val="24"/>
        </w:rPr>
        <w:t>Launch</w:t>
      </w:r>
      <w:r w:rsidRPr="000E5FB9">
        <w:rPr>
          <w:rFonts w:ascii="Aptos" w:hAnsi="Aptos"/>
          <w:b/>
          <w:bCs/>
          <w:color w:val="FF0000"/>
          <w:sz w:val="24"/>
          <w:szCs w:val="24"/>
        </w:rPr>
        <w:t xml:space="preserve"> of the digital euro</w:t>
      </w:r>
      <w:bookmarkEnd w:id="141"/>
    </w:p>
    <w:p w14:paraId="0ADEDBE6" w14:textId="77777777" w:rsidR="003B777E" w:rsidRPr="009B5839" w:rsidRDefault="003B777E">
      <w:pPr>
        <w:pStyle w:val="BodyText"/>
        <w:spacing w:before="6"/>
        <w:rPr>
          <w:rFonts w:ascii="Aptos" w:hAnsi="Aptos"/>
          <w:sz w:val="23"/>
        </w:rPr>
      </w:pPr>
    </w:p>
    <w:tbl>
      <w:tblPr>
        <w:tblStyle w:val="TableNormal1"/>
        <w:tblW w:w="0" w:type="auto"/>
        <w:tblInd w:w="1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3B777E" w:rsidRPr="009B5839" w14:paraId="709A9DD1" w14:textId="77777777">
        <w:trPr>
          <w:trHeight w:val="494"/>
        </w:trPr>
        <w:tc>
          <w:tcPr>
            <w:tcW w:w="9066" w:type="dxa"/>
            <w:shd w:val="clear" w:color="auto" w:fill="D9D9D9"/>
          </w:tcPr>
          <w:p w14:paraId="22A6B5D6" w14:textId="77777777" w:rsidR="003B777E" w:rsidRPr="009B5839" w:rsidRDefault="00000000">
            <w:pPr>
              <w:pStyle w:val="TableParagraph"/>
              <w:spacing w:before="115"/>
              <w:rPr>
                <w:rFonts w:ascii="Aptos" w:hAnsi="Aptos"/>
                <w:b/>
              </w:rPr>
            </w:pPr>
            <w:r w:rsidRPr="009B5839">
              <w:rPr>
                <w:rFonts w:ascii="Aptos" w:hAnsi="Aptos"/>
                <w:b/>
              </w:rPr>
              <w:t>Question</w:t>
            </w:r>
          </w:p>
        </w:tc>
      </w:tr>
      <w:tr w:rsidR="003B777E" w:rsidRPr="009B5839" w14:paraId="40AB927A" w14:textId="77777777">
        <w:trPr>
          <w:trHeight w:val="998"/>
        </w:trPr>
        <w:tc>
          <w:tcPr>
            <w:tcW w:w="9066" w:type="dxa"/>
          </w:tcPr>
          <w:p w14:paraId="76A55B46" w14:textId="4380A9E4" w:rsidR="003B777E" w:rsidRPr="009B5839" w:rsidRDefault="00F95277">
            <w:pPr>
              <w:pStyle w:val="TableParagraph"/>
              <w:spacing w:before="120"/>
              <w:ind w:right="103"/>
              <w:jc w:val="both"/>
              <w:rPr>
                <w:rFonts w:ascii="Aptos" w:hAnsi="Aptos"/>
                <w:b/>
              </w:rPr>
            </w:pPr>
            <w:r w:rsidRPr="00F95277">
              <w:rPr>
                <w:rFonts w:ascii="Aptos" w:hAnsi="Aptos"/>
              </w:rPr>
              <w:t xml:space="preserve">The </w:t>
            </w:r>
            <w:r w:rsidR="000E5FB9">
              <w:rPr>
                <w:rFonts w:ascii="Aptos" w:hAnsi="Aptos"/>
              </w:rPr>
              <w:t>Launch</w:t>
            </w:r>
            <w:r w:rsidRPr="00F95277">
              <w:rPr>
                <w:rFonts w:ascii="Aptos" w:hAnsi="Aptos"/>
              </w:rPr>
              <w:t xml:space="preserve"> of the digital euro, scheduled for 2028, should be implemented as soon as possible to reinforce the Union's payment infrastructure. </w:t>
            </w:r>
            <w:r w:rsidR="00316BFF" w:rsidRPr="00316BFF">
              <w:rPr>
                <w:rFonts w:ascii="Aptos" w:hAnsi="Aptos"/>
                <w:b/>
                <w:bCs/>
              </w:rPr>
              <w:t>How do you intend to support the European national banks with the introduction of the digital euro?</w:t>
            </w:r>
          </w:p>
        </w:tc>
      </w:tr>
      <w:tr w:rsidR="003B777E" w:rsidRPr="009B5839" w14:paraId="73AEB569" w14:textId="77777777">
        <w:trPr>
          <w:trHeight w:val="493"/>
        </w:trPr>
        <w:tc>
          <w:tcPr>
            <w:tcW w:w="9066" w:type="dxa"/>
            <w:shd w:val="clear" w:color="auto" w:fill="D9D9D9"/>
          </w:tcPr>
          <w:p w14:paraId="111F2A84" w14:textId="02CA6C73" w:rsidR="003B777E" w:rsidRPr="009B5839" w:rsidRDefault="00F95277">
            <w:pPr>
              <w:pStyle w:val="TableParagraph"/>
              <w:spacing w:before="115"/>
              <w:rPr>
                <w:rFonts w:ascii="Aptos" w:hAnsi="Aptos"/>
                <w:b/>
              </w:rPr>
            </w:pPr>
            <w:r>
              <w:rPr>
                <w:rFonts w:ascii="Aptos" w:hAnsi="Aptos"/>
                <w:b/>
              </w:rPr>
              <w:t>Further questions</w:t>
            </w:r>
          </w:p>
        </w:tc>
      </w:tr>
      <w:tr w:rsidR="003B777E" w:rsidRPr="009B5839" w14:paraId="055C38ED" w14:textId="77777777">
        <w:trPr>
          <w:trHeight w:val="998"/>
        </w:trPr>
        <w:tc>
          <w:tcPr>
            <w:tcW w:w="9066" w:type="dxa"/>
          </w:tcPr>
          <w:p w14:paraId="55C23CBA" w14:textId="7B4A0B8E" w:rsidR="00F95277" w:rsidRPr="00F95277" w:rsidRDefault="00F95277" w:rsidP="0012585D">
            <w:pPr>
              <w:pStyle w:val="TableParagraph"/>
              <w:numPr>
                <w:ilvl w:val="0"/>
                <w:numId w:val="37"/>
              </w:numPr>
              <w:tabs>
                <w:tab w:val="left" w:pos="831"/>
              </w:tabs>
              <w:spacing w:before="120" w:after="120"/>
              <w:ind w:left="834" w:right="96" w:hanging="363"/>
              <w:jc w:val="both"/>
              <w:rPr>
                <w:rFonts w:ascii="Aptos" w:hAnsi="Aptos"/>
                <w:spacing w:val="-5"/>
              </w:rPr>
            </w:pPr>
            <w:r w:rsidRPr="00F95277">
              <w:rPr>
                <w:rFonts w:ascii="Aptos" w:hAnsi="Aptos"/>
                <w:spacing w:val="-5"/>
              </w:rPr>
              <w:t>Please provide an overview of the planned timeline for the</w:t>
            </w:r>
            <w:r w:rsidR="000E5FB9">
              <w:rPr>
                <w:rFonts w:ascii="Aptos" w:hAnsi="Aptos"/>
                <w:spacing w:val="-5"/>
              </w:rPr>
              <w:t xml:space="preserve"> launch</w:t>
            </w:r>
            <w:r w:rsidRPr="00F95277">
              <w:rPr>
                <w:rFonts w:ascii="Aptos" w:hAnsi="Aptos"/>
                <w:spacing w:val="-5"/>
              </w:rPr>
              <w:t xml:space="preserve"> of the digital euro.</w:t>
            </w:r>
          </w:p>
          <w:p w14:paraId="0F853C05" w14:textId="17A08483" w:rsidR="003B777E" w:rsidRPr="009B5839" w:rsidRDefault="00F95277" w:rsidP="0012585D">
            <w:pPr>
              <w:pStyle w:val="TableParagraph"/>
              <w:numPr>
                <w:ilvl w:val="0"/>
                <w:numId w:val="37"/>
              </w:numPr>
              <w:tabs>
                <w:tab w:val="left" w:pos="831"/>
              </w:tabs>
              <w:spacing w:before="120" w:after="120"/>
              <w:ind w:left="834" w:right="96" w:hanging="363"/>
              <w:jc w:val="both"/>
              <w:rPr>
                <w:rFonts w:ascii="Aptos" w:hAnsi="Aptos"/>
              </w:rPr>
            </w:pPr>
            <w:r w:rsidRPr="00F95277">
              <w:rPr>
                <w:rFonts w:ascii="Aptos" w:hAnsi="Aptos"/>
                <w:spacing w:val="-5"/>
              </w:rPr>
              <w:t>Will the digital euro result in reduced transaction costs for European merchants with payment service providers?</w:t>
            </w:r>
          </w:p>
        </w:tc>
      </w:tr>
    </w:tbl>
    <w:p w14:paraId="3E009CE9" w14:textId="77777777" w:rsidR="003B777E" w:rsidRPr="009B5839" w:rsidRDefault="003B777E">
      <w:pPr>
        <w:pStyle w:val="BodyText"/>
        <w:rPr>
          <w:rFonts w:ascii="Aptos" w:hAnsi="Aptos"/>
        </w:rPr>
      </w:pPr>
    </w:p>
    <w:tbl>
      <w:tblPr>
        <w:tblStyle w:val="TableNormal1"/>
        <w:tblW w:w="0" w:type="auto"/>
        <w:tblInd w:w="1426" w:type="dxa"/>
        <w:tblLayout w:type="fixed"/>
        <w:tblLook w:val="01E0" w:firstRow="1" w:lastRow="1" w:firstColumn="1" w:lastColumn="1" w:noHBand="0" w:noVBand="0"/>
      </w:tblPr>
      <w:tblGrid>
        <w:gridCol w:w="9066"/>
      </w:tblGrid>
      <w:tr w:rsidR="00262C5D" w:rsidRPr="009B5839" w14:paraId="69B8F476" w14:textId="77777777" w:rsidTr="0066677D">
        <w:trPr>
          <w:trHeight w:val="277"/>
        </w:trPr>
        <w:tc>
          <w:tcPr>
            <w:tcW w:w="9066" w:type="dxa"/>
            <w:shd w:val="clear" w:color="auto" w:fill="D9D9D9"/>
          </w:tcPr>
          <w:p w14:paraId="62261322" w14:textId="77777777" w:rsidR="00262C5D" w:rsidRPr="009B5839" w:rsidRDefault="00262C5D" w:rsidP="0066677D">
            <w:pPr>
              <w:pStyle w:val="TableParagraph"/>
              <w:spacing w:line="258" w:lineRule="exact"/>
              <w:ind w:left="0"/>
              <w:rPr>
                <w:rFonts w:ascii="Aptos" w:hAnsi="Aptos"/>
                <w:b/>
                <w:sz w:val="24"/>
              </w:rPr>
            </w:pPr>
            <w:r w:rsidRPr="0012585D">
              <w:rPr>
                <w:rFonts w:ascii="Aptos" w:hAnsi="Aptos"/>
                <w:b/>
                <w:szCs w:val="20"/>
              </w:rPr>
              <w:t>Background</w:t>
            </w:r>
          </w:p>
        </w:tc>
      </w:tr>
      <w:tr w:rsidR="00262C5D" w:rsidRPr="00CE3E5E" w14:paraId="1CFDD18D" w14:textId="77777777" w:rsidTr="0066677D">
        <w:trPr>
          <w:trHeight w:val="1516"/>
        </w:trPr>
        <w:tc>
          <w:tcPr>
            <w:tcW w:w="9066" w:type="dxa"/>
          </w:tcPr>
          <w:p w14:paraId="77874F65" w14:textId="65E33433" w:rsidR="00262C5D" w:rsidRPr="00CE3E5E" w:rsidRDefault="00262C5D" w:rsidP="0012585D">
            <w:pPr>
              <w:pStyle w:val="TableParagraph"/>
              <w:spacing w:before="3" w:line="239" w:lineRule="exact"/>
              <w:ind w:left="0"/>
              <w:jc w:val="both"/>
              <w:rPr>
                <w:rFonts w:ascii="Aptos" w:hAnsi="Aptos"/>
                <w:bCs/>
              </w:rPr>
            </w:pPr>
            <w:r w:rsidRPr="00262C5D">
              <w:rPr>
                <w:rFonts w:ascii="Aptos" w:hAnsi="Aptos"/>
                <w:bCs/>
              </w:rPr>
              <w:t>The digital euro is a central bank digital currency (CBDC) planned by the European Central Bank (ECB) for the eurozone. It is to be operated alongside the traditional currency and offer a fast, secure and innovative payment method that does not require intermediation by commercial banks.</w:t>
            </w:r>
            <w:r>
              <w:rPr>
                <w:rFonts w:ascii="Aptos" w:hAnsi="Aptos"/>
                <w:bCs/>
              </w:rPr>
              <w:t xml:space="preserve"> </w:t>
            </w:r>
            <w:r w:rsidRPr="00262C5D">
              <w:rPr>
                <w:rFonts w:ascii="Aptos" w:hAnsi="Aptos"/>
                <w:bCs/>
              </w:rPr>
              <w:t>Unlike cryptocurrencies, the value of the digital euro will be guaranteed by the European Central Bank. Central bank money is currently only accessible to non-banks in the form of cash; the digital euro could be a supplement to cash in the future. It is being developed for both companies and private individuals and will be used for everyday transactions. The introduction of the digital euro can optimize payment processes, reduce transaction costs, minimize the environmental footprint and improve financial inclusion by enabling people without traditional bank accounts to participate in the digital economy.</w:t>
            </w:r>
            <w:r>
              <w:rPr>
                <w:rFonts w:ascii="Aptos" w:hAnsi="Aptos"/>
                <w:bCs/>
              </w:rPr>
              <w:t xml:space="preserve"> </w:t>
            </w:r>
            <w:r w:rsidRPr="00262C5D">
              <w:rPr>
                <w:rFonts w:ascii="Aptos" w:hAnsi="Aptos"/>
                <w:bCs/>
              </w:rPr>
              <w:t>For these reasons, extensive support from European national banks is necessary for the introduction of the digital euro.</w:t>
            </w:r>
          </w:p>
        </w:tc>
      </w:tr>
    </w:tbl>
    <w:p w14:paraId="13F4EF87" w14:textId="77777777" w:rsidR="003B777E" w:rsidRDefault="003B777E">
      <w:pPr>
        <w:rPr>
          <w:rFonts w:ascii="Aptos" w:hAnsi="Aptos"/>
        </w:rPr>
      </w:pPr>
    </w:p>
    <w:p w14:paraId="2A619AA9" w14:textId="77777777" w:rsidR="00313602" w:rsidRDefault="00313602">
      <w:pPr>
        <w:rPr>
          <w:rFonts w:ascii="Aptos" w:hAnsi="Aptos"/>
        </w:rPr>
      </w:pPr>
    </w:p>
    <w:bookmarkEnd w:id="142"/>
    <w:p w14:paraId="18436A65" w14:textId="77777777" w:rsidR="00313602" w:rsidRPr="009B5839" w:rsidRDefault="00313602">
      <w:pPr>
        <w:rPr>
          <w:rFonts w:ascii="Aptos" w:hAnsi="Aptos"/>
        </w:rPr>
        <w:sectPr w:rsidR="00313602" w:rsidRPr="009B5839">
          <w:pgSz w:w="11910" w:h="16840"/>
          <w:pgMar w:top="1920" w:right="0" w:bottom="1360" w:left="0" w:header="472" w:footer="1161" w:gutter="0"/>
          <w:cols w:space="720"/>
        </w:sectPr>
      </w:pPr>
    </w:p>
    <w:p w14:paraId="6D555971" w14:textId="77777777" w:rsidR="003B777E" w:rsidRPr="009B5839" w:rsidRDefault="003B777E">
      <w:pPr>
        <w:rPr>
          <w:rFonts w:ascii="Aptos" w:hAnsi="Aptos"/>
          <w:sz w:val="20"/>
        </w:rPr>
      </w:pPr>
    </w:p>
    <w:p w14:paraId="7E552498" w14:textId="77777777" w:rsidR="003B777E" w:rsidRPr="009B5839" w:rsidRDefault="003B777E">
      <w:pPr>
        <w:spacing w:before="10"/>
        <w:rPr>
          <w:rFonts w:ascii="Aptos" w:hAnsi="Aptos"/>
          <w:sz w:val="15"/>
        </w:rPr>
      </w:pPr>
    </w:p>
    <w:p w14:paraId="2369CA0A" w14:textId="77777777" w:rsidR="003B777E" w:rsidRDefault="00000000" w:rsidP="000E5FB9">
      <w:pPr>
        <w:pStyle w:val="Heading2"/>
        <w:ind w:left="696" w:firstLine="720"/>
        <w:rPr>
          <w:rFonts w:ascii="Aptos" w:hAnsi="Aptos"/>
          <w:b/>
          <w:bCs/>
          <w:color w:val="FF0000"/>
          <w:sz w:val="24"/>
          <w:szCs w:val="24"/>
        </w:rPr>
      </w:pPr>
      <w:bookmarkStart w:id="143" w:name="Tax_haven_transaction_tax"/>
      <w:bookmarkStart w:id="144" w:name="_bookmark38"/>
      <w:bookmarkStart w:id="145" w:name="_Toc168584226"/>
      <w:bookmarkStart w:id="146" w:name="_Hlk170395010"/>
      <w:bookmarkEnd w:id="143"/>
      <w:bookmarkEnd w:id="144"/>
      <w:r w:rsidRPr="000E5FB9">
        <w:rPr>
          <w:rFonts w:ascii="Aptos" w:hAnsi="Aptos"/>
          <w:b/>
          <w:bCs/>
          <w:color w:val="FF0000"/>
          <w:sz w:val="24"/>
          <w:szCs w:val="24"/>
        </w:rPr>
        <w:t>Tax haven transaction tax</w:t>
      </w:r>
      <w:bookmarkEnd w:id="145"/>
    </w:p>
    <w:p w14:paraId="2CB779E9" w14:textId="77777777" w:rsidR="003B777E" w:rsidRPr="009B5839" w:rsidRDefault="003B777E">
      <w:pPr>
        <w:pStyle w:val="BodyText"/>
        <w:spacing w:before="11"/>
        <w:rPr>
          <w:rFonts w:ascii="Aptos" w:hAnsi="Aptos"/>
          <w:sz w:val="23"/>
        </w:rPr>
      </w:pPr>
    </w:p>
    <w:tbl>
      <w:tblPr>
        <w:tblStyle w:val="TableNormal1"/>
        <w:tblW w:w="0" w:type="auto"/>
        <w:tblInd w:w="1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3B777E" w:rsidRPr="009B5839" w14:paraId="66120877" w14:textId="77777777">
        <w:trPr>
          <w:trHeight w:val="489"/>
        </w:trPr>
        <w:tc>
          <w:tcPr>
            <w:tcW w:w="9066" w:type="dxa"/>
            <w:shd w:val="clear" w:color="auto" w:fill="D9D9D9"/>
          </w:tcPr>
          <w:p w14:paraId="15CC9F90" w14:textId="77777777" w:rsidR="003B777E" w:rsidRPr="009B5839" w:rsidRDefault="00000000">
            <w:pPr>
              <w:pStyle w:val="TableParagraph"/>
              <w:spacing w:before="115"/>
              <w:rPr>
                <w:rFonts w:ascii="Aptos" w:hAnsi="Aptos"/>
                <w:b/>
              </w:rPr>
            </w:pPr>
            <w:r w:rsidRPr="009B5839">
              <w:rPr>
                <w:rFonts w:ascii="Aptos" w:hAnsi="Aptos"/>
                <w:b/>
              </w:rPr>
              <w:t>Question</w:t>
            </w:r>
          </w:p>
        </w:tc>
      </w:tr>
      <w:tr w:rsidR="003B777E" w:rsidRPr="009B5839" w14:paraId="702554DD" w14:textId="77777777">
        <w:trPr>
          <w:trHeight w:val="1761"/>
        </w:trPr>
        <w:tc>
          <w:tcPr>
            <w:tcW w:w="9066" w:type="dxa"/>
          </w:tcPr>
          <w:p w14:paraId="5CDB9D10" w14:textId="620E024B" w:rsidR="003B777E" w:rsidRPr="009B5839" w:rsidRDefault="00F95277">
            <w:pPr>
              <w:pStyle w:val="TableParagraph"/>
              <w:spacing w:before="120"/>
              <w:ind w:right="98"/>
              <w:jc w:val="both"/>
              <w:rPr>
                <w:rFonts w:ascii="Aptos" w:hAnsi="Aptos"/>
                <w:b/>
              </w:rPr>
            </w:pPr>
            <w:r w:rsidRPr="00F95277">
              <w:rPr>
                <w:rFonts w:ascii="Aptos" w:hAnsi="Aptos"/>
              </w:rPr>
              <w:t xml:space="preserve">The European Union is losing 170 billion euros a year due to tax havens within the EU. Corporations and wealthy individuals are shifting their profits to low-tax countries, which has the effect of increasing the proportion of public budgets financed by other taxpayers. </w:t>
            </w:r>
            <w:r w:rsidR="00316BFF" w:rsidRPr="00316BFF">
              <w:rPr>
                <w:rFonts w:ascii="Aptos" w:hAnsi="Aptos"/>
                <w:b/>
                <w:bCs/>
              </w:rPr>
              <w:t>What initiatives and tax measures are you planning to create a level playing field in the single market by imposing a general transaction tax on transactions in tax havens?</w:t>
            </w:r>
          </w:p>
        </w:tc>
      </w:tr>
      <w:tr w:rsidR="003B777E" w:rsidRPr="009B5839" w14:paraId="182C4F40" w14:textId="77777777">
        <w:trPr>
          <w:trHeight w:val="489"/>
        </w:trPr>
        <w:tc>
          <w:tcPr>
            <w:tcW w:w="9066" w:type="dxa"/>
            <w:shd w:val="clear" w:color="auto" w:fill="D9D9D9"/>
          </w:tcPr>
          <w:p w14:paraId="63358B42" w14:textId="1C07FC49" w:rsidR="003B777E" w:rsidRPr="009B5839" w:rsidRDefault="00F95277">
            <w:pPr>
              <w:pStyle w:val="TableParagraph"/>
              <w:spacing w:before="115"/>
              <w:rPr>
                <w:rFonts w:ascii="Aptos" w:hAnsi="Aptos"/>
                <w:b/>
              </w:rPr>
            </w:pPr>
            <w:r>
              <w:rPr>
                <w:rFonts w:ascii="Aptos" w:hAnsi="Aptos"/>
                <w:b/>
              </w:rPr>
              <w:t>Further questions</w:t>
            </w:r>
          </w:p>
        </w:tc>
      </w:tr>
      <w:tr w:rsidR="003B777E" w:rsidRPr="009B5839" w14:paraId="7625C5A2" w14:textId="77777777">
        <w:trPr>
          <w:trHeight w:val="1002"/>
        </w:trPr>
        <w:tc>
          <w:tcPr>
            <w:tcW w:w="9066" w:type="dxa"/>
          </w:tcPr>
          <w:p w14:paraId="0A59E7F3" w14:textId="77777777" w:rsidR="00F95277" w:rsidRPr="00F95277" w:rsidRDefault="00F95277" w:rsidP="00F95277">
            <w:pPr>
              <w:pStyle w:val="TableParagraph"/>
              <w:numPr>
                <w:ilvl w:val="0"/>
                <w:numId w:val="37"/>
              </w:numPr>
              <w:tabs>
                <w:tab w:val="left" w:pos="831"/>
              </w:tabs>
              <w:spacing w:before="115"/>
              <w:ind w:right="96"/>
              <w:jc w:val="both"/>
              <w:rPr>
                <w:rFonts w:ascii="Aptos" w:hAnsi="Aptos"/>
                <w:spacing w:val="-5"/>
              </w:rPr>
            </w:pPr>
            <w:r w:rsidRPr="00F95277">
              <w:rPr>
                <w:rFonts w:ascii="Aptos" w:hAnsi="Aptos"/>
                <w:spacing w:val="-5"/>
              </w:rPr>
              <w:t>Please outline your views on the importance of tax justice and the role of transaction taxes in this context.</w:t>
            </w:r>
          </w:p>
          <w:p w14:paraId="660F5B13" w14:textId="3623FD11" w:rsidR="003B777E" w:rsidRPr="009B5839" w:rsidRDefault="00F95277" w:rsidP="00F95277">
            <w:pPr>
              <w:pStyle w:val="TableParagraph"/>
              <w:numPr>
                <w:ilvl w:val="0"/>
                <w:numId w:val="37"/>
              </w:numPr>
              <w:tabs>
                <w:tab w:val="left" w:pos="831"/>
              </w:tabs>
              <w:spacing w:before="115"/>
              <w:ind w:right="96"/>
              <w:jc w:val="both"/>
              <w:rPr>
                <w:rFonts w:ascii="Aptos" w:hAnsi="Aptos"/>
              </w:rPr>
            </w:pPr>
            <w:r w:rsidRPr="00F95277">
              <w:rPr>
                <w:rFonts w:ascii="Aptos" w:hAnsi="Aptos"/>
                <w:spacing w:val="-5"/>
              </w:rPr>
              <w:t>Are there plans to increase taxation on platform-related marketing?</w:t>
            </w:r>
          </w:p>
        </w:tc>
      </w:tr>
    </w:tbl>
    <w:p w14:paraId="221BE0F9" w14:textId="77777777" w:rsidR="003B777E" w:rsidRPr="009B5839" w:rsidRDefault="003B777E">
      <w:pPr>
        <w:pStyle w:val="BodyText"/>
        <w:spacing w:before="7"/>
        <w:rPr>
          <w:rFonts w:ascii="Aptos" w:hAnsi="Aptos"/>
          <w:sz w:val="23"/>
        </w:rPr>
      </w:pPr>
    </w:p>
    <w:tbl>
      <w:tblPr>
        <w:tblStyle w:val="TableNormal1"/>
        <w:tblW w:w="0" w:type="auto"/>
        <w:tblInd w:w="1426" w:type="dxa"/>
        <w:tblLayout w:type="fixed"/>
        <w:tblLook w:val="01E0" w:firstRow="1" w:lastRow="1" w:firstColumn="1" w:lastColumn="1" w:noHBand="0" w:noVBand="0"/>
      </w:tblPr>
      <w:tblGrid>
        <w:gridCol w:w="9066"/>
      </w:tblGrid>
      <w:tr w:rsidR="00262C5D" w:rsidRPr="009B5839" w14:paraId="1ED8A639" w14:textId="77777777" w:rsidTr="0066677D">
        <w:trPr>
          <w:trHeight w:val="277"/>
        </w:trPr>
        <w:tc>
          <w:tcPr>
            <w:tcW w:w="9066" w:type="dxa"/>
            <w:shd w:val="clear" w:color="auto" w:fill="D9D9D9"/>
          </w:tcPr>
          <w:p w14:paraId="6E67CAB6" w14:textId="77777777" w:rsidR="00262C5D" w:rsidRPr="009B5839" w:rsidRDefault="00262C5D" w:rsidP="0066677D">
            <w:pPr>
              <w:pStyle w:val="TableParagraph"/>
              <w:spacing w:line="258" w:lineRule="exact"/>
              <w:ind w:left="0"/>
              <w:rPr>
                <w:rFonts w:ascii="Aptos" w:hAnsi="Aptos"/>
                <w:b/>
                <w:sz w:val="24"/>
              </w:rPr>
            </w:pPr>
            <w:r w:rsidRPr="0012585D">
              <w:rPr>
                <w:rFonts w:ascii="Aptos" w:hAnsi="Aptos"/>
                <w:b/>
                <w:szCs w:val="20"/>
              </w:rPr>
              <w:t>Background</w:t>
            </w:r>
          </w:p>
        </w:tc>
      </w:tr>
      <w:tr w:rsidR="00262C5D" w:rsidRPr="00CE3E5E" w14:paraId="21B28A31" w14:textId="77777777" w:rsidTr="00E968F4">
        <w:trPr>
          <w:trHeight w:val="2355"/>
        </w:trPr>
        <w:tc>
          <w:tcPr>
            <w:tcW w:w="9066" w:type="dxa"/>
          </w:tcPr>
          <w:p w14:paraId="786DA727" w14:textId="027E5ADA" w:rsidR="00262C5D" w:rsidRPr="00CE3E5E" w:rsidRDefault="00581D82" w:rsidP="0012585D">
            <w:pPr>
              <w:pStyle w:val="TableParagraph"/>
              <w:spacing w:before="3" w:line="239" w:lineRule="exact"/>
              <w:ind w:left="0"/>
              <w:jc w:val="both"/>
              <w:rPr>
                <w:rFonts w:ascii="Aptos" w:hAnsi="Aptos"/>
                <w:bCs/>
              </w:rPr>
            </w:pPr>
            <w:r w:rsidRPr="00581D82">
              <w:rPr>
                <w:rFonts w:ascii="Aptos" w:hAnsi="Aptos"/>
                <w:bCs/>
              </w:rPr>
              <w:t>Every year, EU countries lose considerable tax revenue through tax avoidance and tax evasion via tax havens.</w:t>
            </w:r>
            <w:r>
              <w:rPr>
                <w:rFonts w:ascii="Aptos" w:hAnsi="Aptos"/>
                <w:bCs/>
              </w:rPr>
              <w:t xml:space="preserve"> </w:t>
            </w:r>
            <w:r w:rsidRPr="00581D82">
              <w:rPr>
                <w:rFonts w:ascii="Aptos" w:hAnsi="Aptos"/>
                <w:bCs/>
              </w:rPr>
              <w:t>According to estimates, the losses can amount to up to 170 billion euros per year. These losses have a profound impact on public finances, competition and social justice.</w:t>
            </w:r>
            <w:r>
              <w:rPr>
                <w:rFonts w:ascii="Aptos" w:hAnsi="Aptos"/>
                <w:bCs/>
              </w:rPr>
              <w:t xml:space="preserve"> </w:t>
            </w:r>
            <w:r w:rsidRPr="00581D82">
              <w:rPr>
                <w:rFonts w:ascii="Aptos" w:hAnsi="Aptos"/>
                <w:bCs/>
              </w:rPr>
              <w:t>In addition, the use of tax havens and complex tax structuring practices erodes the tax base of many EU member states.</w:t>
            </w:r>
            <w:r>
              <w:rPr>
                <w:rFonts w:ascii="Aptos" w:hAnsi="Aptos"/>
                <w:bCs/>
              </w:rPr>
              <w:t xml:space="preserve"> </w:t>
            </w:r>
            <w:r w:rsidRPr="00581D82">
              <w:rPr>
                <w:rFonts w:ascii="Aptos" w:hAnsi="Aptos"/>
                <w:bCs/>
              </w:rPr>
              <w:t>The fight against tax havens therefore requires a comprehensive package of measures that increases transparency, strengthens international cooperation and improves national tax regulations.</w:t>
            </w:r>
            <w:r>
              <w:rPr>
                <w:rFonts w:ascii="Aptos" w:hAnsi="Aptos"/>
                <w:bCs/>
              </w:rPr>
              <w:t xml:space="preserve"> </w:t>
            </w:r>
            <w:r w:rsidRPr="00581D82">
              <w:rPr>
                <w:rFonts w:ascii="Aptos" w:hAnsi="Aptos"/>
                <w:bCs/>
              </w:rPr>
              <w:t>Through a general transaction tax on tax havens, EU member states could significantly reduce the negative impact of tax havens and create a fairer global tax system.</w:t>
            </w:r>
          </w:p>
        </w:tc>
      </w:tr>
      <w:bookmarkEnd w:id="146"/>
    </w:tbl>
    <w:p w14:paraId="44BA3D31" w14:textId="77777777" w:rsidR="003B777E" w:rsidRDefault="003B777E">
      <w:pPr>
        <w:rPr>
          <w:rFonts w:ascii="Aptos" w:hAnsi="Aptos"/>
        </w:rPr>
      </w:pPr>
    </w:p>
    <w:p w14:paraId="6823E156" w14:textId="77777777" w:rsidR="00313602" w:rsidRDefault="00313602">
      <w:pPr>
        <w:rPr>
          <w:rFonts w:ascii="Aptos" w:hAnsi="Aptos"/>
        </w:rPr>
      </w:pPr>
    </w:p>
    <w:p w14:paraId="62137FC8" w14:textId="77777777" w:rsidR="00313602" w:rsidRPr="009B5839" w:rsidRDefault="00313602">
      <w:pPr>
        <w:rPr>
          <w:rFonts w:ascii="Aptos" w:hAnsi="Aptos"/>
        </w:rPr>
        <w:sectPr w:rsidR="00313602" w:rsidRPr="009B5839">
          <w:pgSz w:w="11910" w:h="16840"/>
          <w:pgMar w:top="1920" w:right="0" w:bottom="1360" w:left="0" w:header="472" w:footer="1161" w:gutter="0"/>
          <w:cols w:space="720"/>
        </w:sectPr>
      </w:pPr>
    </w:p>
    <w:p w14:paraId="211A1172" w14:textId="77777777" w:rsidR="003B777E" w:rsidRPr="009B5839" w:rsidRDefault="003B777E">
      <w:pPr>
        <w:rPr>
          <w:rFonts w:ascii="Aptos" w:hAnsi="Aptos"/>
          <w:sz w:val="20"/>
        </w:rPr>
      </w:pPr>
    </w:p>
    <w:p w14:paraId="001C0A93" w14:textId="77777777" w:rsidR="003B777E" w:rsidRPr="009B5839" w:rsidRDefault="003B777E">
      <w:pPr>
        <w:spacing w:before="10"/>
        <w:rPr>
          <w:rFonts w:ascii="Aptos" w:hAnsi="Aptos"/>
          <w:sz w:val="15"/>
        </w:rPr>
      </w:pPr>
    </w:p>
    <w:p w14:paraId="4ECE59CE" w14:textId="77777777" w:rsidR="003B777E" w:rsidRPr="009B5839" w:rsidRDefault="00000000" w:rsidP="000E5FB9">
      <w:pPr>
        <w:pStyle w:val="Heading2"/>
        <w:ind w:left="696" w:firstLine="720"/>
        <w:rPr>
          <w:rFonts w:ascii="Aptos" w:hAnsi="Aptos"/>
        </w:rPr>
      </w:pPr>
      <w:bookmarkStart w:id="147" w:name="Contradictions_in_digital_laws"/>
      <w:bookmarkStart w:id="148" w:name="_bookmark39"/>
      <w:bookmarkStart w:id="149" w:name="_Toc168584227"/>
      <w:bookmarkStart w:id="150" w:name="_Hlk170395078"/>
      <w:bookmarkEnd w:id="147"/>
      <w:bookmarkEnd w:id="148"/>
      <w:r w:rsidRPr="000E5FB9">
        <w:rPr>
          <w:rFonts w:ascii="Aptos" w:hAnsi="Aptos"/>
          <w:b/>
          <w:bCs/>
          <w:color w:val="FF0000"/>
          <w:sz w:val="24"/>
          <w:szCs w:val="24"/>
        </w:rPr>
        <w:t>Contradictions in digital laws</w:t>
      </w:r>
      <w:bookmarkEnd w:id="149"/>
    </w:p>
    <w:p w14:paraId="1805AF68" w14:textId="77777777" w:rsidR="003B777E" w:rsidRPr="009B5839" w:rsidRDefault="003B777E">
      <w:pPr>
        <w:pStyle w:val="BodyText"/>
        <w:spacing w:before="11"/>
        <w:rPr>
          <w:rFonts w:ascii="Aptos" w:hAnsi="Aptos"/>
          <w:sz w:val="23"/>
        </w:rPr>
      </w:pPr>
    </w:p>
    <w:tbl>
      <w:tblPr>
        <w:tblStyle w:val="TableNormal1"/>
        <w:tblW w:w="0" w:type="auto"/>
        <w:tblInd w:w="1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6"/>
      </w:tblGrid>
      <w:tr w:rsidR="003B777E" w:rsidRPr="009B5839" w14:paraId="47D99644" w14:textId="77777777">
        <w:trPr>
          <w:trHeight w:val="489"/>
        </w:trPr>
        <w:tc>
          <w:tcPr>
            <w:tcW w:w="9066" w:type="dxa"/>
            <w:shd w:val="clear" w:color="auto" w:fill="D9D9D9"/>
          </w:tcPr>
          <w:p w14:paraId="2D26E2DA" w14:textId="77777777" w:rsidR="003B777E" w:rsidRPr="009B5839" w:rsidRDefault="00000000">
            <w:pPr>
              <w:pStyle w:val="TableParagraph"/>
              <w:spacing w:before="115"/>
              <w:rPr>
                <w:rFonts w:ascii="Aptos" w:hAnsi="Aptos"/>
                <w:b/>
              </w:rPr>
            </w:pPr>
            <w:r w:rsidRPr="009B5839">
              <w:rPr>
                <w:rFonts w:ascii="Aptos" w:hAnsi="Aptos"/>
                <w:b/>
              </w:rPr>
              <w:t>Question</w:t>
            </w:r>
          </w:p>
        </w:tc>
      </w:tr>
      <w:tr w:rsidR="003B777E" w:rsidRPr="009B5839" w14:paraId="4036B70E" w14:textId="77777777">
        <w:trPr>
          <w:trHeight w:val="1094"/>
        </w:trPr>
        <w:tc>
          <w:tcPr>
            <w:tcW w:w="9066" w:type="dxa"/>
          </w:tcPr>
          <w:p w14:paraId="58A4AABB" w14:textId="3FD13239" w:rsidR="003B777E" w:rsidRPr="009B5839" w:rsidRDefault="00F95277">
            <w:pPr>
              <w:pStyle w:val="TableParagraph"/>
              <w:spacing w:before="4"/>
              <w:jc w:val="both"/>
              <w:rPr>
                <w:rFonts w:ascii="Aptos" w:hAnsi="Aptos"/>
                <w:b/>
              </w:rPr>
            </w:pPr>
            <w:r w:rsidRPr="00F95277">
              <w:rPr>
                <w:rFonts w:ascii="Aptos" w:hAnsi="Aptos"/>
              </w:rPr>
              <w:t>A number of digital laws have been enacted in recent years. Some of these contain contradictory formulations and regulations, which creates confusion and uncertainty among stakeholders. This creates a great deal of legal uncertainty among the stakeholders concerned.</w:t>
            </w:r>
            <w:r w:rsidRPr="00F95277">
              <w:rPr>
                <w:rFonts w:ascii="Aptos" w:hAnsi="Aptos"/>
                <w:b/>
                <w:bCs/>
              </w:rPr>
              <w:t xml:space="preserve"> Are you considering a "legal scrub" to resolve contradictions in the digital laws?</w:t>
            </w:r>
          </w:p>
        </w:tc>
      </w:tr>
      <w:tr w:rsidR="003B777E" w:rsidRPr="009B5839" w14:paraId="7EB8047E" w14:textId="77777777">
        <w:trPr>
          <w:trHeight w:val="493"/>
        </w:trPr>
        <w:tc>
          <w:tcPr>
            <w:tcW w:w="9066" w:type="dxa"/>
            <w:shd w:val="clear" w:color="auto" w:fill="D9D9D9"/>
          </w:tcPr>
          <w:p w14:paraId="0E196157" w14:textId="3C8D68D8" w:rsidR="003B777E" w:rsidRPr="009B5839" w:rsidRDefault="00F95277" w:rsidP="00F95277">
            <w:pPr>
              <w:pStyle w:val="TableParagraph"/>
              <w:spacing w:before="115"/>
              <w:ind w:left="0"/>
              <w:rPr>
                <w:rFonts w:ascii="Aptos" w:hAnsi="Aptos"/>
                <w:b/>
              </w:rPr>
            </w:pPr>
            <w:r>
              <w:rPr>
                <w:rFonts w:ascii="Aptos" w:hAnsi="Aptos"/>
                <w:b/>
              </w:rPr>
              <w:t xml:space="preserve">  Further questions </w:t>
            </w:r>
          </w:p>
        </w:tc>
      </w:tr>
      <w:tr w:rsidR="003B777E" w:rsidRPr="009B5839" w14:paraId="06CFE73E" w14:textId="77777777">
        <w:trPr>
          <w:trHeight w:val="744"/>
        </w:trPr>
        <w:tc>
          <w:tcPr>
            <w:tcW w:w="9066" w:type="dxa"/>
          </w:tcPr>
          <w:p w14:paraId="74915752" w14:textId="590DEB05" w:rsidR="003B777E" w:rsidRPr="009B5839" w:rsidRDefault="00F95277">
            <w:pPr>
              <w:pStyle w:val="TableParagraph"/>
              <w:numPr>
                <w:ilvl w:val="0"/>
                <w:numId w:val="1"/>
              </w:numPr>
              <w:tabs>
                <w:tab w:val="left" w:pos="831"/>
              </w:tabs>
              <w:spacing w:before="115" w:line="242" w:lineRule="auto"/>
              <w:ind w:right="102"/>
              <w:rPr>
                <w:rFonts w:ascii="Aptos" w:hAnsi="Aptos"/>
              </w:rPr>
            </w:pPr>
            <w:r w:rsidRPr="00F95277">
              <w:rPr>
                <w:rFonts w:ascii="Aptos" w:hAnsi="Aptos"/>
              </w:rPr>
              <w:t>Do you intend to implement a mechanism to resolve inconsistencies in the regulations?</w:t>
            </w:r>
          </w:p>
        </w:tc>
      </w:tr>
    </w:tbl>
    <w:p w14:paraId="70E6F223" w14:textId="77777777" w:rsidR="003B777E" w:rsidRPr="009B5839" w:rsidRDefault="003B777E">
      <w:pPr>
        <w:pStyle w:val="BodyText"/>
        <w:rPr>
          <w:rFonts w:ascii="Aptos" w:hAnsi="Aptos"/>
        </w:rPr>
      </w:pPr>
    </w:p>
    <w:tbl>
      <w:tblPr>
        <w:tblStyle w:val="TableNormal1"/>
        <w:tblW w:w="0" w:type="auto"/>
        <w:tblInd w:w="1426" w:type="dxa"/>
        <w:tblLayout w:type="fixed"/>
        <w:tblLook w:val="01E0" w:firstRow="1" w:lastRow="1" w:firstColumn="1" w:lastColumn="1" w:noHBand="0" w:noVBand="0"/>
      </w:tblPr>
      <w:tblGrid>
        <w:gridCol w:w="9066"/>
      </w:tblGrid>
      <w:tr w:rsidR="00581D82" w:rsidRPr="009B5839" w14:paraId="07B6C0BB" w14:textId="77777777" w:rsidTr="0066677D">
        <w:trPr>
          <w:trHeight w:val="277"/>
        </w:trPr>
        <w:tc>
          <w:tcPr>
            <w:tcW w:w="9066" w:type="dxa"/>
            <w:shd w:val="clear" w:color="auto" w:fill="D9D9D9"/>
          </w:tcPr>
          <w:p w14:paraId="1666FAF8" w14:textId="77777777" w:rsidR="00581D82" w:rsidRPr="009B5839" w:rsidRDefault="00581D82" w:rsidP="0066677D">
            <w:pPr>
              <w:pStyle w:val="TableParagraph"/>
              <w:spacing w:line="258" w:lineRule="exact"/>
              <w:ind w:left="0"/>
              <w:rPr>
                <w:rFonts w:ascii="Aptos" w:hAnsi="Aptos"/>
                <w:b/>
                <w:sz w:val="24"/>
              </w:rPr>
            </w:pPr>
            <w:r w:rsidRPr="0012585D">
              <w:rPr>
                <w:rFonts w:ascii="Aptos" w:hAnsi="Aptos"/>
                <w:b/>
                <w:szCs w:val="20"/>
              </w:rPr>
              <w:t>Background</w:t>
            </w:r>
          </w:p>
        </w:tc>
      </w:tr>
      <w:tr w:rsidR="00581D82" w:rsidRPr="00CE3E5E" w14:paraId="40CDE978" w14:textId="77777777" w:rsidTr="0066677D">
        <w:trPr>
          <w:trHeight w:val="1516"/>
        </w:trPr>
        <w:tc>
          <w:tcPr>
            <w:tcW w:w="9066" w:type="dxa"/>
          </w:tcPr>
          <w:p w14:paraId="090C8819" w14:textId="2526B279" w:rsidR="00581D82" w:rsidRPr="00CE3E5E" w:rsidRDefault="00581D82" w:rsidP="0012585D">
            <w:pPr>
              <w:pStyle w:val="TableParagraph"/>
              <w:spacing w:before="3" w:line="239" w:lineRule="exact"/>
              <w:ind w:left="0"/>
              <w:jc w:val="both"/>
              <w:rPr>
                <w:rFonts w:ascii="Aptos" w:hAnsi="Aptos"/>
                <w:bCs/>
              </w:rPr>
            </w:pPr>
            <w:r w:rsidRPr="00581D82">
              <w:rPr>
                <w:rFonts w:ascii="Aptos" w:hAnsi="Aptos"/>
                <w:bCs/>
              </w:rPr>
              <w:t>Due to the large number of new digital legal acts in recent years, legal practitioners are increasingly confronted with contradictory or at least not fully harmonized laws. This is often due to the fact that new regulations are being developed in a fast-moving digital environment where existing laws may not yet have been fully adapted. The EU is fundamentally committed to creating a coherent and harmonized set of rules for the Digital Single Market. Nevertheless, the complexity and rapid development of the digital environment can lead to contradictions and tensions between different regulations. These contradictions require continuous adjustment and coordination between the various legislative initiatives to ensure that they are compatible with each other and promote the EU's overarching objectives in the areas of data protection, competition, innovation and fundamental rights.</w:t>
            </w:r>
            <w:r>
              <w:t xml:space="preserve"> </w:t>
            </w:r>
            <w:r w:rsidRPr="00581D82">
              <w:rPr>
                <w:rFonts w:ascii="Aptos" w:hAnsi="Aptos"/>
                <w:bCs/>
              </w:rPr>
              <w:t>For this reason, it is advisable to subject EU digital laws to what is known as "legal scrubbing". Legal scrubbing is the process of legally reviewing and cleaning up texts, in particular contracts, draft laws, agreements and other legal documents. This process ensures the legal quality and clarity of documents. A thorough review and clean-up can minimize legal risks and ensure the comprehensibility and consistency of texts.</w:t>
            </w:r>
          </w:p>
        </w:tc>
      </w:tr>
      <w:bookmarkEnd w:id="150"/>
    </w:tbl>
    <w:p w14:paraId="59B4F489" w14:textId="05FDFA88" w:rsidR="003B777E" w:rsidRPr="009B5839" w:rsidRDefault="003B777E">
      <w:pPr>
        <w:spacing w:before="122"/>
        <w:ind w:left="1416"/>
        <w:rPr>
          <w:rFonts w:ascii="Aptos" w:hAnsi="Aptos"/>
        </w:rPr>
      </w:pPr>
    </w:p>
    <w:sectPr w:rsidR="003B777E" w:rsidRPr="009B5839">
      <w:pgSz w:w="11910" w:h="16840"/>
      <w:pgMar w:top="1920" w:right="0" w:bottom="1360" w:left="0" w:header="472" w:footer="11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B49C5B" w14:textId="77777777" w:rsidR="005B3170" w:rsidRDefault="005B3170">
      <w:r>
        <w:separator/>
      </w:r>
    </w:p>
  </w:endnote>
  <w:endnote w:type="continuationSeparator" w:id="0">
    <w:p w14:paraId="45C08AC3" w14:textId="77777777" w:rsidR="005B3170" w:rsidRDefault="005B3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FDDFF" w14:textId="77777777" w:rsidR="00A37477" w:rsidRDefault="00A374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5F349" w14:textId="77777777" w:rsidR="00A37477" w:rsidRPr="00A37477" w:rsidRDefault="00A37477" w:rsidP="00BC4DE4">
    <w:pPr>
      <w:widowControl/>
      <w:tabs>
        <w:tab w:val="center" w:pos="4536"/>
        <w:tab w:val="right" w:pos="9072"/>
      </w:tabs>
      <w:autoSpaceDE/>
      <w:autoSpaceDN/>
      <w:jc w:val="right"/>
      <w:rPr>
        <w:rFonts w:ascii="Aptos" w:eastAsia="Calibri" w:hAnsi="Aptos" w:cs="Times New Roman"/>
        <w:color w:val="808080"/>
        <w:sz w:val="20"/>
        <w:szCs w:val="20"/>
      </w:rPr>
    </w:pPr>
    <w:r w:rsidRPr="00A37477">
      <w:rPr>
        <w:rFonts w:ascii="Aptos" w:eastAsia="Calibri" w:hAnsi="Aptos" w:cs="Times New Roman"/>
        <w:color w:val="808080"/>
        <w:sz w:val="18"/>
        <w:szCs w:val="18"/>
      </w:rPr>
      <w:t>For any inquiries please contact:</w:t>
    </w:r>
  </w:p>
  <w:p w14:paraId="76331075" w14:textId="77777777" w:rsidR="00A37477" w:rsidRPr="00814963" w:rsidRDefault="00A37477" w:rsidP="00BC4DE4">
    <w:pPr>
      <w:widowControl/>
      <w:tabs>
        <w:tab w:val="center" w:pos="4536"/>
        <w:tab w:val="right" w:pos="9072"/>
      </w:tabs>
      <w:autoSpaceDE/>
      <w:autoSpaceDN/>
      <w:jc w:val="right"/>
      <w:rPr>
        <w:rFonts w:ascii="Aptos" w:eastAsia="Calibri" w:hAnsi="Aptos" w:cs="Times New Roman"/>
        <w:color w:val="808080"/>
        <w:sz w:val="18"/>
        <w:szCs w:val="18"/>
        <w:lang w:val="pt-PT"/>
      </w:rPr>
    </w:pPr>
    <w:r w:rsidRPr="00A37477">
      <w:rPr>
        <w:rFonts w:ascii="Aptos" w:eastAsia="Calibri" w:hAnsi="Aptos" w:cs="Times New Roman"/>
        <w:color w:val="808080"/>
        <w:sz w:val="18"/>
        <w:szCs w:val="18"/>
      </w:rPr>
      <w:tab/>
    </w:r>
    <w:r w:rsidRPr="00A37477">
      <w:rPr>
        <w:rFonts w:ascii="Aptos" w:eastAsia="Calibri" w:hAnsi="Aptos" w:cs="Times New Roman"/>
        <w:color w:val="808080"/>
        <w:sz w:val="18"/>
        <w:szCs w:val="18"/>
      </w:rPr>
      <w:tab/>
    </w:r>
    <w:r w:rsidRPr="00814963">
      <w:rPr>
        <w:rFonts w:ascii="Aptos" w:eastAsia="Calibri" w:hAnsi="Aptos" w:cs="Times New Roman"/>
        <w:color w:val="808080"/>
        <w:sz w:val="18"/>
        <w:szCs w:val="18"/>
        <w:lang w:val="pt-PT"/>
      </w:rPr>
      <w:t>Jeremias Jobst</w:t>
    </w:r>
  </w:p>
  <w:p w14:paraId="200B60A7" w14:textId="77777777" w:rsidR="00A37477" w:rsidRPr="00814963" w:rsidRDefault="00A37477" w:rsidP="00BC4DE4">
    <w:pPr>
      <w:widowControl/>
      <w:tabs>
        <w:tab w:val="center" w:pos="4536"/>
        <w:tab w:val="right" w:pos="9072"/>
      </w:tabs>
      <w:autoSpaceDE/>
      <w:autoSpaceDN/>
      <w:jc w:val="right"/>
      <w:rPr>
        <w:rFonts w:ascii="Aptos" w:eastAsia="Calibri" w:hAnsi="Aptos" w:cs="Times New Roman"/>
        <w:color w:val="808080"/>
        <w:sz w:val="18"/>
        <w:szCs w:val="18"/>
        <w:lang w:val="pt-PT"/>
      </w:rPr>
    </w:pPr>
    <w:r w:rsidRPr="00814963">
      <w:rPr>
        <w:rFonts w:ascii="Aptos" w:eastAsia="Calibri" w:hAnsi="Aptos" w:cs="Times New Roman"/>
        <w:color w:val="808080"/>
        <w:sz w:val="18"/>
        <w:szCs w:val="18"/>
        <w:lang w:val="pt-PT"/>
      </w:rPr>
      <w:tab/>
    </w:r>
    <w:r w:rsidRPr="00814963">
      <w:rPr>
        <w:rFonts w:ascii="Aptos" w:eastAsia="Calibri" w:hAnsi="Aptos" w:cs="Times New Roman"/>
        <w:color w:val="808080"/>
        <w:sz w:val="18"/>
        <w:szCs w:val="18"/>
        <w:lang w:val="pt-PT"/>
      </w:rPr>
      <w:tab/>
      <w:t>jeremias.jobst@voewg.at</w:t>
    </w:r>
  </w:p>
  <w:p w14:paraId="225E44FA" w14:textId="2C31667F" w:rsidR="003B777E" w:rsidRPr="00A37477" w:rsidRDefault="00A37477" w:rsidP="00BC4DE4">
    <w:pPr>
      <w:widowControl/>
      <w:tabs>
        <w:tab w:val="center" w:pos="4536"/>
        <w:tab w:val="right" w:pos="9072"/>
      </w:tabs>
      <w:autoSpaceDE/>
      <w:autoSpaceDN/>
      <w:jc w:val="right"/>
      <w:rPr>
        <w:rFonts w:ascii="Aptos" w:eastAsia="Calibri" w:hAnsi="Aptos" w:cs="Times New Roman"/>
        <w:color w:val="808080"/>
        <w:sz w:val="18"/>
        <w:szCs w:val="18"/>
      </w:rPr>
    </w:pPr>
    <w:r w:rsidRPr="00814963">
      <w:rPr>
        <w:rFonts w:ascii="Aptos" w:eastAsia="Calibri" w:hAnsi="Aptos" w:cs="Times New Roman"/>
        <w:color w:val="808080"/>
        <w:sz w:val="18"/>
        <w:szCs w:val="18"/>
        <w:lang w:val="pt-PT"/>
      </w:rPr>
      <w:tab/>
    </w:r>
    <w:r w:rsidRPr="00A37477">
      <w:rPr>
        <w:rFonts w:ascii="Aptos" w:eastAsia="Calibri" w:hAnsi="Aptos" w:cs="Times New Roman"/>
        <w:color w:val="808080"/>
        <w:sz w:val="20"/>
        <w:szCs w:val="20"/>
        <w:lang w:val="de-AT"/>
      </w:rPr>
      <w:fldChar w:fldCharType="begin"/>
    </w:r>
    <w:r w:rsidRPr="00A37477">
      <w:rPr>
        <w:rFonts w:ascii="Aptos" w:eastAsia="Calibri" w:hAnsi="Aptos" w:cs="Times New Roman"/>
        <w:color w:val="808080"/>
        <w:sz w:val="20"/>
        <w:szCs w:val="20"/>
      </w:rPr>
      <w:instrText>PAGE   \* MERGEFORMAT</w:instrText>
    </w:r>
    <w:r w:rsidRPr="00A37477">
      <w:rPr>
        <w:rFonts w:ascii="Aptos" w:eastAsia="Calibri" w:hAnsi="Aptos" w:cs="Times New Roman"/>
        <w:color w:val="808080"/>
        <w:sz w:val="20"/>
        <w:szCs w:val="20"/>
        <w:lang w:val="de-AT"/>
      </w:rPr>
      <w:fldChar w:fldCharType="separate"/>
    </w:r>
    <w:r w:rsidRPr="00A37477">
      <w:rPr>
        <w:rFonts w:ascii="Aptos" w:eastAsia="Calibri" w:hAnsi="Aptos" w:cs="Times New Roman"/>
        <w:color w:val="808080"/>
        <w:sz w:val="20"/>
        <w:szCs w:val="20"/>
        <w:lang w:val="de-AT"/>
      </w:rPr>
      <w:t>20</w:t>
    </w:r>
    <w:r w:rsidRPr="00A37477">
      <w:rPr>
        <w:rFonts w:ascii="Aptos" w:eastAsia="Calibri" w:hAnsi="Aptos" w:cs="Times New Roman"/>
        <w:color w:val="808080"/>
        <w:sz w:val="20"/>
        <w:szCs w:val="20"/>
        <w:lang w:val="de-AT"/>
      </w:rPr>
      <w:fldChar w:fldCharType="end"/>
    </w:r>
    <w:r w:rsidRPr="00A37477">
      <w:rPr>
        <w:rFonts w:ascii="Aptos" w:eastAsia="Calibri" w:hAnsi="Aptos" w:cs="Times New Roman"/>
        <w:color w:val="808080"/>
        <w:sz w:val="18"/>
        <w:szCs w:val="18"/>
      </w:rPr>
      <w:tab/>
      <w:t>+43 1 408 2202-26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50DC66" w14:textId="15961850" w:rsidR="004F594F" w:rsidRDefault="004F594F">
    <w:pPr>
      <w:pStyle w:val="Footer"/>
    </w:pPr>
    <w:r>
      <w:rPr>
        <w:noProof/>
      </w:rPr>
      <mc:AlternateContent>
        <mc:Choice Requires="wps">
          <w:drawing>
            <wp:anchor distT="0" distB="0" distL="114300" distR="114300" simplePos="0" relativeHeight="251662336" behindDoc="1" locked="0" layoutInCell="1" allowOverlap="1" wp14:anchorId="7CD78EA4" wp14:editId="583D574B">
              <wp:simplePos x="0" y="0"/>
              <wp:positionH relativeFrom="page">
                <wp:posOffset>5067300</wp:posOffset>
              </wp:positionH>
              <wp:positionV relativeFrom="page">
                <wp:posOffset>9968230</wp:posOffset>
              </wp:positionV>
              <wp:extent cx="1763395" cy="567055"/>
              <wp:effectExtent l="0" t="0" r="0" b="0"/>
              <wp:wrapNone/>
              <wp:docPr id="197469364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567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1B1792" w14:textId="77777777" w:rsidR="004F594F" w:rsidRDefault="004F594F" w:rsidP="004F594F">
                          <w:pPr>
                            <w:spacing w:before="16" w:line="242" w:lineRule="auto"/>
                            <w:ind w:left="20" w:right="21" w:firstLine="139"/>
                            <w:jc w:val="right"/>
                            <w:rPr>
                              <w:color w:val="808080"/>
                              <w:spacing w:val="1"/>
                              <w:sz w:val="18"/>
                            </w:rPr>
                          </w:pPr>
                          <w:r>
                            <w:rPr>
                              <w:color w:val="808080"/>
                              <w:sz w:val="18"/>
                            </w:rPr>
                            <w:t>For any inquiries please contact:</w:t>
                          </w:r>
                          <w:r>
                            <w:rPr>
                              <w:color w:val="808080"/>
                              <w:spacing w:val="-47"/>
                              <w:sz w:val="18"/>
                            </w:rPr>
                            <w:t xml:space="preserve"> </w:t>
                          </w:r>
                          <w:r>
                            <w:rPr>
                              <w:color w:val="808080"/>
                              <w:sz w:val="18"/>
                            </w:rPr>
                            <w:t>Jeremias Jobst</w:t>
                          </w:r>
                          <w:r>
                            <w:rPr>
                              <w:color w:val="808080"/>
                              <w:spacing w:val="1"/>
                              <w:sz w:val="18"/>
                            </w:rPr>
                            <w:t xml:space="preserve"> </w:t>
                          </w:r>
                        </w:p>
                        <w:p w14:paraId="7F642875" w14:textId="77777777" w:rsidR="004F594F" w:rsidRDefault="00000000" w:rsidP="004F594F">
                          <w:pPr>
                            <w:spacing w:before="16" w:line="242" w:lineRule="auto"/>
                            <w:ind w:left="20" w:right="21" w:firstLine="139"/>
                            <w:jc w:val="right"/>
                            <w:rPr>
                              <w:sz w:val="18"/>
                            </w:rPr>
                          </w:pPr>
                          <w:hyperlink r:id="rId1" w:history="1">
                            <w:r w:rsidR="004F594F" w:rsidRPr="00B201F7">
                              <w:rPr>
                                <w:rStyle w:val="Hyperlink"/>
                                <w:spacing w:val="-1"/>
                                <w:sz w:val="18"/>
                              </w:rPr>
                              <w:t>jeremias.jobst@voewg.at</w:t>
                            </w:r>
                          </w:hyperlink>
                        </w:p>
                        <w:p w14:paraId="40710A56" w14:textId="77777777" w:rsidR="004F594F" w:rsidRDefault="004F594F" w:rsidP="004F594F">
                          <w:pPr>
                            <w:spacing w:before="21"/>
                            <w:ind w:right="18"/>
                            <w:jc w:val="right"/>
                            <w:rPr>
                              <w:sz w:val="18"/>
                            </w:rPr>
                          </w:pPr>
                          <w:r>
                            <w:rPr>
                              <w:color w:val="808080"/>
                              <w:sz w:val="18"/>
                            </w:rPr>
                            <w:t>+43</w:t>
                          </w:r>
                          <w:r>
                            <w:rPr>
                              <w:color w:val="808080"/>
                              <w:spacing w:val="2"/>
                              <w:sz w:val="18"/>
                            </w:rPr>
                            <w:t xml:space="preserve"> </w:t>
                          </w:r>
                          <w:r>
                            <w:rPr>
                              <w:color w:val="808080"/>
                              <w:sz w:val="18"/>
                            </w:rPr>
                            <w:t>1</w:t>
                          </w:r>
                          <w:r>
                            <w:rPr>
                              <w:color w:val="808080"/>
                              <w:spacing w:val="-2"/>
                              <w:sz w:val="18"/>
                            </w:rPr>
                            <w:t xml:space="preserve"> </w:t>
                          </w:r>
                          <w:r>
                            <w:rPr>
                              <w:color w:val="808080"/>
                              <w:sz w:val="18"/>
                            </w:rPr>
                            <w:t>408</w:t>
                          </w:r>
                          <w:r>
                            <w:rPr>
                              <w:color w:val="808080"/>
                              <w:spacing w:val="-1"/>
                              <w:sz w:val="18"/>
                            </w:rPr>
                            <w:t xml:space="preserve"> </w:t>
                          </w:r>
                          <w:r>
                            <w:rPr>
                              <w:color w:val="808080"/>
                              <w:sz w:val="18"/>
                            </w:rPr>
                            <w:t>2202-26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D78EA4" id="_x0000_t202" coordsize="21600,21600" o:spt="202" path="m,l,21600r21600,l21600,xe">
              <v:stroke joinstyle="miter"/>
              <v:path gradientshapeok="t" o:connecttype="rect"/>
            </v:shapetype>
            <v:shape id="Textfeld 2" o:spid="_x0000_s1027" type="#_x0000_t202" style="position:absolute;margin-left:399pt;margin-top:784.9pt;width:138.85pt;height:44.6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hna3AEAAJkDAAAOAAAAZHJzL2Uyb0RvYy54bWysU8tu2zAQvBfoPxC815KT2mkFy0GaIEWB&#10;NC2Q9gMoirKISlx2l7bkfn2XlOX0cSt6IVZ8zM7MjjbXY9+Jg0Gy4Eq5XORSGKehtm5Xyq9f7l+9&#10;kYKCcrXqwJlSHg3J6+3LF5vBF+YCWuhqg4JBHBWDL2Ubgi+yjHRrekUL8MbxYQPYq8CfuMtqVAOj&#10;9112kefrbACsPYI2RLx7Nx3KbcJvGqPDp6YhE0RXSuYW0oppreKabTeq2KHyrdUnGuofWPTKOm56&#10;hrpTQYk92r+geqsRCJqw0NBn0DRWm6SB1SzzP9Q8tcqbpIXNIX+2if4frH48PPnPKML4DkYeYBJB&#10;/gH0NxIOblvlduYGEYbWqJobL6Nl2eCpOD2NVlNBEaQaPkLNQ1b7AAlobLCPrrBOweg8gOPZdDMG&#10;oWPLq/Xl5duVFJrPVuurfLVKLVQxv/ZI4b2BXsSilMhDTejq8EAhslHFfCU2c3Bvuy4NtnO/bfDF&#10;uJPYR8IT9TBWo7A1M3kdG0c1FdRH1oMw5YXzzUUL+EOKgbNSSvq+V2ik6D449iQGay5wLqq5UE7z&#10;01IGKabyNkwB3Hu0u5aRJ9cd3LBvjU2Snlmc+PL8k9JTVmPAfv1Ot57/qO1PAAAA//8DAFBLAwQU&#10;AAYACAAAACEAXMYFOuIAAAAOAQAADwAAAGRycy9kb3ducmV2LnhtbEyPwU7DMBBE70j8g7VI3Khd&#10;pCRNiFNVCE5IiDQcODqxm1iN1yF22/D3bE9w29GMZueV28WN7GzmYD1KWK8EMIOd1xZ7CZ/N68MG&#10;WIgKtRo9Ggk/JsC2ur0pVaH9BWtz3seeUQmGQkkYYpwKzkM3GKfCyk8GyTv42alIcu65ntWFyt3I&#10;H4VIuVMW6cOgJvM8mO64PzkJuy+sX+z3e/tRH2rbNLnAt/Qo5f3dsnsCFs0S/8JwnU/ToaJNrT+h&#10;DmyUkOUbYolkJGlOENeIyJIMWEtXmuRr4FXJ/2NUvwAAAP//AwBQSwECLQAUAAYACAAAACEAtoM4&#10;kv4AAADhAQAAEwAAAAAAAAAAAAAAAAAAAAAAW0NvbnRlbnRfVHlwZXNdLnhtbFBLAQItABQABgAI&#10;AAAAIQA4/SH/1gAAAJQBAAALAAAAAAAAAAAAAAAAAC8BAABfcmVscy8ucmVsc1BLAQItABQABgAI&#10;AAAAIQBYLhna3AEAAJkDAAAOAAAAAAAAAAAAAAAAAC4CAABkcnMvZTJvRG9jLnhtbFBLAQItABQA&#10;BgAIAAAAIQBcxgU64gAAAA4BAAAPAAAAAAAAAAAAAAAAADYEAABkcnMvZG93bnJldi54bWxQSwUG&#10;AAAAAAQABADzAAAARQUAAAAA&#10;" filled="f" stroked="f">
              <v:textbox inset="0,0,0,0">
                <w:txbxContent>
                  <w:p w14:paraId="591B1792" w14:textId="77777777" w:rsidR="004F594F" w:rsidRDefault="004F594F" w:rsidP="004F594F">
                    <w:pPr>
                      <w:spacing w:before="16" w:line="242" w:lineRule="auto"/>
                      <w:ind w:left="20" w:right="21" w:firstLine="139"/>
                      <w:jc w:val="right"/>
                      <w:rPr>
                        <w:color w:val="808080"/>
                        <w:spacing w:val="1"/>
                        <w:sz w:val="18"/>
                      </w:rPr>
                    </w:pPr>
                    <w:r>
                      <w:rPr>
                        <w:color w:val="808080"/>
                        <w:sz w:val="18"/>
                      </w:rPr>
                      <w:t>For any inquiries please contact:</w:t>
                    </w:r>
                    <w:r>
                      <w:rPr>
                        <w:color w:val="808080"/>
                        <w:spacing w:val="-47"/>
                        <w:sz w:val="18"/>
                      </w:rPr>
                      <w:t xml:space="preserve"> </w:t>
                    </w:r>
                    <w:r>
                      <w:rPr>
                        <w:color w:val="808080"/>
                        <w:sz w:val="18"/>
                      </w:rPr>
                      <w:t>Jeremias Jobst</w:t>
                    </w:r>
                    <w:r>
                      <w:rPr>
                        <w:color w:val="808080"/>
                        <w:spacing w:val="1"/>
                        <w:sz w:val="18"/>
                      </w:rPr>
                      <w:t xml:space="preserve"> </w:t>
                    </w:r>
                  </w:p>
                  <w:p w14:paraId="7F642875" w14:textId="77777777" w:rsidR="004F594F" w:rsidRDefault="00000000" w:rsidP="004F594F">
                    <w:pPr>
                      <w:spacing w:before="16" w:line="242" w:lineRule="auto"/>
                      <w:ind w:left="20" w:right="21" w:firstLine="139"/>
                      <w:jc w:val="right"/>
                      <w:rPr>
                        <w:sz w:val="18"/>
                      </w:rPr>
                    </w:pPr>
                    <w:hyperlink r:id="rId2" w:history="1">
                      <w:r w:rsidR="004F594F" w:rsidRPr="00B201F7">
                        <w:rPr>
                          <w:rStyle w:val="Hyperlink"/>
                          <w:spacing w:val="-1"/>
                          <w:sz w:val="18"/>
                        </w:rPr>
                        <w:t>jeremias.jobst@voewg.at</w:t>
                      </w:r>
                    </w:hyperlink>
                  </w:p>
                  <w:p w14:paraId="40710A56" w14:textId="77777777" w:rsidR="004F594F" w:rsidRDefault="004F594F" w:rsidP="004F594F">
                    <w:pPr>
                      <w:spacing w:before="21"/>
                      <w:ind w:right="18"/>
                      <w:jc w:val="right"/>
                      <w:rPr>
                        <w:sz w:val="18"/>
                      </w:rPr>
                    </w:pPr>
                    <w:r>
                      <w:rPr>
                        <w:color w:val="808080"/>
                        <w:sz w:val="18"/>
                      </w:rPr>
                      <w:t>+43</w:t>
                    </w:r>
                    <w:r>
                      <w:rPr>
                        <w:color w:val="808080"/>
                        <w:spacing w:val="2"/>
                        <w:sz w:val="18"/>
                      </w:rPr>
                      <w:t xml:space="preserve"> </w:t>
                    </w:r>
                    <w:r>
                      <w:rPr>
                        <w:color w:val="808080"/>
                        <w:sz w:val="18"/>
                      </w:rPr>
                      <w:t>1</w:t>
                    </w:r>
                    <w:r>
                      <w:rPr>
                        <w:color w:val="808080"/>
                        <w:spacing w:val="-2"/>
                        <w:sz w:val="18"/>
                      </w:rPr>
                      <w:t xml:space="preserve"> </w:t>
                    </w:r>
                    <w:r>
                      <w:rPr>
                        <w:color w:val="808080"/>
                        <w:sz w:val="18"/>
                      </w:rPr>
                      <w:t>408</w:t>
                    </w:r>
                    <w:r>
                      <w:rPr>
                        <w:color w:val="808080"/>
                        <w:spacing w:val="-1"/>
                        <w:sz w:val="18"/>
                      </w:rPr>
                      <w:t xml:space="preserve"> </w:t>
                    </w:r>
                    <w:r>
                      <w:rPr>
                        <w:color w:val="808080"/>
                        <w:sz w:val="18"/>
                      </w:rPr>
                      <w:t>2202-26</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96C7E" w14:textId="77777777" w:rsidR="003B777E" w:rsidRDefault="00000000">
    <w:pPr>
      <w:pStyle w:val="BodyText"/>
      <w:spacing w:line="14" w:lineRule="auto"/>
      <w:rPr>
        <w:b w:val="0"/>
        <w:sz w:val="20"/>
      </w:rPr>
    </w:pPr>
    <w:r>
      <w:pict w14:anchorId="1B255921">
        <v:shapetype id="_x0000_t202" coordsize="21600,21600" o:spt="202" path="m,l,21600r21600,l21600,xe">
          <v:stroke joinstyle="miter"/>
          <v:path gradientshapeok="t" o:connecttype="rect"/>
        </v:shapetype>
        <v:shape id="_x0000_s1041" type="#_x0000_t202" style="position:absolute;margin-left:387pt;margin-top:772.9pt;width:138.85pt;height:44.65pt;z-index:-251650560;mso-position-horizontal-relative:page;mso-position-vertical-relative:page" filled="f" stroked="f">
          <v:textbox style="mso-next-textbox:#_x0000_s1041" inset="0,0,0,0">
            <w:txbxContent>
              <w:p w14:paraId="3A96B832" w14:textId="77777777" w:rsidR="00FA63B1" w:rsidRDefault="00FA63B1" w:rsidP="00FA63B1">
                <w:pPr>
                  <w:spacing w:before="16" w:line="242" w:lineRule="auto"/>
                  <w:ind w:left="20" w:right="21" w:firstLine="139"/>
                  <w:jc w:val="right"/>
                  <w:rPr>
                    <w:color w:val="808080"/>
                    <w:spacing w:val="1"/>
                    <w:sz w:val="18"/>
                  </w:rPr>
                </w:pPr>
                <w:r>
                  <w:rPr>
                    <w:color w:val="808080"/>
                    <w:sz w:val="18"/>
                  </w:rPr>
                  <w:t>For any inquiries please contact:</w:t>
                </w:r>
                <w:r>
                  <w:rPr>
                    <w:color w:val="808080"/>
                    <w:spacing w:val="-47"/>
                    <w:sz w:val="18"/>
                  </w:rPr>
                  <w:t xml:space="preserve"> </w:t>
                </w:r>
                <w:r>
                  <w:rPr>
                    <w:color w:val="808080"/>
                    <w:sz w:val="18"/>
                  </w:rPr>
                  <w:t>Jeremias Jobst</w:t>
                </w:r>
                <w:r>
                  <w:rPr>
                    <w:color w:val="808080"/>
                    <w:spacing w:val="1"/>
                    <w:sz w:val="18"/>
                  </w:rPr>
                  <w:t xml:space="preserve"> </w:t>
                </w:r>
              </w:p>
              <w:p w14:paraId="43252EA8" w14:textId="77777777" w:rsidR="00FA63B1" w:rsidRDefault="00000000" w:rsidP="00FA63B1">
                <w:pPr>
                  <w:spacing w:before="16" w:line="242" w:lineRule="auto"/>
                  <w:ind w:left="20" w:right="21" w:firstLine="139"/>
                  <w:jc w:val="right"/>
                  <w:rPr>
                    <w:sz w:val="18"/>
                  </w:rPr>
                </w:pPr>
                <w:hyperlink r:id="rId1" w:history="1">
                  <w:r w:rsidR="00FA63B1" w:rsidRPr="00B201F7">
                    <w:rPr>
                      <w:rStyle w:val="Hyperlink"/>
                      <w:spacing w:val="-1"/>
                      <w:sz w:val="18"/>
                    </w:rPr>
                    <w:t>jeremias.jobst@voewg.at</w:t>
                  </w:r>
                </w:hyperlink>
              </w:p>
              <w:p w14:paraId="047BAA5E" w14:textId="77777777" w:rsidR="00FA63B1" w:rsidRDefault="00FA63B1" w:rsidP="00FA63B1">
                <w:pPr>
                  <w:spacing w:before="21"/>
                  <w:ind w:right="18"/>
                  <w:jc w:val="right"/>
                  <w:rPr>
                    <w:sz w:val="18"/>
                  </w:rPr>
                </w:pPr>
                <w:r>
                  <w:rPr>
                    <w:color w:val="808080"/>
                    <w:sz w:val="18"/>
                  </w:rPr>
                  <w:t>+43</w:t>
                </w:r>
                <w:r>
                  <w:rPr>
                    <w:color w:val="808080"/>
                    <w:spacing w:val="2"/>
                    <w:sz w:val="18"/>
                  </w:rPr>
                  <w:t xml:space="preserve"> </w:t>
                </w:r>
                <w:r>
                  <w:rPr>
                    <w:color w:val="808080"/>
                    <w:sz w:val="18"/>
                  </w:rPr>
                  <w:t>1</w:t>
                </w:r>
                <w:r>
                  <w:rPr>
                    <w:color w:val="808080"/>
                    <w:spacing w:val="-2"/>
                    <w:sz w:val="18"/>
                  </w:rPr>
                  <w:t xml:space="preserve"> </w:t>
                </w:r>
                <w:r>
                  <w:rPr>
                    <w:color w:val="808080"/>
                    <w:sz w:val="18"/>
                  </w:rPr>
                  <w:t>408</w:t>
                </w:r>
                <w:r>
                  <w:rPr>
                    <w:color w:val="808080"/>
                    <w:spacing w:val="-1"/>
                    <w:sz w:val="18"/>
                  </w:rPr>
                  <w:t xml:space="preserve"> </w:t>
                </w:r>
                <w:r>
                  <w:rPr>
                    <w:color w:val="808080"/>
                    <w:sz w:val="18"/>
                  </w:rPr>
                  <w:t>2202-26</w:t>
                </w:r>
              </w:p>
              <w:p w14:paraId="622EFF51" w14:textId="22CA010B" w:rsidR="003B777E" w:rsidRDefault="003B777E">
                <w:pPr>
                  <w:spacing w:before="21"/>
                  <w:ind w:right="18"/>
                  <w:jc w:val="right"/>
                  <w:rPr>
                    <w:sz w:val="18"/>
                  </w:rPr>
                </w:pPr>
              </w:p>
            </w:txbxContent>
          </v:textbox>
          <w10:wrap anchorx="page" anchory="page"/>
        </v:shape>
      </w:pict>
    </w:r>
    <w:r>
      <w:pict w14:anchorId="02D90974">
        <v:shape id="_x0000_s1040" type="#_x0000_t202" style="position:absolute;margin-left:289.2pt;margin-top:804.45pt;width:17.05pt;height:13.3pt;z-index:-251649536;mso-position-horizontal-relative:page;mso-position-vertical-relative:page" filled="f" stroked="f">
          <v:textbox style="mso-next-textbox:#_x0000_s1040" inset="0,0,0,0">
            <w:txbxContent>
              <w:p w14:paraId="339A1A19" w14:textId="77777777" w:rsidR="003B777E" w:rsidRDefault="00000000">
                <w:pPr>
                  <w:spacing w:before="15"/>
                  <w:ind w:left="60"/>
                  <w:rPr>
                    <w:sz w:val="20"/>
                  </w:rPr>
                </w:pPr>
                <w:r>
                  <w:fldChar w:fldCharType="begin"/>
                </w:r>
                <w:r>
                  <w:rPr>
                    <w:color w:val="808080"/>
                    <w:sz w:val="20"/>
                  </w:rPr>
                  <w:instrText xml:space="preserve"> PAGE </w:instrText>
                </w:r>
                <w:r>
                  <w:fldChar w:fldCharType="separate"/>
                </w:r>
                <w:r>
                  <w:t>17</w:t>
                </w:r>
                <w: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8DFC5" w14:textId="77AB1029" w:rsidR="003B777E" w:rsidRDefault="00FE6156">
    <w:pPr>
      <w:pStyle w:val="BodyText"/>
      <w:spacing w:line="14" w:lineRule="auto"/>
      <w:rPr>
        <w:b w:val="0"/>
        <w:sz w:val="20"/>
      </w:rPr>
    </w:pPr>
    <w:r>
      <w:rPr>
        <w:noProof/>
      </w:rPr>
      <mc:AlternateContent>
        <mc:Choice Requires="wps">
          <w:drawing>
            <wp:anchor distT="0" distB="0" distL="114300" distR="114300" simplePos="0" relativeHeight="251639296" behindDoc="1" locked="0" layoutInCell="1" allowOverlap="1" wp14:anchorId="4F173AC0" wp14:editId="02686232">
              <wp:simplePos x="0" y="0"/>
              <wp:positionH relativeFrom="page">
                <wp:posOffset>4781550</wp:posOffset>
              </wp:positionH>
              <wp:positionV relativeFrom="page">
                <wp:posOffset>9815830</wp:posOffset>
              </wp:positionV>
              <wp:extent cx="1896745" cy="567055"/>
              <wp:effectExtent l="0" t="0" r="0" b="0"/>
              <wp:wrapNone/>
              <wp:docPr id="1270930558"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6745" cy="567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F8A397" w14:textId="77777777" w:rsidR="00F95277" w:rsidRDefault="00F95277" w:rsidP="00F95277">
                          <w:pPr>
                            <w:spacing w:before="16" w:line="242" w:lineRule="auto"/>
                            <w:ind w:left="20" w:right="21" w:firstLine="139"/>
                            <w:jc w:val="right"/>
                            <w:rPr>
                              <w:color w:val="808080"/>
                              <w:spacing w:val="1"/>
                              <w:sz w:val="18"/>
                            </w:rPr>
                          </w:pPr>
                          <w:r>
                            <w:rPr>
                              <w:color w:val="808080"/>
                              <w:sz w:val="18"/>
                            </w:rPr>
                            <w:t>For any inquiries please contact:</w:t>
                          </w:r>
                          <w:r>
                            <w:rPr>
                              <w:color w:val="808080"/>
                              <w:spacing w:val="-47"/>
                              <w:sz w:val="18"/>
                            </w:rPr>
                            <w:t xml:space="preserve"> </w:t>
                          </w:r>
                          <w:r>
                            <w:rPr>
                              <w:color w:val="808080"/>
                              <w:sz w:val="18"/>
                            </w:rPr>
                            <w:t>Jeremias Jobst</w:t>
                          </w:r>
                          <w:r>
                            <w:rPr>
                              <w:color w:val="808080"/>
                              <w:spacing w:val="1"/>
                              <w:sz w:val="18"/>
                            </w:rPr>
                            <w:t xml:space="preserve"> </w:t>
                          </w:r>
                        </w:p>
                        <w:p w14:paraId="3BA8C481" w14:textId="77777777" w:rsidR="00F95277" w:rsidRDefault="00000000" w:rsidP="00F95277">
                          <w:pPr>
                            <w:spacing w:before="16" w:line="242" w:lineRule="auto"/>
                            <w:ind w:left="20" w:right="21" w:firstLine="139"/>
                            <w:jc w:val="right"/>
                            <w:rPr>
                              <w:sz w:val="18"/>
                            </w:rPr>
                          </w:pPr>
                          <w:hyperlink r:id="rId1" w:history="1">
                            <w:r w:rsidR="00F95277" w:rsidRPr="00B201F7">
                              <w:rPr>
                                <w:rStyle w:val="Hyperlink"/>
                                <w:spacing w:val="-1"/>
                                <w:sz w:val="18"/>
                              </w:rPr>
                              <w:t>jeremias.jobst@voewg.at</w:t>
                            </w:r>
                          </w:hyperlink>
                        </w:p>
                        <w:p w14:paraId="54874B06" w14:textId="77777777" w:rsidR="00F95277" w:rsidRDefault="00F95277" w:rsidP="00F95277">
                          <w:pPr>
                            <w:spacing w:before="21"/>
                            <w:ind w:right="18"/>
                            <w:jc w:val="right"/>
                            <w:rPr>
                              <w:sz w:val="18"/>
                            </w:rPr>
                          </w:pPr>
                          <w:r>
                            <w:rPr>
                              <w:color w:val="808080"/>
                              <w:sz w:val="18"/>
                            </w:rPr>
                            <w:t>+43</w:t>
                          </w:r>
                          <w:r>
                            <w:rPr>
                              <w:color w:val="808080"/>
                              <w:spacing w:val="2"/>
                              <w:sz w:val="18"/>
                            </w:rPr>
                            <w:t xml:space="preserve"> </w:t>
                          </w:r>
                          <w:r>
                            <w:rPr>
                              <w:color w:val="808080"/>
                              <w:sz w:val="18"/>
                            </w:rPr>
                            <w:t>1</w:t>
                          </w:r>
                          <w:r>
                            <w:rPr>
                              <w:color w:val="808080"/>
                              <w:spacing w:val="-2"/>
                              <w:sz w:val="18"/>
                            </w:rPr>
                            <w:t xml:space="preserve"> </w:t>
                          </w:r>
                          <w:r>
                            <w:rPr>
                              <w:color w:val="808080"/>
                              <w:sz w:val="18"/>
                            </w:rPr>
                            <w:t>408</w:t>
                          </w:r>
                          <w:r>
                            <w:rPr>
                              <w:color w:val="808080"/>
                              <w:spacing w:val="-1"/>
                              <w:sz w:val="18"/>
                            </w:rPr>
                            <w:t xml:space="preserve"> </w:t>
                          </w:r>
                          <w:r>
                            <w:rPr>
                              <w:color w:val="808080"/>
                              <w:sz w:val="18"/>
                            </w:rPr>
                            <w:t>2202-26</w:t>
                          </w:r>
                        </w:p>
                        <w:p w14:paraId="20C68A11" w14:textId="0A8DA4D1" w:rsidR="003B777E" w:rsidRDefault="003B777E">
                          <w:pPr>
                            <w:spacing w:before="24"/>
                            <w:ind w:right="18"/>
                            <w:jc w:val="right"/>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173AC0" id="_x0000_t202" coordsize="21600,21600" o:spt="202" path="m,l,21600r21600,l21600,xe">
              <v:stroke joinstyle="miter"/>
              <v:path gradientshapeok="t" o:connecttype="rect"/>
            </v:shapetype>
            <v:shape id="Textfeld 3" o:spid="_x0000_s1029" type="#_x0000_t202" style="position:absolute;margin-left:376.5pt;margin-top:772.9pt;width:149.35pt;height:44.65pt;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vez2wEAAJkDAAAOAAAAZHJzL2Uyb0RvYy54bWysU8tu2zAQvBfoPxC817KD2kkFy0GaIEWB&#10;9AGk/YAVRUlEJS67pC25X98lZTltcwt6IVZ8zM7MjrbXY9+JgyZv0BZytVhKoa3CytimkN+/3b+5&#10;ksIHsBV0aHUhj9rL693rV9vB5foCW+wqTYJBrM8HV8g2BJdnmVet7sEv0GnLhzVSD4E/qckqgoHR&#10;+y67WC432YBUOUKlvefdu+lQ7hJ+XWsVvtS110F0hWRuIa2U1jKu2W4LeUPgWqNONOAFLHowlpue&#10;oe4ggNiTeQbVG0XosQ4LhX2GdW2UThpYzWr5j5rHFpxOWtgc7842+f8Hqz4fHt1XEmF8jyMPMInw&#10;7gHVDy8s3rZgG31DhEOroeLGq2hZNjifn55Gq33uI0g5fMKKhwz7gAlorKmPrrBOweg8gOPZdD0G&#10;oWLLq3eby7drKRSfrTeXy/U6tYB8fu3Ihw8aexGLQhIPNaHD4cGHyAby+UpsZvHedF0abGf/2uCL&#10;cSexj4Qn6mEsR2EqZrKJjaOaEqsj6yGc8sL55qJF+iXFwFkppP+5B9JSdB8texKDNRc0F+VcgFX8&#10;tJBBiqm8DVMA945M0zLy5LrFG/atNknSE4sTX55/UnrKagzYn9/p1tMftfsNAAD//wMAUEsDBBQA&#10;BgAIAAAAIQCf8TmG4gAAAA4BAAAPAAAAZHJzL2Rvd25yZXYueG1sTI/BTsMwEETvSPyDtUjcqB1K&#10;UghxqgrBCQmRhgNHJ3YTq/E6xG4b/p7tqdx2NKPZecV6dgM7milYjxKShQBmsPXaYifhq367ewQW&#10;okKtBo9Gwq8JsC6vrwqVa3/Cyhy3sWNUgiFXEvoYx5zz0PbGqbDwo0Hydn5yKpKcOq4ndaJyN/B7&#10;ITLulEX60KvRvPSm3W8PTsLmG6tX+/PRfFa7ytb1k8D3bC/l7c28eQYWzRwvYTjPp+lQ0qbGH1AH&#10;NkhYpUtiiWSkDylBnCMiTVbAGrqyZZoALwv+H6P8AwAA//8DAFBLAQItABQABgAIAAAAIQC2gziS&#10;/gAAAOEBAAATAAAAAAAAAAAAAAAAAAAAAABbQ29udGVudF9UeXBlc10ueG1sUEsBAi0AFAAGAAgA&#10;AAAhADj9If/WAAAAlAEAAAsAAAAAAAAAAAAAAAAALwEAAF9yZWxzLy5yZWxzUEsBAi0AFAAGAAgA&#10;AAAhAB2u97PbAQAAmQMAAA4AAAAAAAAAAAAAAAAALgIAAGRycy9lMm9Eb2MueG1sUEsBAi0AFAAG&#10;AAgAAAAhAJ/xOYbiAAAADgEAAA8AAAAAAAAAAAAAAAAANQQAAGRycy9kb3ducmV2LnhtbFBLBQYA&#10;AAAABAAEAPMAAABEBQAAAAA=&#10;" filled="f" stroked="f">
              <v:textbox inset="0,0,0,0">
                <w:txbxContent>
                  <w:p w14:paraId="76F8A397" w14:textId="77777777" w:rsidR="00F95277" w:rsidRDefault="00F95277" w:rsidP="00F95277">
                    <w:pPr>
                      <w:spacing w:before="16" w:line="242" w:lineRule="auto"/>
                      <w:ind w:left="20" w:right="21" w:firstLine="139"/>
                      <w:jc w:val="right"/>
                      <w:rPr>
                        <w:color w:val="808080"/>
                        <w:spacing w:val="1"/>
                        <w:sz w:val="18"/>
                      </w:rPr>
                    </w:pPr>
                    <w:r>
                      <w:rPr>
                        <w:color w:val="808080"/>
                        <w:sz w:val="18"/>
                      </w:rPr>
                      <w:t>For any inquiries please contact:</w:t>
                    </w:r>
                    <w:r>
                      <w:rPr>
                        <w:color w:val="808080"/>
                        <w:spacing w:val="-47"/>
                        <w:sz w:val="18"/>
                      </w:rPr>
                      <w:t xml:space="preserve"> </w:t>
                    </w:r>
                    <w:r>
                      <w:rPr>
                        <w:color w:val="808080"/>
                        <w:sz w:val="18"/>
                      </w:rPr>
                      <w:t>Jeremias Jobst</w:t>
                    </w:r>
                    <w:r>
                      <w:rPr>
                        <w:color w:val="808080"/>
                        <w:spacing w:val="1"/>
                        <w:sz w:val="18"/>
                      </w:rPr>
                      <w:t xml:space="preserve"> </w:t>
                    </w:r>
                  </w:p>
                  <w:p w14:paraId="3BA8C481" w14:textId="77777777" w:rsidR="00F95277" w:rsidRDefault="00000000" w:rsidP="00F95277">
                    <w:pPr>
                      <w:spacing w:before="16" w:line="242" w:lineRule="auto"/>
                      <w:ind w:left="20" w:right="21" w:firstLine="139"/>
                      <w:jc w:val="right"/>
                      <w:rPr>
                        <w:sz w:val="18"/>
                      </w:rPr>
                    </w:pPr>
                    <w:hyperlink r:id="rId2" w:history="1">
                      <w:r w:rsidR="00F95277" w:rsidRPr="00B201F7">
                        <w:rPr>
                          <w:rStyle w:val="Hyperlink"/>
                          <w:spacing w:val="-1"/>
                          <w:sz w:val="18"/>
                        </w:rPr>
                        <w:t>jeremias.jobst@voewg.at</w:t>
                      </w:r>
                    </w:hyperlink>
                  </w:p>
                  <w:p w14:paraId="54874B06" w14:textId="77777777" w:rsidR="00F95277" w:rsidRDefault="00F95277" w:rsidP="00F95277">
                    <w:pPr>
                      <w:spacing w:before="21"/>
                      <w:ind w:right="18"/>
                      <w:jc w:val="right"/>
                      <w:rPr>
                        <w:sz w:val="18"/>
                      </w:rPr>
                    </w:pPr>
                    <w:r>
                      <w:rPr>
                        <w:color w:val="808080"/>
                        <w:sz w:val="18"/>
                      </w:rPr>
                      <w:t>+43</w:t>
                    </w:r>
                    <w:r>
                      <w:rPr>
                        <w:color w:val="808080"/>
                        <w:spacing w:val="2"/>
                        <w:sz w:val="18"/>
                      </w:rPr>
                      <w:t xml:space="preserve"> </w:t>
                    </w:r>
                    <w:r>
                      <w:rPr>
                        <w:color w:val="808080"/>
                        <w:sz w:val="18"/>
                      </w:rPr>
                      <w:t>1</w:t>
                    </w:r>
                    <w:r>
                      <w:rPr>
                        <w:color w:val="808080"/>
                        <w:spacing w:val="-2"/>
                        <w:sz w:val="18"/>
                      </w:rPr>
                      <w:t xml:space="preserve"> </w:t>
                    </w:r>
                    <w:r>
                      <w:rPr>
                        <w:color w:val="808080"/>
                        <w:sz w:val="18"/>
                      </w:rPr>
                      <w:t>408</w:t>
                    </w:r>
                    <w:r>
                      <w:rPr>
                        <w:color w:val="808080"/>
                        <w:spacing w:val="-1"/>
                        <w:sz w:val="18"/>
                      </w:rPr>
                      <w:t xml:space="preserve"> </w:t>
                    </w:r>
                    <w:r>
                      <w:rPr>
                        <w:color w:val="808080"/>
                        <w:sz w:val="18"/>
                      </w:rPr>
                      <w:t>2202-26</w:t>
                    </w:r>
                  </w:p>
                  <w:p w14:paraId="20C68A11" w14:textId="0A8DA4D1" w:rsidR="003B777E" w:rsidRDefault="003B777E">
                    <w:pPr>
                      <w:spacing w:before="24"/>
                      <w:ind w:right="18"/>
                      <w:jc w:val="right"/>
                      <w:rPr>
                        <w:sz w:val="18"/>
                      </w:rPr>
                    </w:pPr>
                  </w:p>
                </w:txbxContent>
              </v:textbox>
              <w10:wrap anchorx="page" anchory="page"/>
            </v:shape>
          </w:pict>
        </mc:Fallback>
      </mc:AlternateContent>
    </w:r>
    <w:r>
      <w:rPr>
        <w:noProof/>
      </w:rPr>
      <mc:AlternateContent>
        <mc:Choice Requires="wps">
          <w:drawing>
            <wp:anchor distT="0" distB="0" distL="114300" distR="114300" simplePos="0" relativeHeight="251640320" behindDoc="1" locked="0" layoutInCell="1" allowOverlap="1" wp14:anchorId="4935A4DA" wp14:editId="798BBF33">
              <wp:simplePos x="0" y="0"/>
              <wp:positionH relativeFrom="page">
                <wp:posOffset>3672840</wp:posOffset>
              </wp:positionH>
              <wp:positionV relativeFrom="page">
                <wp:posOffset>10216515</wp:posOffset>
              </wp:positionV>
              <wp:extent cx="216535" cy="168910"/>
              <wp:effectExtent l="0" t="0" r="0" b="0"/>
              <wp:wrapNone/>
              <wp:docPr id="161023113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E5144D" w14:textId="77777777" w:rsidR="003B777E" w:rsidRDefault="00000000">
                          <w:pPr>
                            <w:spacing w:before="15"/>
                            <w:ind w:left="60"/>
                            <w:rPr>
                              <w:sz w:val="20"/>
                            </w:rPr>
                          </w:pPr>
                          <w:r>
                            <w:fldChar w:fldCharType="begin"/>
                          </w:r>
                          <w:r>
                            <w:rPr>
                              <w:color w:val="808080"/>
                              <w:sz w:val="20"/>
                            </w:rPr>
                            <w:instrText xml:space="preserve"> PAGE </w:instrText>
                          </w:r>
                          <w:r>
                            <w:fldChar w:fldCharType="separate"/>
                          </w:r>
                          <w:r>
                            <w:t>28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35A4DA" id="_x0000_s1030" type="#_x0000_t202" style="position:absolute;margin-left:289.2pt;margin-top:804.45pt;width:17.05pt;height:13.3pt;z-index:-251676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GSY2wEAAJgDAAAOAAAAZHJzL2Uyb0RvYy54bWysU1Fv0zAQfkfiP1h+p2mKVkbUdBqbhpAG&#10;Qxr7ARfHaSwSnzm7Tcqv5+w0HbA3xIt1Ptvffd93583V2HfioMkbtKXMF0sptFVYG7sr5dO3uzeX&#10;UvgAtoYOrS7lUXt5tX39ajO4Qq+wxa7WJBjE+mJwpWxDcEWWedXqHvwCnbZ82CD1EHhLu6wmGBi9&#10;77LVcrnOBqTaESrtPWdvp0O5TfhNo1V4aBqvg+hKydxCWimtVVyz7QaKHYFrjTrRgH9g0YOxXPQM&#10;dQsBxJ7MC6jeKEKPTVgo7DNsGqN00sBq8uVfah5bcDppYXO8O9vk/x+s+nJ4dF9JhPEDjtzAJMK7&#10;e1TfvbB404Ld6WsiHFoNNRfOo2XZ4Hxxehqt9oWPINXwGWtuMuwDJqCxoT66wjoFo3MDjmfT9RiE&#10;4uQqX1+8vZBC8VG+vnyfp6ZkUMyPHfnwUWMvYlBK4p4mcDjc+xDJQDFfibUs3pmuS33t7B8Jvhgz&#10;iXzkOzEPYzUKU3Pxd1FaFFNhfWQ5hNO48Hhz0CL9lGLgUSml/7EH0lJ0nyxbEudqDmgOqjkAq/hp&#10;KYMUU3gTpvnbOzK7lpEn0y1es22NSZKeWZz4cvuT0tOoxvn6fZ9uPX+o7S8AAAD//wMAUEsDBBQA&#10;BgAIAAAAIQAHx/+m4QAAAA0BAAAPAAAAZHJzL2Rvd25yZXYueG1sTI/BTsMwDIbvSLxDZCRuLNmg&#10;pStNpwnBCQnRlQPHtMnaaI1Tmmwrb493gqP9f/r9udjMbmAnMwXrUcJyIYAZbL222En4rF/vMmAh&#10;KtRq8Ggk/JgAm/L6qlC59meszGkXO0YlGHIloY9xzDkPbW+cCgs/GqRs7yenIo1Tx/WkzlTuBr4S&#10;IuVOWaQLvRrNc2/aw+7oJGy/sHqx3+/NR7WvbF2vBb6lBylvb+btE7Bo5vgHw0Wf1KEkp8YfUQc2&#10;SEgeswdCKUhFtgZGSLpcJcCay+o+SYCXBf//RfkLAAD//wMAUEsBAi0AFAAGAAgAAAAhALaDOJL+&#10;AAAA4QEAABMAAAAAAAAAAAAAAAAAAAAAAFtDb250ZW50X1R5cGVzXS54bWxQSwECLQAUAAYACAAA&#10;ACEAOP0h/9YAAACUAQAACwAAAAAAAAAAAAAAAAAvAQAAX3JlbHMvLnJlbHNQSwECLQAUAAYACAAA&#10;ACEAfaBkmNsBAACYAwAADgAAAAAAAAAAAAAAAAAuAgAAZHJzL2Uyb0RvYy54bWxQSwECLQAUAAYA&#10;CAAAACEAB8f/puEAAAANAQAADwAAAAAAAAAAAAAAAAA1BAAAZHJzL2Rvd25yZXYueG1sUEsFBgAA&#10;AAAEAAQA8wAAAEMFAAAAAA==&#10;" filled="f" stroked="f">
              <v:textbox inset="0,0,0,0">
                <w:txbxContent>
                  <w:p w14:paraId="78E5144D" w14:textId="77777777" w:rsidR="003B777E" w:rsidRDefault="00000000">
                    <w:pPr>
                      <w:spacing w:before="15"/>
                      <w:ind w:left="60"/>
                      <w:rPr>
                        <w:sz w:val="20"/>
                      </w:rPr>
                    </w:pPr>
                    <w:r>
                      <w:fldChar w:fldCharType="begin"/>
                    </w:r>
                    <w:r>
                      <w:rPr>
                        <w:color w:val="808080"/>
                        <w:sz w:val="20"/>
                      </w:rPr>
                      <w:instrText xml:space="preserve"> PAGE </w:instrText>
                    </w:r>
                    <w:r>
                      <w:fldChar w:fldCharType="separate"/>
                    </w:r>
                    <w:r>
                      <w:t>28</w:t>
                    </w:r>
                    <w: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79910E" w14:textId="77777777" w:rsidR="003B777E" w:rsidRDefault="00000000">
    <w:pPr>
      <w:pStyle w:val="BodyText"/>
      <w:spacing w:line="14" w:lineRule="auto"/>
      <w:rPr>
        <w:b w:val="0"/>
        <w:sz w:val="20"/>
      </w:rPr>
    </w:pPr>
    <w:r>
      <w:pict w14:anchorId="3F2F073F">
        <v:shapetype id="_x0000_t202" coordsize="21600,21600" o:spt="202" path="m,l,21600r21600,l21600,xe">
          <v:stroke joinstyle="miter"/>
          <v:path gradientshapeok="t" o:connecttype="rect"/>
        </v:shapetype>
        <v:shape id="_x0000_s1035" type="#_x0000_t202" style="position:absolute;margin-left:379.75pt;margin-top:772.9pt;width:146.1pt;height:44.65pt;z-index:-251647488;mso-position-horizontal-relative:page;mso-position-vertical-relative:page" filled="f" stroked="f">
          <v:textbox style="mso-next-textbox:#_x0000_s1035" inset="0,0,0,0">
            <w:txbxContent>
              <w:p w14:paraId="0C9E5F69" w14:textId="77777777" w:rsidR="00F95277" w:rsidRDefault="00F95277" w:rsidP="00F95277">
                <w:pPr>
                  <w:spacing w:before="16" w:line="242" w:lineRule="auto"/>
                  <w:ind w:left="20" w:right="21" w:firstLine="139"/>
                  <w:jc w:val="right"/>
                  <w:rPr>
                    <w:color w:val="808080"/>
                    <w:spacing w:val="1"/>
                    <w:sz w:val="18"/>
                  </w:rPr>
                </w:pPr>
                <w:r>
                  <w:rPr>
                    <w:color w:val="808080"/>
                    <w:sz w:val="18"/>
                  </w:rPr>
                  <w:t>For any inquiries please contact:</w:t>
                </w:r>
                <w:r>
                  <w:rPr>
                    <w:color w:val="808080"/>
                    <w:spacing w:val="-47"/>
                    <w:sz w:val="18"/>
                  </w:rPr>
                  <w:t xml:space="preserve"> </w:t>
                </w:r>
                <w:r>
                  <w:rPr>
                    <w:color w:val="808080"/>
                    <w:sz w:val="18"/>
                  </w:rPr>
                  <w:t>Jeremias Jobst</w:t>
                </w:r>
                <w:r>
                  <w:rPr>
                    <w:color w:val="808080"/>
                    <w:spacing w:val="1"/>
                    <w:sz w:val="18"/>
                  </w:rPr>
                  <w:t xml:space="preserve"> </w:t>
                </w:r>
              </w:p>
              <w:p w14:paraId="32BEF8D7" w14:textId="77777777" w:rsidR="00F95277" w:rsidRDefault="00000000" w:rsidP="00F95277">
                <w:pPr>
                  <w:spacing w:before="16" w:line="242" w:lineRule="auto"/>
                  <w:ind w:left="20" w:right="21" w:firstLine="139"/>
                  <w:jc w:val="right"/>
                  <w:rPr>
                    <w:sz w:val="18"/>
                  </w:rPr>
                </w:pPr>
                <w:hyperlink r:id="rId1" w:history="1">
                  <w:r w:rsidR="00F95277" w:rsidRPr="00B201F7">
                    <w:rPr>
                      <w:rStyle w:val="Hyperlink"/>
                      <w:spacing w:val="-1"/>
                      <w:sz w:val="18"/>
                    </w:rPr>
                    <w:t>jeremias.jobst@voewg.at</w:t>
                  </w:r>
                </w:hyperlink>
              </w:p>
              <w:p w14:paraId="635D24B3" w14:textId="77777777" w:rsidR="00F95277" w:rsidRDefault="00F95277" w:rsidP="00F95277">
                <w:pPr>
                  <w:spacing w:before="21"/>
                  <w:ind w:right="18"/>
                  <w:jc w:val="right"/>
                  <w:rPr>
                    <w:sz w:val="18"/>
                  </w:rPr>
                </w:pPr>
                <w:r>
                  <w:rPr>
                    <w:color w:val="808080"/>
                    <w:sz w:val="18"/>
                  </w:rPr>
                  <w:t>+43</w:t>
                </w:r>
                <w:r>
                  <w:rPr>
                    <w:color w:val="808080"/>
                    <w:spacing w:val="2"/>
                    <w:sz w:val="18"/>
                  </w:rPr>
                  <w:t xml:space="preserve"> </w:t>
                </w:r>
                <w:r>
                  <w:rPr>
                    <w:color w:val="808080"/>
                    <w:sz w:val="18"/>
                  </w:rPr>
                  <w:t>1</w:t>
                </w:r>
                <w:r>
                  <w:rPr>
                    <w:color w:val="808080"/>
                    <w:spacing w:val="-2"/>
                    <w:sz w:val="18"/>
                  </w:rPr>
                  <w:t xml:space="preserve"> </w:t>
                </w:r>
                <w:r>
                  <w:rPr>
                    <w:color w:val="808080"/>
                    <w:sz w:val="18"/>
                  </w:rPr>
                  <w:t>408</w:t>
                </w:r>
                <w:r>
                  <w:rPr>
                    <w:color w:val="808080"/>
                    <w:spacing w:val="-1"/>
                    <w:sz w:val="18"/>
                  </w:rPr>
                  <w:t xml:space="preserve"> </w:t>
                </w:r>
                <w:r>
                  <w:rPr>
                    <w:color w:val="808080"/>
                    <w:sz w:val="18"/>
                  </w:rPr>
                  <w:t>2202-26</w:t>
                </w:r>
              </w:p>
              <w:p w14:paraId="648C7DAB" w14:textId="1778B402" w:rsidR="003B777E" w:rsidRDefault="003B777E">
                <w:pPr>
                  <w:spacing w:before="24"/>
                  <w:ind w:right="18"/>
                  <w:jc w:val="right"/>
                  <w:rPr>
                    <w:sz w:val="18"/>
                  </w:rPr>
                </w:pPr>
              </w:p>
            </w:txbxContent>
          </v:textbox>
          <w10:wrap anchorx="page" anchory="page"/>
        </v:shape>
      </w:pict>
    </w:r>
    <w:r>
      <w:pict w14:anchorId="0A35D3C8">
        <v:shape id="_x0000_s1034" type="#_x0000_t202" style="position:absolute;margin-left:289.2pt;margin-top:804.45pt;width:17.05pt;height:13.3pt;z-index:-251646464;mso-position-horizontal-relative:page;mso-position-vertical-relative:page" filled="f" stroked="f">
          <v:textbox style="mso-next-textbox:#_x0000_s1034" inset="0,0,0,0">
            <w:txbxContent>
              <w:p w14:paraId="2147A906" w14:textId="77777777" w:rsidR="003B777E" w:rsidRDefault="00000000">
                <w:pPr>
                  <w:spacing w:before="15"/>
                  <w:ind w:left="60"/>
                  <w:rPr>
                    <w:sz w:val="20"/>
                  </w:rPr>
                </w:pPr>
                <w:r>
                  <w:fldChar w:fldCharType="begin"/>
                </w:r>
                <w:r>
                  <w:rPr>
                    <w:color w:val="808080"/>
                    <w:sz w:val="20"/>
                  </w:rPr>
                  <w:instrText xml:space="preserve"> PAGE </w:instrText>
                </w:r>
                <w:r>
                  <w:fldChar w:fldCharType="separate"/>
                </w:r>
                <w:r>
                  <w:t>29</w:t>
                </w:r>
                <w:r>
                  <w:fldChar w:fldCharType="end"/>
                </w:r>
              </w:p>
            </w:txbxContent>
          </v:textbox>
          <w10:wrap anchorx="page" anchory="page"/>
        </v:shape>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9124F" w14:textId="0E77435A" w:rsidR="003B777E" w:rsidRDefault="000E5FB9">
    <w:pPr>
      <w:pStyle w:val="BodyText"/>
      <w:spacing w:line="14" w:lineRule="auto"/>
      <w:rPr>
        <w:b w:val="0"/>
        <w:sz w:val="20"/>
      </w:rPr>
    </w:pPr>
    <w:r>
      <w:rPr>
        <w:noProof/>
      </w:rPr>
      <mc:AlternateContent>
        <mc:Choice Requires="wps">
          <w:drawing>
            <wp:anchor distT="0" distB="0" distL="114300" distR="114300" simplePos="0" relativeHeight="251646464" behindDoc="1" locked="0" layoutInCell="1" allowOverlap="1" wp14:anchorId="06CF5754" wp14:editId="656B9D6C">
              <wp:simplePos x="0" y="0"/>
              <wp:positionH relativeFrom="page">
                <wp:posOffset>4914900</wp:posOffset>
              </wp:positionH>
              <wp:positionV relativeFrom="page">
                <wp:posOffset>9815830</wp:posOffset>
              </wp:positionV>
              <wp:extent cx="1763395" cy="567055"/>
              <wp:effectExtent l="0" t="0" r="0" b="0"/>
              <wp:wrapNone/>
              <wp:docPr id="1149697726"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567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D37817" w14:textId="77777777" w:rsidR="00F95277" w:rsidRDefault="00F95277" w:rsidP="00F95277">
                          <w:pPr>
                            <w:spacing w:before="16" w:line="242" w:lineRule="auto"/>
                            <w:ind w:left="20" w:right="21" w:firstLine="139"/>
                            <w:jc w:val="right"/>
                            <w:rPr>
                              <w:color w:val="808080"/>
                              <w:spacing w:val="1"/>
                              <w:sz w:val="18"/>
                            </w:rPr>
                          </w:pPr>
                          <w:r>
                            <w:rPr>
                              <w:color w:val="808080"/>
                              <w:sz w:val="18"/>
                            </w:rPr>
                            <w:t>For any inquiries please contact:</w:t>
                          </w:r>
                          <w:r>
                            <w:rPr>
                              <w:color w:val="808080"/>
                              <w:spacing w:val="-47"/>
                              <w:sz w:val="18"/>
                            </w:rPr>
                            <w:t xml:space="preserve"> </w:t>
                          </w:r>
                          <w:r>
                            <w:rPr>
                              <w:color w:val="808080"/>
                              <w:sz w:val="18"/>
                            </w:rPr>
                            <w:t>Jeremias Jobst</w:t>
                          </w:r>
                          <w:r>
                            <w:rPr>
                              <w:color w:val="808080"/>
                              <w:spacing w:val="1"/>
                              <w:sz w:val="18"/>
                            </w:rPr>
                            <w:t xml:space="preserve"> </w:t>
                          </w:r>
                        </w:p>
                        <w:p w14:paraId="50B2E997" w14:textId="77777777" w:rsidR="00F95277" w:rsidRDefault="00000000" w:rsidP="00F95277">
                          <w:pPr>
                            <w:spacing w:before="16" w:line="242" w:lineRule="auto"/>
                            <w:ind w:left="20" w:right="21" w:firstLine="139"/>
                            <w:jc w:val="right"/>
                            <w:rPr>
                              <w:sz w:val="18"/>
                            </w:rPr>
                          </w:pPr>
                          <w:hyperlink r:id="rId1" w:history="1">
                            <w:r w:rsidR="00F95277" w:rsidRPr="00B201F7">
                              <w:rPr>
                                <w:rStyle w:val="Hyperlink"/>
                                <w:spacing w:val="-1"/>
                                <w:sz w:val="18"/>
                              </w:rPr>
                              <w:t>jeremias.jobst@voewg.at</w:t>
                            </w:r>
                          </w:hyperlink>
                        </w:p>
                        <w:p w14:paraId="7AB81A85" w14:textId="77777777" w:rsidR="00F95277" w:rsidRDefault="00F95277" w:rsidP="00F95277">
                          <w:pPr>
                            <w:spacing w:before="21"/>
                            <w:ind w:right="18"/>
                            <w:jc w:val="right"/>
                            <w:rPr>
                              <w:sz w:val="18"/>
                            </w:rPr>
                          </w:pPr>
                          <w:r>
                            <w:rPr>
                              <w:color w:val="808080"/>
                              <w:sz w:val="18"/>
                            </w:rPr>
                            <w:t>+43</w:t>
                          </w:r>
                          <w:r>
                            <w:rPr>
                              <w:color w:val="808080"/>
                              <w:spacing w:val="2"/>
                              <w:sz w:val="18"/>
                            </w:rPr>
                            <w:t xml:space="preserve"> </w:t>
                          </w:r>
                          <w:r>
                            <w:rPr>
                              <w:color w:val="808080"/>
                              <w:sz w:val="18"/>
                            </w:rPr>
                            <w:t>1</w:t>
                          </w:r>
                          <w:r>
                            <w:rPr>
                              <w:color w:val="808080"/>
                              <w:spacing w:val="-2"/>
                              <w:sz w:val="18"/>
                            </w:rPr>
                            <w:t xml:space="preserve"> </w:t>
                          </w:r>
                          <w:r>
                            <w:rPr>
                              <w:color w:val="808080"/>
                              <w:sz w:val="18"/>
                            </w:rPr>
                            <w:t>408</w:t>
                          </w:r>
                          <w:r>
                            <w:rPr>
                              <w:color w:val="808080"/>
                              <w:spacing w:val="-1"/>
                              <w:sz w:val="18"/>
                            </w:rPr>
                            <w:t xml:space="preserve"> </w:t>
                          </w:r>
                          <w:r>
                            <w:rPr>
                              <w:color w:val="808080"/>
                              <w:sz w:val="18"/>
                            </w:rPr>
                            <w:t>2202-26</w:t>
                          </w:r>
                        </w:p>
                        <w:p w14:paraId="18547619" w14:textId="6D9A0C36" w:rsidR="003B777E" w:rsidRDefault="003B777E">
                          <w:pPr>
                            <w:spacing w:before="21"/>
                            <w:ind w:right="18"/>
                            <w:jc w:val="right"/>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CF5754" id="_x0000_t202" coordsize="21600,21600" o:spt="202" path="m,l,21600r21600,l21600,xe">
              <v:stroke joinstyle="miter"/>
              <v:path gradientshapeok="t" o:connecttype="rect"/>
            </v:shapetype>
            <v:shape id="_x0000_s1032" type="#_x0000_t202" style="position:absolute;margin-left:387pt;margin-top:772.9pt;width:138.85pt;height:44.65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63C2wEAAJkDAAAOAAAAZHJzL2Uyb0RvYy54bWysU8tu2zAQvBfoPxC817IT2GkEy0GaIEWB&#10;tCmQ9gNWFCURlbjskrbkfn2XlOX0cSt6IVZ8zM7MjrY3Y9+JgyZv0BZytVhKoa3CytimkF+/PLx5&#10;K4UPYCvo0OpCHrWXN7vXr7aDy/UFtthVmgSDWJ8PrpBtCC7PMq9a3YNfoNOWD2ukHgJ/UpNVBAOj&#10;9112sVxusgGpcoRKe8+799Oh3CX8utYqPNW110F0hWRuIa2U1jKu2W4LeUPgWqNONOAfWPRgLDc9&#10;Q91DALEn8xdUbxShxzosFPYZ1rVROmlgNavlH2qeW3A6aWFzvDvb5P8frPp0eHafSYTxHY48wCTC&#10;u0dU37yweNeCbfQtEQ6thoobr6Jl2eB8fnoarfa5jyDl8BErHjLsAyagsaY+usI6BaPzAI5n0/UY&#10;hIotrzaXl9drKRSfrTdXy/U6tYB8fu3Ih/caexGLQhIPNaHD4dGHyAby+UpsZvHBdF0abGd/2+CL&#10;cSexj4Qn6mEsR2EqZnIdG0c1JVZH1kM45YXzzUWL9EOKgbNSSP99D6Sl6D5Y9iQGay5oLsq5AKv4&#10;aSGDFFN5F6YA7h2ZpmXkyXWLt+xbbZKkFxYnvjz/pPSU1RiwX7/TrZc/avcTAAD//wMAUEsDBBQA&#10;BgAIAAAAIQCtUUDj4wAAAA4BAAAPAAAAZHJzL2Rvd25yZXYueG1sTI/BTsMwEETvSPyDtUjcqBNo&#10;kjbEqSoEJyREGg4cndhNrMbrELtt+Hu2p3Lb0Yxm5xWb2Q7spCdvHAqIFxEwja1TBjsBX/XbwwqY&#10;DxKVHBxqAb/aw6a8vSlkrtwZK33ahY5RCfpcCuhDGHPOfdtrK/3CjRrJ27vJykBy6ria5JnK7cAf&#10;oyjlVhqkD70c9Uuv28PuaAVsv7F6NT8fzWe1r0xdryN8Tw9C3N/N22dgQc/hGobLfJoOJW1q3BGV&#10;Z4OALFsSSyAjWSYEcYlESZwBa+hKn5IYeFnw/xjlHwAAAP//AwBQSwECLQAUAAYACAAAACEAtoM4&#10;kv4AAADhAQAAEwAAAAAAAAAAAAAAAAAAAAAAW0NvbnRlbnRfVHlwZXNdLnhtbFBLAQItABQABgAI&#10;AAAAIQA4/SH/1gAAAJQBAAALAAAAAAAAAAAAAAAAAC8BAABfcmVscy8ucmVsc1BLAQItABQABgAI&#10;AAAAIQA9j63C2wEAAJkDAAAOAAAAAAAAAAAAAAAAAC4CAABkcnMvZTJvRG9jLnhtbFBLAQItABQA&#10;BgAIAAAAIQCtUUDj4wAAAA4BAAAPAAAAAAAAAAAAAAAAADUEAABkcnMvZG93bnJldi54bWxQSwUG&#10;AAAAAAQABADzAAAARQUAAAAA&#10;" filled="f" stroked="f">
              <v:textbox inset="0,0,0,0">
                <w:txbxContent>
                  <w:p w14:paraId="49D37817" w14:textId="77777777" w:rsidR="00F95277" w:rsidRDefault="00F95277" w:rsidP="00F95277">
                    <w:pPr>
                      <w:spacing w:before="16" w:line="242" w:lineRule="auto"/>
                      <w:ind w:left="20" w:right="21" w:firstLine="139"/>
                      <w:jc w:val="right"/>
                      <w:rPr>
                        <w:color w:val="808080"/>
                        <w:spacing w:val="1"/>
                        <w:sz w:val="18"/>
                      </w:rPr>
                    </w:pPr>
                    <w:r>
                      <w:rPr>
                        <w:color w:val="808080"/>
                        <w:sz w:val="18"/>
                      </w:rPr>
                      <w:t>For any inquiries please contact:</w:t>
                    </w:r>
                    <w:r>
                      <w:rPr>
                        <w:color w:val="808080"/>
                        <w:spacing w:val="-47"/>
                        <w:sz w:val="18"/>
                      </w:rPr>
                      <w:t xml:space="preserve"> </w:t>
                    </w:r>
                    <w:r>
                      <w:rPr>
                        <w:color w:val="808080"/>
                        <w:sz w:val="18"/>
                      </w:rPr>
                      <w:t>Jeremias Jobst</w:t>
                    </w:r>
                    <w:r>
                      <w:rPr>
                        <w:color w:val="808080"/>
                        <w:spacing w:val="1"/>
                        <w:sz w:val="18"/>
                      </w:rPr>
                      <w:t xml:space="preserve"> </w:t>
                    </w:r>
                  </w:p>
                  <w:p w14:paraId="50B2E997" w14:textId="77777777" w:rsidR="00F95277" w:rsidRDefault="00000000" w:rsidP="00F95277">
                    <w:pPr>
                      <w:spacing w:before="16" w:line="242" w:lineRule="auto"/>
                      <w:ind w:left="20" w:right="21" w:firstLine="139"/>
                      <w:jc w:val="right"/>
                      <w:rPr>
                        <w:sz w:val="18"/>
                      </w:rPr>
                    </w:pPr>
                    <w:hyperlink r:id="rId2" w:history="1">
                      <w:r w:rsidR="00F95277" w:rsidRPr="00B201F7">
                        <w:rPr>
                          <w:rStyle w:val="Hyperlink"/>
                          <w:spacing w:val="-1"/>
                          <w:sz w:val="18"/>
                        </w:rPr>
                        <w:t>jeremias.jobst@voewg.at</w:t>
                      </w:r>
                    </w:hyperlink>
                  </w:p>
                  <w:p w14:paraId="7AB81A85" w14:textId="77777777" w:rsidR="00F95277" w:rsidRDefault="00F95277" w:rsidP="00F95277">
                    <w:pPr>
                      <w:spacing w:before="21"/>
                      <w:ind w:right="18"/>
                      <w:jc w:val="right"/>
                      <w:rPr>
                        <w:sz w:val="18"/>
                      </w:rPr>
                    </w:pPr>
                    <w:r>
                      <w:rPr>
                        <w:color w:val="808080"/>
                        <w:sz w:val="18"/>
                      </w:rPr>
                      <w:t>+43</w:t>
                    </w:r>
                    <w:r>
                      <w:rPr>
                        <w:color w:val="808080"/>
                        <w:spacing w:val="2"/>
                        <w:sz w:val="18"/>
                      </w:rPr>
                      <w:t xml:space="preserve"> </w:t>
                    </w:r>
                    <w:r>
                      <w:rPr>
                        <w:color w:val="808080"/>
                        <w:sz w:val="18"/>
                      </w:rPr>
                      <w:t>1</w:t>
                    </w:r>
                    <w:r>
                      <w:rPr>
                        <w:color w:val="808080"/>
                        <w:spacing w:val="-2"/>
                        <w:sz w:val="18"/>
                      </w:rPr>
                      <w:t xml:space="preserve"> </w:t>
                    </w:r>
                    <w:r>
                      <w:rPr>
                        <w:color w:val="808080"/>
                        <w:sz w:val="18"/>
                      </w:rPr>
                      <w:t>408</w:t>
                    </w:r>
                    <w:r>
                      <w:rPr>
                        <w:color w:val="808080"/>
                        <w:spacing w:val="-1"/>
                        <w:sz w:val="18"/>
                      </w:rPr>
                      <w:t xml:space="preserve"> </w:t>
                    </w:r>
                    <w:r>
                      <w:rPr>
                        <w:color w:val="808080"/>
                        <w:sz w:val="18"/>
                      </w:rPr>
                      <w:t>2202-26</w:t>
                    </w:r>
                  </w:p>
                  <w:p w14:paraId="18547619" w14:textId="6D9A0C36" w:rsidR="003B777E" w:rsidRDefault="003B777E">
                    <w:pPr>
                      <w:spacing w:before="21"/>
                      <w:ind w:right="18"/>
                      <w:jc w:val="right"/>
                      <w:rPr>
                        <w:sz w:val="18"/>
                      </w:rPr>
                    </w:pPr>
                  </w:p>
                </w:txbxContent>
              </v:textbox>
              <w10:wrap anchorx="page" anchory="page"/>
            </v:shape>
          </w:pict>
        </mc:Fallback>
      </mc:AlternateContent>
    </w:r>
    <w:r>
      <w:rPr>
        <w:noProof/>
      </w:rPr>
      <mc:AlternateContent>
        <mc:Choice Requires="wps">
          <w:drawing>
            <wp:anchor distT="0" distB="0" distL="114300" distR="114300" simplePos="0" relativeHeight="251651584" behindDoc="1" locked="0" layoutInCell="1" allowOverlap="1" wp14:anchorId="5B55EBE2" wp14:editId="7E99CF59">
              <wp:simplePos x="0" y="0"/>
              <wp:positionH relativeFrom="page">
                <wp:posOffset>3672840</wp:posOffset>
              </wp:positionH>
              <wp:positionV relativeFrom="page">
                <wp:posOffset>10216515</wp:posOffset>
              </wp:positionV>
              <wp:extent cx="216535" cy="168910"/>
              <wp:effectExtent l="0" t="0" r="0" b="0"/>
              <wp:wrapNone/>
              <wp:docPr id="194150318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12737" w14:textId="77777777" w:rsidR="003B777E" w:rsidRDefault="00000000">
                          <w:pPr>
                            <w:spacing w:before="15"/>
                            <w:ind w:left="60"/>
                            <w:rPr>
                              <w:sz w:val="20"/>
                            </w:rPr>
                          </w:pPr>
                          <w:r>
                            <w:fldChar w:fldCharType="begin"/>
                          </w:r>
                          <w:r>
                            <w:rPr>
                              <w:color w:val="808080"/>
                              <w:sz w:val="20"/>
                            </w:rPr>
                            <w:instrText xml:space="preserve"> PAGE </w:instrText>
                          </w:r>
                          <w:r>
                            <w:fldChar w:fldCharType="separate"/>
                          </w:r>
                          <w:r>
                            <w:t>30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55EBE2" id="_x0000_s1033" type="#_x0000_t202" style="position:absolute;margin-left:289.2pt;margin-top:804.45pt;width:17.05pt;height:13.3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gYd2gEAAJgDAAAOAAAAZHJzL2Uyb0RvYy54bWysU9tu2zAMfR+wfxD0vjjO0KAz4hRdiw4D&#10;ugvQ7QNkWbaF2aJGKrGzrx8lx+kub8NeBIqSDs85pHY309CLo0Gy4EqZr9ZSGKehtq4t5dcvD6+u&#10;paCgXK16cKaUJ0PyZv/yxW70hdlAB31tUDCIo2L0pexC8EWWke7MoGgF3jg+bAAHFXiLbVajGhl9&#10;6LPNer3NRsDaI2hDxNn7+VDuE37TGB0+NQ2ZIPpSMreQVkxrFddsv1NFi8p3Vp9pqH9gMSjruOgF&#10;6l4FJQ5o/4IarEYgaMJKw5BB01htkgZWk6//UPPUKW+SFjaH/MUm+n+w+uPxyX9GEaa3MHEDkwjy&#10;j6C/kXBw1ynXmltEGDujai6cR8uy0VNxfhqtpoIiSDV+gJqbrA4BEtDU4BBdYZ2C0bkBp4vpZgpC&#10;c3KTb69eX0mh+SjfXr/JU1MyVSyPPVJ4Z2AQMSglck8TuDo+UohkVLFcibUcPNi+T33t3W8Jvhgz&#10;iXzkOzMPUzUJWzORVDiKqaA+sRyEeVx4vDnoAH9IMfKolJK+HxQaKfr3ji2Jc7UEuATVEiin+Wkp&#10;gxRzeBfm+Tt4tG3HyLPpDm7ZtsYmSc8szny5/UnpeVTjfP26T7eeP9T+JwAAAP//AwBQSwMEFAAG&#10;AAgAAAAhAAfH/6bhAAAADQEAAA8AAABkcnMvZG93bnJldi54bWxMj8FOwzAMhu9IvENkJG4s2aCl&#10;K02nCcEJCdGVA8e0ydpojVOabCtvj3eCo/1/+v252MxuYCczBetRwnIhgBlsvbbYSfisX+8yYCEq&#10;1GrwaCT8mACb8vqqULn2Z6zMaRc7RiUYciWhj3HMOQ9tb5wKCz8apGzvJ6cijVPH9aTOVO4GvhIi&#10;5U5ZpAu9Gs1zb9rD7ugkbL+werHf781Hta9sXa8FvqUHKW9v5u0TsGjm+AfDRZ/UoSSnxh9RBzZI&#10;SB6zB0IpSEW2BkZIulwlwJrL6j5JgJcF//9F+QsAAP//AwBQSwECLQAUAAYACAAAACEAtoM4kv4A&#10;AADhAQAAEwAAAAAAAAAAAAAAAAAAAAAAW0NvbnRlbnRfVHlwZXNdLnhtbFBLAQItABQABgAIAAAA&#10;IQA4/SH/1gAAAJQBAAALAAAAAAAAAAAAAAAAAC8BAABfcmVscy8ucmVsc1BLAQItABQABgAIAAAA&#10;IQBpogYd2gEAAJgDAAAOAAAAAAAAAAAAAAAAAC4CAABkcnMvZTJvRG9jLnhtbFBLAQItABQABgAI&#10;AAAAIQAHx/+m4QAAAA0BAAAPAAAAAAAAAAAAAAAAADQEAABkcnMvZG93bnJldi54bWxQSwUGAAAA&#10;AAQABADzAAAAQgUAAAAA&#10;" filled="f" stroked="f">
              <v:textbox inset="0,0,0,0">
                <w:txbxContent>
                  <w:p w14:paraId="61312737" w14:textId="77777777" w:rsidR="003B777E" w:rsidRDefault="00000000">
                    <w:pPr>
                      <w:spacing w:before="15"/>
                      <w:ind w:left="60"/>
                      <w:rPr>
                        <w:sz w:val="20"/>
                      </w:rPr>
                    </w:pPr>
                    <w:r>
                      <w:fldChar w:fldCharType="begin"/>
                    </w:r>
                    <w:r>
                      <w:rPr>
                        <w:color w:val="808080"/>
                        <w:sz w:val="20"/>
                      </w:rPr>
                      <w:instrText xml:space="preserve"> PAGE </w:instrText>
                    </w:r>
                    <w:r>
                      <w:fldChar w:fldCharType="separate"/>
                    </w:r>
                    <w:r>
                      <w:t>30</w:t>
                    </w:r>
                    <w: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7D71E" w14:textId="77777777" w:rsidR="003B777E" w:rsidRDefault="00000000">
    <w:pPr>
      <w:pStyle w:val="BodyText"/>
      <w:spacing w:line="14" w:lineRule="auto"/>
      <w:rPr>
        <w:b w:val="0"/>
        <w:sz w:val="20"/>
      </w:rPr>
    </w:pPr>
    <w:r>
      <w:pict w14:anchorId="1123DA04">
        <v:shapetype id="_x0000_t202" coordsize="21600,21600" o:spt="202" path="m,l,21600r21600,l21600,xe">
          <v:stroke joinstyle="miter"/>
          <v:path gradientshapeok="t" o:connecttype="rect"/>
        </v:shapetype>
        <v:shape id="_x0000_s1029" type="#_x0000_t202" style="position:absolute;margin-left:387pt;margin-top:772.9pt;width:138.85pt;height:44.65pt;z-index:-251644416;mso-position-horizontal-relative:page;mso-position-vertical-relative:page" filled="f" stroked="f">
          <v:textbox style="mso-next-textbox:#_x0000_s1029" inset="0,0,0,0">
            <w:txbxContent>
              <w:p w14:paraId="38E20130" w14:textId="77777777" w:rsidR="00F95277" w:rsidRDefault="00F95277" w:rsidP="00F95277">
                <w:pPr>
                  <w:spacing w:before="16" w:line="242" w:lineRule="auto"/>
                  <w:ind w:left="20" w:right="21" w:firstLine="139"/>
                  <w:jc w:val="right"/>
                  <w:rPr>
                    <w:color w:val="808080"/>
                    <w:spacing w:val="1"/>
                    <w:sz w:val="18"/>
                  </w:rPr>
                </w:pPr>
                <w:r>
                  <w:rPr>
                    <w:color w:val="808080"/>
                    <w:sz w:val="18"/>
                  </w:rPr>
                  <w:t>For any inquiries please contact:</w:t>
                </w:r>
                <w:r>
                  <w:rPr>
                    <w:color w:val="808080"/>
                    <w:spacing w:val="-47"/>
                    <w:sz w:val="18"/>
                  </w:rPr>
                  <w:t xml:space="preserve"> </w:t>
                </w:r>
                <w:r>
                  <w:rPr>
                    <w:color w:val="808080"/>
                    <w:sz w:val="18"/>
                  </w:rPr>
                  <w:t>Jeremias Jobst</w:t>
                </w:r>
                <w:r>
                  <w:rPr>
                    <w:color w:val="808080"/>
                    <w:spacing w:val="1"/>
                    <w:sz w:val="18"/>
                  </w:rPr>
                  <w:t xml:space="preserve"> </w:t>
                </w:r>
              </w:p>
              <w:p w14:paraId="515451CC" w14:textId="77777777" w:rsidR="00F95277" w:rsidRDefault="00000000" w:rsidP="00F95277">
                <w:pPr>
                  <w:spacing w:before="16" w:line="242" w:lineRule="auto"/>
                  <w:ind w:left="20" w:right="21" w:firstLine="139"/>
                  <w:jc w:val="right"/>
                  <w:rPr>
                    <w:sz w:val="18"/>
                  </w:rPr>
                </w:pPr>
                <w:hyperlink r:id="rId1" w:history="1">
                  <w:r w:rsidR="00F95277" w:rsidRPr="00B201F7">
                    <w:rPr>
                      <w:rStyle w:val="Hyperlink"/>
                      <w:spacing w:val="-1"/>
                      <w:sz w:val="18"/>
                    </w:rPr>
                    <w:t>jeremias.jobst@voewg.at</w:t>
                  </w:r>
                </w:hyperlink>
              </w:p>
              <w:p w14:paraId="2AD2E444" w14:textId="77777777" w:rsidR="00F95277" w:rsidRDefault="00F95277" w:rsidP="00F95277">
                <w:pPr>
                  <w:spacing w:before="21"/>
                  <w:ind w:right="18"/>
                  <w:jc w:val="right"/>
                  <w:rPr>
                    <w:sz w:val="18"/>
                  </w:rPr>
                </w:pPr>
                <w:r>
                  <w:rPr>
                    <w:color w:val="808080"/>
                    <w:sz w:val="18"/>
                  </w:rPr>
                  <w:t>+43</w:t>
                </w:r>
                <w:r>
                  <w:rPr>
                    <w:color w:val="808080"/>
                    <w:spacing w:val="2"/>
                    <w:sz w:val="18"/>
                  </w:rPr>
                  <w:t xml:space="preserve"> </w:t>
                </w:r>
                <w:r>
                  <w:rPr>
                    <w:color w:val="808080"/>
                    <w:sz w:val="18"/>
                  </w:rPr>
                  <w:t>1</w:t>
                </w:r>
                <w:r>
                  <w:rPr>
                    <w:color w:val="808080"/>
                    <w:spacing w:val="-2"/>
                    <w:sz w:val="18"/>
                  </w:rPr>
                  <w:t xml:space="preserve"> </w:t>
                </w:r>
                <w:r>
                  <w:rPr>
                    <w:color w:val="808080"/>
                    <w:sz w:val="18"/>
                  </w:rPr>
                  <w:t>408</w:t>
                </w:r>
                <w:r>
                  <w:rPr>
                    <w:color w:val="808080"/>
                    <w:spacing w:val="-1"/>
                    <w:sz w:val="18"/>
                  </w:rPr>
                  <w:t xml:space="preserve"> </w:t>
                </w:r>
                <w:r>
                  <w:rPr>
                    <w:color w:val="808080"/>
                    <w:sz w:val="18"/>
                  </w:rPr>
                  <w:t>2202-26</w:t>
                </w:r>
              </w:p>
              <w:p w14:paraId="7C0AB79E" w14:textId="43E4BAE0" w:rsidR="003B777E" w:rsidRDefault="003B777E">
                <w:pPr>
                  <w:spacing w:before="21"/>
                  <w:ind w:right="18"/>
                  <w:jc w:val="right"/>
                  <w:rPr>
                    <w:sz w:val="18"/>
                  </w:rPr>
                </w:pPr>
              </w:p>
            </w:txbxContent>
          </v:textbox>
          <w10:wrap anchorx="page" anchory="page"/>
        </v:shape>
      </w:pict>
    </w:r>
    <w:r>
      <w:pict w14:anchorId="276F878C">
        <v:shape id="_x0000_s1028" type="#_x0000_t202" style="position:absolute;margin-left:289.2pt;margin-top:804.45pt;width:17.05pt;height:13.3pt;z-index:-251643392;mso-position-horizontal-relative:page;mso-position-vertical-relative:page" filled="f" stroked="f">
          <v:textbox style="mso-next-textbox:#_x0000_s1028" inset="0,0,0,0">
            <w:txbxContent>
              <w:p w14:paraId="3CBB2F86" w14:textId="77777777" w:rsidR="003B777E" w:rsidRDefault="00000000">
                <w:pPr>
                  <w:spacing w:before="15"/>
                  <w:ind w:left="60"/>
                  <w:rPr>
                    <w:sz w:val="20"/>
                  </w:rPr>
                </w:pPr>
                <w:r>
                  <w:fldChar w:fldCharType="begin"/>
                </w:r>
                <w:r>
                  <w:rPr>
                    <w:color w:val="808080"/>
                    <w:sz w:val="20"/>
                  </w:rPr>
                  <w:instrText xml:space="preserve"> PAGE </w:instrText>
                </w:r>
                <w:r>
                  <w:fldChar w:fldCharType="separate"/>
                </w:r>
                <w:r>
                  <w:t>33</w:t>
                </w:r>
                <w:r>
                  <w:fldChar w:fldCharType="end"/>
                </w:r>
              </w:p>
            </w:txbxContent>
          </v:textbox>
          <w10:wrap anchorx="page" anchory="page"/>
        </v:shape>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9B4D1" w14:textId="77777777" w:rsidR="003B777E" w:rsidRDefault="00000000">
    <w:pPr>
      <w:pStyle w:val="BodyText"/>
      <w:spacing w:line="14" w:lineRule="auto"/>
      <w:rPr>
        <w:b w:val="0"/>
        <w:sz w:val="20"/>
      </w:rPr>
    </w:pPr>
    <w:r>
      <w:pict w14:anchorId="02F8066C">
        <v:shapetype id="_x0000_t202" coordsize="21600,21600" o:spt="202" path="m,l,21600r21600,l21600,xe">
          <v:stroke joinstyle="miter"/>
          <v:path gradientshapeok="t" o:connecttype="rect"/>
        </v:shapetype>
        <v:shape id="_x0000_s1026" type="#_x0000_t202" style="position:absolute;margin-left:387pt;margin-top:772.9pt;width:138.85pt;height:44.65pt;z-index:-251641344;mso-position-horizontal-relative:page;mso-position-vertical-relative:page" filled="f" stroked="f">
          <v:textbox style="mso-next-textbox:#_x0000_s1026" inset="0,0,0,0">
            <w:txbxContent>
              <w:p w14:paraId="54F9438F" w14:textId="77777777" w:rsidR="00F95277" w:rsidRDefault="00F95277" w:rsidP="00F95277">
                <w:pPr>
                  <w:spacing w:before="16" w:line="242" w:lineRule="auto"/>
                  <w:ind w:left="20" w:right="21" w:firstLine="139"/>
                  <w:jc w:val="right"/>
                  <w:rPr>
                    <w:color w:val="808080"/>
                    <w:spacing w:val="1"/>
                    <w:sz w:val="18"/>
                  </w:rPr>
                </w:pPr>
                <w:r>
                  <w:rPr>
                    <w:color w:val="808080"/>
                    <w:sz w:val="18"/>
                  </w:rPr>
                  <w:t>For any inquiries please contact:</w:t>
                </w:r>
                <w:r>
                  <w:rPr>
                    <w:color w:val="808080"/>
                    <w:spacing w:val="-47"/>
                    <w:sz w:val="18"/>
                  </w:rPr>
                  <w:t xml:space="preserve"> </w:t>
                </w:r>
                <w:r>
                  <w:rPr>
                    <w:color w:val="808080"/>
                    <w:sz w:val="18"/>
                  </w:rPr>
                  <w:t>Jeremias Jobst</w:t>
                </w:r>
                <w:r>
                  <w:rPr>
                    <w:color w:val="808080"/>
                    <w:spacing w:val="1"/>
                    <w:sz w:val="18"/>
                  </w:rPr>
                  <w:t xml:space="preserve"> </w:t>
                </w:r>
              </w:p>
              <w:p w14:paraId="79A1B124" w14:textId="77777777" w:rsidR="00F95277" w:rsidRDefault="00000000" w:rsidP="00F95277">
                <w:pPr>
                  <w:spacing w:before="16" w:line="242" w:lineRule="auto"/>
                  <w:ind w:left="20" w:right="21" w:firstLine="139"/>
                  <w:jc w:val="right"/>
                  <w:rPr>
                    <w:sz w:val="18"/>
                  </w:rPr>
                </w:pPr>
                <w:hyperlink r:id="rId1" w:history="1">
                  <w:r w:rsidR="00F95277" w:rsidRPr="00B201F7">
                    <w:rPr>
                      <w:rStyle w:val="Hyperlink"/>
                      <w:spacing w:val="-1"/>
                      <w:sz w:val="18"/>
                    </w:rPr>
                    <w:t>jeremias.jobst@voewg.at</w:t>
                  </w:r>
                </w:hyperlink>
              </w:p>
              <w:p w14:paraId="4B15BD5F" w14:textId="77777777" w:rsidR="00F95277" w:rsidRDefault="00F95277" w:rsidP="00F95277">
                <w:pPr>
                  <w:spacing w:before="21"/>
                  <w:ind w:right="18"/>
                  <w:jc w:val="right"/>
                  <w:rPr>
                    <w:sz w:val="18"/>
                  </w:rPr>
                </w:pPr>
                <w:r>
                  <w:rPr>
                    <w:color w:val="808080"/>
                    <w:sz w:val="18"/>
                  </w:rPr>
                  <w:t>+43</w:t>
                </w:r>
                <w:r>
                  <w:rPr>
                    <w:color w:val="808080"/>
                    <w:spacing w:val="2"/>
                    <w:sz w:val="18"/>
                  </w:rPr>
                  <w:t xml:space="preserve"> </w:t>
                </w:r>
                <w:r>
                  <w:rPr>
                    <w:color w:val="808080"/>
                    <w:sz w:val="18"/>
                  </w:rPr>
                  <w:t>1</w:t>
                </w:r>
                <w:r>
                  <w:rPr>
                    <w:color w:val="808080"/>
                    <w:spacing w:val="-2"/>
                    <w:sz w:val="18"/>
                  </w:rPr>
                  <w:t xml:space="preserve"> </w:t>
                </w:r>
                <w:r>
                  <w:rPr>
                    <w:color w:val="808080"/>
                    <w:sz w:val="18"/>
                  </w:rPr>
                  <w:t>408</w:t>
                </w:r>
                <w:r>
                  <w:rPr>
                    <w:color w:val="808080"/>
                    <w:spacing w:val="-1"/>
                    <w:sz w:val="18"/>
                  </w:rPr>
                  <w:t xml:space="preserve"> </w:t>
                </w:r>
                <w:r>
                  <w:rPr>
                    <w:color w:val="808080"/>
                    <w:sz w:val="18"/>
                  </w:rPr>
                  <w:t>2202-26</w:t>
                </w:r>
              </w:p>
              <w:p w14:paraId="06BC26AE" w14:textId="393C2F8F" w:rsidR="003B777E" w:rsidRDefault="003B777E">
                <w:pPr>
                  <w:spacing w:before="21"/>
                  <w:ind w:right="18"/>
                  <w:jc w:val="right"/>
                  <w:rPr>
                    <w:sz w:val="18"/>
                  </w:rPr>
                </w:pPr>
              </w:p>
            </w:txbxContent>
          </v:textbox>
          <w10:wrap anchorx="page" anchory="page"/>
        </v:shape>
      </w:pict>
    </w:r>
    <w:r>
      <w:pict w14:anchorId="001B2219">
        <v:shape id="_x0000_s1025" type="#_x0000_t202" style="position:absolute;margin-left:289.2pt;margin-top:804.45pt;width:17.05pt;height:13.3pt;z-index:-251640320;mso-position-horizontal-relative:page;mso-position-vertical-relative:page" filled="f" stroked="f">
          <v:textbox style="mso-next-textbox:#_x0000_s1025" inset="0,0,0,0">
            <w:txbxContent>
              <w:p w14:paraId="440D2542" w14:textId="77777777" w:rsidR="003B777E" w:rsidRDefault="00000000">
                <w:pPr>
                  <w:spacing w:before="15"/>
                  <w:ind w:left="60"/>
                  <w:rPr>
                    <w:sz w:val="20"/>
                  </w:rPr>
                </w:pPr>
                <w:r>
                  <w:fldChar w:fldCharType="begin"/>
                </w:r>
                <w:r>
                  <w:rPr>
                    <w:color w:val="808080"/>
                    <w:sz w:val="20"/>
                  </w:rPr>
                  <w:instrText xml:space="preserve"> PAGE </w:instrText>
                </w:r>
                <w:r>
                  <w:fldChar w:fldCharType="separate"/>
                </w:r>
                <w:r>
                  <w:t>34</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F00AEC" w14:textId="77777777" w:rsidR="005B3170" w:rsidRDefault="005B3170">
      <w:r>
        <w:separator/>
      </w:r>
    </w:p>
  </w:footnote>
  <w:footnote w:type="continuationSeparator" w:id="0">
    <w:p w14:paraId="0362FCD2" w14:textId="77777777" w:rsidR="005B3170" w:rsidRDefault="005B3170">
      <w:r>
        <w:continuationSeparator/>
      </w:r>
    </w:p>
  </w:footnote>
  <w:footnote w:id="1">
    <w:p w14:paraId="2F5A5A47" w14:textId="77777777" w:rsidR="002F336D" w:rsidRPr="00252B98" w:rsidRDefault="002F336D" w:rsidP="00F76136">
      <w:pPr>
        <w:pStyle w:val="TableParagraph"/>
        <w:spacing w:before="3" w:line="239" w:lineRule="exact"/>
        <w:ind w:left="0"/>
        <w:jc w:val="both"/>
        <w:rPr>
          <w:rFonts w:ascii="Aptos" w:hAnsi="Aptos"/>
          <w:sz w:val="20"/>
          <w:szCs w:val="20"/>
        </w:rPr>
      </w:pPr>
      <w:r>
        <w:rPr>
          <w:rStyle w:val="FootnoteReference"/>
        </w:rPr>
        <w:footnoteRef/>
      </w:r>
      <w:r w:rsidRPr="002F336D">
        <w:t xml:space="preserve"> </w:t>
      </w:r>
      <w:r w:rsidRPr="00252B98">
        <w:rPr>
          <w:rFonts w:ascii="Aptos" w:hAnsi="Aptos"/>
          <w:sz w:val="20"/>
          <w:szCs w:val="20"/>
        </w:rPr>
        <w:t>European Comission 2024 Carbon Border Adjustment Mechanism</w:t>
      </w:r>
    </w:p>
    <w:p w14:paraId="384631BB" w14:textId="77777777" w:rsidR="002F336D" w:rsidRPr="00252B98" w:rsidRDefault="002F336D" w:rsidP="00F76136">
      <w:pPr>
        <w:pStyle w:val="TableParagraph"/>
        <w:spacing w:before="3" w:line="239" w:lineRule="exact"/>
        <w:ind w:left="0"/>
        <w:jc w:val="both"/>
        <w:rPr>
          <w:sz w:val="20"/>
          <w:szCs w:val="20"/>
          <w:lang w:val="de-AT"/>
        </w:rPr>
      </w:pPr>
      <w:r w:rsidRPr="00252B98">
        <w:rPr>
          <w:sz w:val="20"/>
          <w:szCs w:val="20"/>
        </w:rPr>
        <w:t xml:space="preserve"> </w:t>
      </w:r>
      <w:hyperlink r:id="rId1" w:history="1">
        <w:r w:rsidRPr="00252B98">
          <w:rPr>
            <w:rStyle w:val="Hyperlink"/>
            <w:rFonts w:ascii="Aptos" w:hAnsi="Aptos"/>
            <w:sz w:val="20"/>
            <w:szCs w:val="20"/>
            <w:lang w:val="de-AT"/>
          </w:rPr>
          <w:t>https://taxation-customs.ec.europa.eu/carbon-border- adjustment-mechanism_en</w:t>
        </w:r>
      </w:hyperlink>
    </w:p>
    <w:p w14:paraId="2552BF4D" w14:textId="77EEA7E6" w:rsidR="002F336D" w:rsidRPr="002F336D" w:rsidRDefault="002F336D" w:rsidP="002F336D">
      <w:pPr>
        <w:pStyle w:val="FootnoteText"/>
        <w:ind w:left="720"/>
        <w:rPr>
          <w:lang w:val="de-AT"/>
        </w:rPr>
      </w:pPr>
    </w:p>
  </w:footnote>
  <w:footnote w:id="2">
    <w:p w14:paraId="34C7000C" w14:textId="1F5C1718" w:rsidR="006E0F2F" w:rsidRDefault="006E0F2F" w:rsidP="00EA071B">
      <w:pPr>
        <w:pStyle w:val="FootnoteText"/>
        <w:rPr>
          <w:rFonts w:ascii="Aptos" w:hAnsi="Aptos"/>
          <w:lang w:val="de-AT"/>
        </w:rPr>
      </w:pPr>
      <w:r>
        <w:rPr>
          <w:rStyle w:val="FootnoteReference"/>
        </w:rPr>
        <w:footnoteRef/>
      </w:r>
      <w:r w:rsidRPr="006E0F2F">
        <w:rPr>
          <w:lang w:val="de-AT"/>
        </w:rPr>
        <w:t xml:space="preserve"> </w:t>
      </w:r>
      <w:r w:rsidRPr="000128C1">
        <w:rPr>
          <w:rFonts w:ascii="Aptos" w:hAnsi="Aptos"/>
          <w:lang w:val="de-AT"/>
        </w:rPr>
        <w:t>Armin Truger 2015: Die Implementierung der Goldenen Regel für öffentliche Investitionen in Europa - Sicherung der öffentlichen</w:t>
      </w:r>
      <w:r>
        <w:rPr>
          <w:rFonts w:ascii="Aptos" w:hAnsi="Aptos"/>
          <w:lang w:val="de-AT"/>
        </w:rPr>
        <w:t xml:space="preserve"> </w:t>
      </w:r>
      <w:r w:rsidRPr="000128C1">
        <w:rPr>
          <w:rFonts w:ascii="Aptos" w:hAnsi="Aptos"/>
          <w:lang w:val="de-AT"/>
        </w:rPr>
        <w:t>Investitionen und Unterstützung der Konjunktur (Zusammenfassung)</w:t>
      </w:r>
      <w:r>
        <w:rPr>
          <w:rFonts w:ascii="Aptos" w:hAnsi="Aptos"/>
          <w:lang w:val="de-AT"/>
        </w:rPr>
        <w:t xml:space="preserve"> </w:t>
      </w:r>
    </w:p>
    <w:p w14:paraId="165A4652" w14:textId="2AEEC05F" w:rsidR="006E0F2F" w:rsidRPr="006E0F2F" w:rsidRDefault="006E0F2F" w:rsidP="00EA071B">
      <w:pPr>
        <w:pStyle w:val="FootnoteText"/>
        <w:rPr>
          <w:lang w:val="de-AT"/>
        </w:rPr>
      </w:pPr>
      <w:r>
        <w:rPr>
          <w:rFonts w:ascii="Aptos" w:hAnsi="Aptos"/>
          <w:lang w:val="de-AT"/>
        </w:rPr>
        <w:t xml:space="preserve">  </w:t>
      </w:r>
      <w:r w:rsidRPr="000128C1">
        <w:rPr>
          <w:rStyle w:val="Hyperlink"/>
          <w:rFonts w:ascii="Aptos" w:hAnsi="Aptos"/>
          <w:lang w:val="de-AT"/>
        </w:rPr>
        <w:t>https://www.arbeiterkammer.at/infopool/wien/Studie_Golden_Rule_kurz.pdf</w:t>
      </w:r>
    </w:p>
  </w:footnote>
  <w:footnote w:id="3">
    <w:p w14:paraId="26C5ADC1" w14:textId="09A6FB3F" w:rsidR="000636A7" w:rsidRPr="000636A7" w:rsidRDefault="000636A7" w:rsidP="00BC4DE4">
      <w:pPr>
        <w:pStyle w:val="TableParagraph"/>
        <w:spacing w:before="3" w:line="239" w:lineRule="exact"/>
        <w:ind w:left="0"/>
        <w:jc w:val="both"/>
        <w:rPr>
          <w:rFonts w:ascii="Aptos" w:hAnsi="Aptos"/>
          <w:color w:val="0D0D0D"/>
        </w:rPr>
      </w:pPr>
      <w:r>
        <w:rPr>
          <w:rStyle w:val="FootnoteReference"/>
        </w:rPr>
        <w:footnoteRef/>
      </w:r>
      <w:r w:rsidRPr="000636A7">
        <w:t xml:space="preserve"> </w:t>
      </w:r>
      <w:r w:rsidRPr="00252B98">
        <w:rPr>
          <w:rFonts w:ascii="Aptos" w:hAnsi="Aptos"/>
          <w:sz w:val="20"/>
          <w:szCs w:val="20"/>
        </w:rPr>
        <w:t xml:space="preserve">Kalin Anev Janse 2023: </w:t>
      </w:r>
      <w:r w:rsidRPr="00252B98">
        <w:rPr>
          <w:sz w:val="20"/>
          <w:szCs w:val="20"/>
        </w:rPr>
        <w:t xml:space="preserve">Developing European Safe Assets </w:t>
      </w:r>
      <w:r w:rsidRPr="00252B98">
        <w:rPr>
          <w:rStyle w:val="Hyperlink"/>
          <w:rFonts w:ascii="Aptos" w:hAnsi="Aptos"/>
          <w:sz w:val="20"/>
          <w:szCs w:val="20"/>
        </w:rPr>
        <w:t>ht</w:t>
      </w:r>
      <w:hyperlink r:id="rId2" w:history="1">
        <w:r w:rsidRPr="00252B98">
          <w:rPr>
            <w:rStyle w:val="Hyperlink"/>
            <w:rFonts w:ascii="Aptos" w:hAnsi="Aptos"/>
            <w:sz w:val="20"/>
            <w:szCs w:val="20"/>
          </w:rPr>
          <w:t>tps://www.esm.europa.eu/articles-and-op-eds/developing-    eu</w:t>
        </w:r>
      </w:hyperlink>
      <w:r w:rsidRPr="00252B98">
        <w:rPr>
          <w:rStyle w:val="Hyperlink"/>
          <w:rFonts w:ascii="Aptos" w:hAnsi="Aptos"/>
          <w:sz w:val="20"/>
          <w:szCs w:val="20"/>
        </w:rPr>
        <w:t>ropean-safe-assets-article-intereconomics</w:t>
      </w:r>
    </w:p>
  </w:footnote>
  <w:footnote w:id="4">
    <w:p w14:paraId="78F1E60E" w14:textId="67CF5F9E" w:rsidR="002D73DA" w:rsidRPr="00ED2EDD" w:rsidRDefault="002D73DA" w:rsidP="00ED2EDD">
      <w:pPr>
        <w:widowControl/>
        <w:autoSpaceDE/>
        <w:autoSpaceDN/>
        <w:contextualSpacing/>
        <w:rPr>
          <w:rFonts w:ascii="Aptos" w:hAnsi="Aptos"/>
          <w:sz w:val="20"/>
          <w:szCs w:val="20"/>
          <w:lang w:val="de-AT"/>
        </w:rPr>
      </w:pPr>
      <w:r>
        <w:rPr>
          <w:rStyle w:val="FootnoteReference"/>
        </w:rPr>
        <w:footnoteRef/>
      </w:r>
      <w:r w:rsidRPr="00ED2EDD">
        <w:rPr>
          <w:lang w:val="de-AT"/>
        </w:rPr>
        <w:t xml:space="preserve"> </w:t>
      </w:r>
      <w:r w:rsidRPr="00ED2EDD">
        <w:rPr>
          <w:rFonts w:ascii="Aptos" w:hAnsi="Aptos"/>
          <w:sz w:val="20"/>
          <w:szCs w:val="20"/>
          <w:lang w:val="de-AT"/>
        </w:rPr>
        <w:t>Franz Nauschnigg 2015: Die österreischische Infrastrukturgesellschaft ASFINAG als verkehrspolitisches Modell</w:t>
      </w:r>
      <w:r w:rsidR="002E44BC" w:rsidRPr="00ED2EDD">
        <w:rPr>
          <w:sz w:val="20"/>
          <w:szCs w:val="20"/>
          <w:lang w:val="de-AT"/>
        </w:rPr>
        <w:t xml:space="preserve"> </w:t>
      </w:r>
      <w:hyperlink r:id="rId3" w:history="1">
        <w:r w:rsidR="002E44BC" w:rsidRPr="00ED2EDD">
          <w:rPr>
            <w:rStyle w:val="Hyperlink"/>
            <w:rFonts w:ascii="Aptos" w:hAnsi="Aptos"/>
            <w:sz w:val="20"/>
            <w:szCs w:val="20"/>
            <w:lang w:val="de-AT"/>
          </w:rPr>
          <w:t>https://www.wirtschaftsdienst.eu/pdf-download/jahr/2015/heft/5/beitrag/die-oesterreichische-infrastrukturgesellschaft-    asfinag-</w:t>
        </w:r>
      </w:hyperlink>
      <w:r w:rsidRPr="00ED2EDD">
        <w:rPr>
          <w:rStyle w:val="Hyperlink"/>
          <w:rFonts w:ascii="Aptos" w:hAnsi="Aptos"/>
          <w:sz w:val="20"/>
          <w:szCs w:val="20"/>
          <w:lang w:val="de-AT"/>
        </w:rPr>
        <w:t>als-verkehrspolitisches-modell.html</w:t>
      </w:r>
    </w:p>
  </w:footnote>
  <w:footnote w:id="5">
    <w:p w14:paraId="3088C965" w14:textId="4D3B90DB" w:rsidR="006E0F2F" w:rsidRPr="004212C9" w:rsidRDefault="0079769F" w:rsidP="004212C9">
      <w:pPr>
        <w:widowControl/>
        <w:autoSpaceDE/>
        <w:autoSpaceDN/>
        <w:contextualSpacing/>
        <w:rPr>
          <w:rFonts w:ascii="Aptos" w:hAnsi="Aptos"/>
          <w:sz w:val="18"/>
          <w:szCs w:val="18"/>
        </w:rPr>
      </w:pPr>
      <w:r>
        <w:rPr>
          <w:rStyle w:val="FootnoteReference"/>
        </w:rPr>
        <w:footnoteRef/>
      </w:r>
      <w:r w:rsidRPr="002F336D">
        <w:t xml:space="preserve"> </w:t>
      </w:r>
      <w:r w:rsidRPr="004212C9">
        <w:rPr>
          <w:rFonts w:ascii="Aptos" w:hAnsi="Aptos"/>
          <w:sz w:val="18"/>
          <w:szCs w:val="18"/>
        </w:rPr>
        <w:t>Eurostat  2013: European system of accounts ESA 2010.</w:t>
      </w:r>
      <w:r w:rsidR="00117379">
        <w:rPr>
          <w:rFonts w:ascii="Aptos" w:hAnsi="Aptos"/>
          <w:sz w:val="18"/>
          <w:szCs w:val="18"/>
        </w:rPr>
        <w:t xml:space="preserve"> </w:t>
      </w:r>
    </w:p>
    <w:p w14:paraId="4F050884" w14:textId="58D666C6" w:rsidR="0079769F" w:rsidRPr="004212C9" w:rsidRDefault="00000000" w:rsidP="004212C9">
      <w:pPr>
        <w:widowControl/>
        <w:autoSpaceDE/>
        <w:autoSpaceDN/>
        <w:contextualSpacing/>
        <w:rPr>
          <w:rStyle w:val="Hyperlink"/>
          <w:rFonts w:ascii="Aptos" w:hAnsi="Aptos"/>
          <w:color w:val="auto"/>
          <w:sz w:val="18"/>
          <w:szCs w:val="18"/>
          <w:u w:val="none"/>
          <w:lang w:val="de-AT"/>
        </w:rPr>
      </w:pPr>
      <w:hyperlink r:id="rId4" w:history="1">
        <w:r w:rsidR="004212C9" w:rsidRPr="00255D51">
          <w:rPr>
            <w:rStyle w:val="Hyperlink"/>
            <w:rFonts w:ascii="Aptos" w:hAnsi="Aptos"/>
            <w:sz w:val="18"/>
            <w:szCs w:val="18"/>
            <w:lang w:val="de-AT"/>
          </w:rPr>
          <w:t>https://ec.europa.eu/eurostat/documents/3859598/5925693/KS-02-13-269-   EN.PDF.pdf/44cd9d01-bc64-40e5-bd40-   d17df0c69334?t=1414781932000</w:t>
        </w:r>
      </w:hyperlink>
    </w:p>
    <w:p w14:paraId="4FFF08D6" w14:textId="0F248CA5" w:rsidR="0079769F" w:rsidRPr="006E0F2F" w:rsidRDefault="0079769F">
      <w:pPr>
        <w:pStyle w:val="FootnoteText"/>
        <w:rPr>
          <w:lang w:val="de-AT"/>
        </w:rPr>
      </w:pPr>
    </w:p>
  </w:footnote>
  <w:footnote w:id="6">
    <w:p w14:paraId="646D9B11" w14:textId="5113E2EF" w:rsidR="00A2007B" w:rsidRPr="003B0522" w:rsidRDefault="00A2007B" w:rsidP="003B0522">
      <w:pPr>
        <w:widowControl/>
        <w:autoSpaceDE/>
        <w:autoSpaceDN/>
        <w:contextualSpacing/>
        <w:rPr>
          <w:rStyle w:val="Hyperlink"/>
          <w:rFonts w:ascii="Aptos" w:hAnsi="Aptos"/>
          <w:color w:val="auto"/>
          <w:sz w:val="20"/>
          <w:szCs w:val="20"/>
          <w:u w:val="none"/>
          <w:lang w:val="de-AT"/>
        </w:rPr>
      </w:pPr>
      <w:r>
        <w:rPr>
          <w:rStyle w:val="FootnoteReference"/>
        </w:rPr>
        <w:footnoteRef/>
      </w:r>
      <w:r w:rsidRPr="002F336D">
        <w:t xml:space="preserve"> </w:t>
      </w:r>
      <w:r w:rsidRPr="002E44BC">
        <w:rPr>
          <w:rFonts w:ascii="Aptos" w:hAnsi="Aptos"/>
          <w:sz w:val="20"/>
          <w:szCs w:val="20"/>
        </w:rPr>
        <w:t>Eurostat  2013: European system of accounts ESA 2010.</w:t>
      </w:r>
      <w:r w:rsidRPr="003B0522">
        <w:rPr>
          <w:rFonts w:ascii="Aptos" w:hAnsi="Aptos"/>
          <w:sz w:val="20"/>
          <w:szCs w:val="20"/>
          <w:lang w:val="en-US"/>
        </w:rPr>
        <w:t xml:space="preserve"> </w:t>
      </w:r>
      <w:hyperlink r:id="rId5" w:history="1">
        <w:r w:rsidR="002E44BC" w:rsidRPr="009A2230">
          <w:rPr>
            <w:rStyle w:val="Hyperlink"/>
            <w:rFonts w:ascii="Aptos" w:hAnsi="Aptos"/>
            <w:sz w:val="20"/>
            <w:szCs w:val="20"/>
            <w:lang w:val="de-AT"/>
          </w:rPr>
          <w:t>https://ec.europa.eu/eurostat/documents/3859598/5925693/KS-02-13-269-      EN.PDF.pdf/44cd9d01-bc64-40e5-bd40-     d17df0c69334?t=1414781932000</w:t>
        </w:r>
      </w:hyperlink>
    </w:p>
    <w:p w14:paraId="12EDB367" w14:textId="5BE2D5FB" w:rsidR="00A2007B" w:rsidRPr="006E0F2F" w:rsidRDefault="00A2007B">
      <w:pPr>
        <w:pStyle w:val="FootnoteText"/>
        <w:rPr>
          <w:lang w:val="de-AT"/>
        </w:rPr>
      </w:pPr>
    </w:p>
  </w:footnote>
  <w:footnote w:id="7">
    <w:p w14:paraId="29211091" w14:textId="77777777" w:rsidR="003B0522" w:rsidRPr="00814963" w:rsidRDefault="006E0F2F" w:rsidP="003B0522">
      <w:pPr>
        <w:rPr>
          <w:rFonts w:ascii="Aptos" w:hAnsi="Aptos"/>
          <w:sz w:val="20"/>
          <w:szCs w:val="20"/>
          <w:lang w:val="en-US"/>
        </w:rPr>
      </w:pPr>
      <w:r>
        <w:rPr>
          <w:rStyle w:val="FootnoteReference"/>
        </w:rPr>
        <w:footnoteRef/>
      </w:r>
      <w:r>
        <w:t xml:space="preserve"> </w:t>
      </w:r>
      <w:r w:rsidRPr="003B0522">
        <w:rPr>
          <w:rFonts w:ascii="Aptos" w:hAnsi="Aptos"/>
          <w:sz w:val="20"/>
          <w:szCs w:val="20"/>
        </w:rPr>
        <w:t>EIB 2022: Investment Survey 2022 – European Union overview</w:t>
      </w:r>
      <w:r w:rsidR="003B0522" w:rsidRPr="003B0522">
        <w:rPr>
          <w:rFonts w:ascii="Aptos" w:hAnsi="Aptos"/>
          <w:sz w:val="20"/>
          <w:szCs w:val="20"/>
        </w:rPr>
        <w:t xml:space="preserve">. </w:t>
      </w:r>
      <w:r w:rsidR="003B0522">
        <w:rPr>
          <w:rFonts w:ascii="Aptos" w:hAnsi="Aptos"/>
          <w:sz w:val="20"/>
          <w:szCs w:val="20"/>
          <w:lang w:val="de-AT"/>
        </w:rPr>
        <w:fldChar w:fldCharType="begin"/>
      </w:r>
      <w:r w:rsidR="003B0522" w:rsidRPr="00814963">
        <w:rPr>
          <w:rFonts w:ascii="Aptos" w:hAnsi="Aptos"/>
          <w:sz w:val="20"/>
          <w:szCs w:val="20"/>
          <w:lang w:val="en-US"/>
        </w:rPr>
        <w:instrText>HYPERLINK "https://ec.europa.eu/eurostat/documents/3859598/5925693/KS-02-13-269-EN.PDF.pdf/44cd9d01-bc64-40e5-bd40-  d17df0c69334?t=1414781932000</w:instrText>
      </w:r>
    </w:p>
    <w:p w14:paraId="74854C16" w14:textId="77777777" w:rsidR="003B0522" w:rsidRPr="00255D51" w:rsidRDefault="003B0522" w:rsidP="001C3710">
      <w:pPr>
        <w:pStyle w:val="ListParagraph"/>
        <w:ind w:left="825"/>
        <w:rPr>
          <w:rStyle w:val="Hyperlink"/>
          <w:rFonts w:ascii="Aptos" w:hAnsi="Aptos"/>
          <w:sz w:val="20"/>
          <w:szCs w:val="20"/>
          <w:lang w:val="de-AT"/>
        </w:rPr>
      </w:pPr>
      <w:r>
        <w:rPr>
          <w:rFonts w:ascii="Aptos" w:hAnsi="Aptos"/>
          <w:sz w:val="20"/>
          <w:szCs w:val="20"/>
          <w:lang w:val="de-AT"/>
        </w:rPr>
        <w:instrText>"</w:instrText>
      </w:r>
      <w:r>
        <w:rPr>
          <w:rFonts w:ascii="Aptos" w:hAnsi="Aptos"/>
          <w:sz w:val="20"/>
          <w:szCs w:val="20"/>
          <w:lang w:val="de-AT"/>
        </w:rPr>
      </w:r>
      <w:r>
        <w:rPr>
          <w:rFonts w:ascii="Aptos" w:hAnsi="Aptos"/>
          <w:sz w:val="20"/>
          <w:szCs w:val="20"/>
          <w:lang w:val="de-AT"/>
        </w:rPr>
        <w:fldChar w:fldCharType="separate"/>
      </w:r>
      <w:r w:rsidRPr="00255D51">
        <w:rPr>
          <w:rStyle w:val="Hyperlink"/>
          <w:rFonts w:ascii="Aptos" w:hAnsi="Aptos"/>
          <w:sz w:val="20"/>
          <w:szCs w:val="20"/>
          <w:lang w:val="de-AT"/>
        </w:rPr>
        <w:t>https://ec.europa.eu/eurostat/documents/3859598/5925693/KS-02-13-269-EN.PDF.pdf/44cd9d01-bc64-40e5-bd40-  d17df0c69334?t=1414781932000</w:t>
      </w:r>
    </w:p>
    <w:p w14:paraId="54AB323B" w14:textId="38C4D7C9" w:rsidR="006E0F2F" w:rsidRPr="006E0F2F" w:rsidRDefault="003B0522" w:rsidP="006E0F2F">
      <w:pPr>
        <w:pStyle w:val="FootnoteText"/>
        <w:rPr>
          <w:lang w:val="de-AT"/>
        </w:rPr>
      </w:pPr>
      <w:r>
        <w:rPr>
          <w:rFonts w:ascii="Aptos" w:hAnsi="Aptos"/>
          <w:lang w:val="de-AT"/>
        </w:rPr>
        <w:fldChar w:fldCharType="end"/>
      </w:r>
    </w:p>
  </w:footnote>
  <w:footnote w:id="8">
    <w:p w14:paraId="6FD80696" w14:textId="221EC992" w:rsidR="000351FA" w:rsidRPr="003B0522" w:rsidRDefault="00995528" w:rsidP="003B0522">
      <w:pPr>
        <w:pStyle w:val="TableParagraph"/>
        <w:spacing w:before="3" w:line="239" w:lineRule="exact"/>
        <w:jc w:val="both"/>
        <w:rPr>
          <w:rFonts w:ascii="Aptos" w:hAnsi="Aptos"/>
          <w:sz w:val="18"/>
          <w:szCs w:val="18"/>
        </w:rPr>
      </w:pPr>
      <w:r>
        <w:rPr>
          <w:rStyle w:val="FootnoteReference"/>
        </w:rPr>
        <w:footnoteRef/>
      </w:r>
      <w:r>
        <w:t xml:space="preserve"> </w:t>
      </w:r>
      <w:r w:rsidR="000351FA" w:rsidRPr="000351FA">
        <w:rPr>
          <w:rFonts w:ascii="Aptos" w:hAnsi="Aptos"/>
          <w:sz w:val="18"/>
          <w:szCs w:val="18"/>
        </w:rPr>
        <w:t>European Commission - Press release, 21.2.2024.: Halfway through its lifetime, the Recovery and Resilience Facility continues to deliver</w:t>
      </w:r>
      <w:r w:rsidR="000351FA">
        <w:rPr>
          <w:rFonts w:ascii="Aptos" w:hAnsi="Aptos"/>
          <w:sz w:val="18"/>
          <w:szCs w:val="18"/>
        </w:rPr>
        <w:t xml:space="preserve"> </w:t>
      </w:r>
      <w:r w:rsidR="000351FA" w:rsidRPr="000351FA">
        <w:rPr>
          <w:rFonts w:ascii="Aptos" w:hAnsi="Aptos"/>
          <w:sz w:val="18"/>
          <w:szCs w:val="18"/>
        </w:rPr>
        <w:t>across the EU through ambitious reforms and investments</w:t>
      </w:r>
      <w:r w:rsidR="000351FA">
        <w:rPr>
          <w:rFonts w:ascii="Aptos" w:hAnsi="Aptos"/>
          <w:sz w:val="18"/>
          <w:szCs w:val="18"/>
        </w:rPr>
        <w:t xml:space="preserve">   </w:t>
      </w:r>
      <w:hyperlink r:id="rId6" w:history="1">
        <w:r w:rsidR="003B0522" w:rsidRPr="00255D51">
          <w:rPr>
            <w:rStyle w:val="Hyperlink"/>
            <w:rFonts w:ascii="Aptos" w:hAnsi="Aptos"/>
            <w:sz w:val="18"/>
            <w:szCs w:val="18"/>
          </w:rPr>
          <w:t>https://ec.europa.eu/commission/presscorner/api/files/document/print/en/ip_24_943/IP_24_943_EN.pdf</w:t>
        </w:r>
      </w:hyperlink>
    </w:p>
    <w:p w14:paraId="683569DF" w14:textId="4D81936A" w:rsidR="00995528" w:rsidRPr="000351FA" w:rsidRDefault="00995528" w:rsidP="00995528">
      <w:pPr>
        <w:pStyle w:val="FootnoteText"/>
        <w:ind w:left="720" w:firstLine="105"/>
      </w:pPr>
    </w:p>
  </w:footnote>
  <w:footnote w:id="9">
    <w:p w14:paraId="3FB73ED2" w14:textId="77777777" w:rsidR="00AF0312" w:rsidRDefault="00AF0312" w:rsidP="00AF0312">
      <w:pPr>
        <w:pStyle w:val="TableParagraph"/>
        <w:spacing w:before="3" w:line="239" w:lineRule="exact"/>
        <w:jc w:val="both"/>
        <w:rPr>
          <w:rFonts w:ascii="Aptos" w:hAnsi="Aptos"/>
          <w:bCs/>
          <w:sz w:val="18"/>
          <w:szCs w:val="18"/>
        </w:rPr>
      </w:pPr>
      <w:r>
        <w:rPr>
          <w:rStyle w:val="FootnoteReference"/>
        </w:rPr>
        <w:footnoteRef/>
      </w:r>
      <w:r>
        <w:rPr>
          <w:rFonts w:ascii="Aptos" w:hAnsi="Aptos"/>
          <w:bCs/>
          <w:sz w:val="18"/>
          <w:szCs w:val="18"/>
        </w:rPr>
        <w:t xml:space="preserve"> </w:t>
      </w:r>
      <w:r w:rsidRPr="00420A47">
        <w:rPr>
          <w:rFonts w:ascii="Aptos" w:hAnsi="Aptos"/>
          <w:bCs/>
          <w:sz w:val="18"/>
          <w:szCs w:val="18"/>
        </w:rPr>
        <w:t>European Commission: Official Journal of the European Union 20.05.2023.:</w:t>
      </w:r>
    </w:p>
    <w:p w14:paraId="73F1C312" w14:textId="77777777" w:rsidR="00AF0312" w:rsidRPr="00420A47" w:rsidRDefault="00000000" w:rsidP="00AF0312">
      <w:pPr>
        <w:pStyle w:val="TableParagraph"/>
        <w:spacing w:before="3" w:line="239" w:lineRule="exact"/>
        <w:jc w:val="both"/>
        <w:rPr>
          <w:rFonts w:ascii="Aptos" w:hAnsi="Aptos"/>
          <w:bCs/>
          <w:sz w:val="18"/>
          <w:szCs w:val="18"/>
        </w:rPr>
      </w:pPr>
      <w:hyperlink r:id="rId7" w:history="1">
        <w:r w:rsidR="00AF0312" w:rsidRPr="00255D51">
          <w:rPr>
            <w:rStyle w:val="Hyperlink"/>
            <w:rFonts w:ascii="Aptos" w:hAnsi="Aptos"/>
            <w:bCs/>
            <w:sz w:val="18"/>
            <w:szCs w:val="18"/>
          </w:rPr>
          <w:t>http://eur-lex.europa.eu/legal-   content/DE/TXT/PDF/?uri=CELEX:32003H0361&amp;from=EN</w:t>
        </w:r>
      </w:hyperlink>
      <w:r w:rsidR="00AF0312" w:rsidRPr="00420A47">
        <w:rPr>
          <w:rFonts w:ascii="Aptos" w:hAnsi="Aptos"/>
          <w:bCs/>
          <w:sz w:val="18"/>
          <w:szCs w:val="18"/>
        </w:rPr>
        <w:t xml:space="preserve"> </w:t>
      </w:r>
    </w:p>
    <w:p w14:paraId="1CD58001" w14:textId="77777777" w:rsidR="00AF0312" w:rsidRPr="00BC408D" w:rsidRDefault="00AF0312" w:rsidP="00AF0312">
      <w:pPr>
        <w:pStyle w:val="FootnoteText"/>
      </w:pPr>
    </w:p>
  </w:footnote>
  <w:footnote w:id="10">
    <w:p w14:paraId="06F950F9" w14:textId="77777777" w:rsidR="005065DB" w:rsidRPr="0008129B" w:rsidRDefault="005065DB" w:rsidP="0008129B">
      <w:pPr>
        <w:widowControl/>
        <w:autoSpaceDE/>
        <w:autoSpaceDN/>
        <w:contextualSpacing/>
        <w:jc w:val="both"/>
        <w:rPr>
          <w:rFonts w:ascii="Aptos" w:hAnsi="Aptos"/>
          <w:sz w:val="18"/>
          <w:szCs w:val="18"/>
        </w:rPr>
      </w:pPr>
      <w:r>
        <w:rPr>
          <w:rStyle w:val="FootnoteReference"/>
        </w:rPr>
        <w:footnoteRef/>
      </w:r>
      <w:r>
        <w:t xml:space="preserve"> </w:t>
      </w:r>
      <w:r w:rsidRPr="0008129B">
        <w:rPr>
          <w:rFonts w:ascii="Aptos" w:hAnsi="Aptos"/>
          <w:sz w:val="18"/>
          <w:szCs w:val="18"/>
        </w:rPr>
        <w:t xml:space="preserve">Polisnetwork – Urban Nodes: Empowering Cities and Regions to build the TEN-T, 03.06.2024 </w:t>
      </w:r>
    </w:p>
    <w:p w14:paraId="4CC97FC0" w14:textId="5D0D44E1" w:rsidR="005065DB" w:rsidRPr="005065DB" w:rsidRDefault="00000000" w:rsidP="0008129B">
      <w:pPr>
        <w:widowControl/>
        <w:autoSpaceDE/>
        <w:autoSpaceDN/>
        <w:contextualSpacing/>
        <w:jc w:val="both"/>
        <w:rPr>
          <w:rFonts w:ascii="Aptos" w:hAnsi="Aptos"/>
          <w:sz w:val="18"/>
          <w:szCs w:val="18"/>
        </w:rPr>
      </w:pPr>
      <w:hyperlink r:id="rId8" w:history="1">
        <w:r w:rsidR="0008129B" w:rsidRPr="00255D51">
          <w:rPr>
            <w:rStyle w:val="Hyperlink"/>
            <w:rFonts w:ascii="Aptos" w:hAnsi="Aptos"/>
            <w:sz w:val="18"/>
            <w:szCs w:val="18"/>
          </w:rPr>
          <w:t>https://voewg.eu.junglemailpages.com/link/?c=1378884b-2b72-46af-b4c6-83920b966d0f&amp;j=020d5351-1e57-456f-b1a3-04694064f617&amp;l=fc938d08-f2fd-4d20-80ea-f71993bd54c0&amp;e=765ddf88-7513-4853-acc3-8e07fd58961c&amp;p=1</w:t>
        </w:r>
      </w:hyperlink>
      <w:r w:rsidR="005065DB" w:rsidRPr="005065DB">
        <w:rPr>
          <w:rFonts w:ascii="Aptos" w:hAnsi="Aptos"/>
          <w:sz w:val="18"/>
          <w:szCs w:val="18"/>
        </w:rPr>
        <w:t xml:space="preserve"> </w:t>
      </w:r>
    </w:p>
    <w:p w14:paraId="75BABE6B" w14:textId="6936CF2D" w:rsidR="005065DB" w:rsidRPr="005065DB" w:rsidRDefault="005065D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D87B3" w14:textId="77777777" w:rsidR="00A37477" w:rsidRDefault="00A374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2CF5E5" w14:textId="7F48EF9F" w:rsidR="003B777E" w:rsidRDefault="00000000">
    <w:pPr>
      <w:pStyle w:val="BodyText"/>
      <w:spacing w:line="14" w:lineRule="auto"/>
      <w:rPr>
        <w:b w:val="0"/>
        <w:sz w:val="20"/>
      </w:rPr>
    </w:pPr>
    <w:r>
      <w:pict w14:anchorId="13FA1A81">
        <v:shapetype id="_x0000_t202" coordsize="21600,21600" o:spt="202" path="m,l,21600r21600,l21600,xe">
          <v:stroke joinstyle="miter"/>
          <v:path gradientshapeok="t" o:connecttype="rect"/>
        </v:shapetype>
        <v:shape id="_x0000_s1048" type="#_x0000_t202" style="position:absolute;margin-left:69.8pt;margin-top:34.2pt;width:137.2pt;height:36.55pt;z-index:-251652608;mso-position-horizontal-relative:page;mso-position-vertical-relative:page" filled="f" stroked="f">
          <v:textbox style="mso-next-textbox:#_x0000_s1048" inset="0,0,0,0">
            <w:txbxContent>
              <w:p w14:paraId="3FCAA0DE" w14:textId="77777777" w:rsidR="003B777E" w:rsidRDefault="00000000">
                <w:pPr>
                  <w:spacing w:before="16" w:line="244" w:lineRule="auto"/>
                  <w:ind w:left="20" w:right="18"/>
                  <w:rPr>
                    <w:color w:val="808080"/>
                    <w:sz w:val="18"/>
                  </w:rPr>
                </w:pPr>
                <w:r>
                  <w:rPr>
                    <w:color w:val="808080"/>
                    <w:sz w:val="18"/>
                  </w:rPr>
                  <w:t>EU transparency register number:</w:t>
                </w:r>
                <w:r>
                  <w:rPr>
                    <w:color w:val="808080"/>
                    <w:spacing w:val="-47"/>
                    <w:sz w:val="18"/>
                  </w:rPr>
                  <w:t xml:space="preserve"> </w:t>
                </w:r>
                <w:r>
                  <w:rPr>
                    <w:color w:val="808080"/>
                    <w:sz w:val="18"/>
                  </w:rPr>
                  <w:t>643879152710-58</w:t>
                </w:r>
              </w:p>
              <w:p w14:paraId="06A13A3E" w14:textId="5B06CF82" w:rsidR="00275EFC" w:rsidRDefault="00275EFC">
                <w:pPr>
                  <w:spacing w:before="16" w:line="244" w:lineRule="auto"/>
                  <w:ind w:left="20" w:right="18"/>
                  <w:rPr>
                    <w:sz w:val="18"/>
                  </w:rPr>
                </w:pPr>
                <w:r>
                  <w:rPr>
                    <w:color w:val="808080"/>
                    <w:sz w:val="18"/>
                  </w:rPr>
                  <w:t>Doc EC</w:t>
                </w:r>
              </w:p>
            </w:txbxContent>
          </v:textbox>
          <w10:wrap anchorx="page" anchory="page"/>
        </v:shape>
      </w:pict>
    </w:r>
    <w:r w:rsidR="00275EFC">
      <w:rPr>
        <w:noProof/>
      </w:rPr>
      <w:drawing>
        <wp:anchor distT="0" distB="0" distL="0" distR="0" simplePos="0" relativeHeight="251653120" behindDoc="1" locked="0" layoutInCell="1" allowOverlap="1" wp14:anchorId="0D85D38D" wp14:editId="22064401">
          <wp:simplePos x="0" y="0"/>
          <wp:positionH relativeFrom="page">
            <wp:posOffset>4375150</wp:posOffset>
          </wp:positionH>
          <wp:positionV relativeFrom="page">
            <wp:posOffset>299719</wp:posOffset>
          </wp:positionV>
          <wp:extent cx="2286000" cy="437515"/>
          <wp:effectExtent l="0" t="0" r="0" b="0"/>
          <wp:wrapNone/>
          <wp:docPr id="748818880"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2286000" cy="437515"/>
                  </a:xfrm>
                  <a:prstGeom prst="rect">
                    <a:avLst/>
                  </a:prstGeom>
                </pic:spPr>
              </pic:pic>
            </a:graphicData>
          </a:graphic>
        </wp:anchor>
      </w:drawing>
    </w:r>
    <w:r w:rsidR="00275EFC">
      <w:rPr>
        <w:noProof/>
      </w:rPr>
      <w:drawing>
        <wp:anchor distT="0" distB="0" distL="0" distR="0" simplePos="0" relativeHeight="251654144" behindDoc="1" locked="0" layoutInCell="1" allowOverlap="1" wp14:anchorId="5638D760" wp14:editId="7E9DAEF0">
          <wp:simplePos x="0" y="0"/>
          <wp:positionH relativeFrom="page">
            <wp:posOffset>4841240</wp:posOffset>
          </wp:positionH>
          <wp:positionV relativeFrom="page">
            <wp:posOffset>799464</wp:posOffset>
          </wp:positionV>
          <wp:extent cx="1573602" cy="422909"/>
          <wp:effectExtent l="0" t="0" r="0" b="0"/>
          <wp:wrapNone/>
          <wp:docPr id="1800096138"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1573602" cy="422909"/>
                  </a:xfrm>
                  <a:prstGeom prst="rect">
                    <a:avLst/>
                  </a:prstGeom>
                </pic:spPr>
              </pic:pic>
            </a:graphicData>
          </a:graphic>
        </wp:anchor>
      </w:drawing>
    </w:r>
    <w:r w:rsidR="00275EFC">
      <w:rPr>
        <w:b w:val="0"/>
        <w:sz w:val="20"/>
      </w:rPr>
      <w:t>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4C3917" w14:textId="3C39B2B5" w:rsidR="004F594F" w:rsidRDefault="004F594F">
    <w:pPr>
      <w:pStyle w:val="Header"/>
    </w:pPr>
    <w:r>
      <w:rPr>
        <w:noProof/>
      </w:rPr>
      <w:drawing>
        <wp:anchor distT="0" distB="0" distL="0" distR="0" simplePos="0" relativeHeight="251656192" behindDoc="1" locked="0" layoutInCell="1" allowOverlap="1" wp14:anchorId="0C89AACA" wp14:editId="644678EC">
          <wp:simplePos x="0" y="0"/>
          <wp:positionH relativeFrom="page">
            <wp:posOffset>5082146</wp:posOffset>
          </wp:positionH>
          <wp:positionV relativeFrom="page">
            <wp:posOffset>798278</wp:posOffset>
          </wp:positionV>
          <wp:extent cx="1573602" cy="422909"/>
          <wp:effectExtent l="0" t="0" r="0" b="0"/>
          <wp:wrapNone/>
          <wp:docPr id="1440383728"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573602" cy="422909"/>
                  </a:xfrm>
                  <a:prstGeom prst="rect">
                    <a:avLst/>
                  </a:prstGeom>
                </pic:spPr>
              </pic:pic>
            </a:graphicData>
          </a:graphic>
        </wp:anchor>
      </w:drawing>
    </w:r>
    <w:r>
      <w:rPr>
        <w:noProof/>
      </w:rPr>
      <w:drawing>
        <wp:anchor distT="0" distB="0" distL="0" distR="0" simplePos="0" relativeHeight="251655168" behindDoc="1" locked="0" layoutInCell="1" allowOverlap="1" wp14:anchorId="588F0913" wp14:editId="024D230E">
          <wp:simplePos x="0" y="0"/>
          <wp:positionH relativeFrom="page">
            <wp:posOffset>4366895</wp:posOffset>
          </wp:positionH>
          <wp:positionV relativeFrom="page">
            <wp:posOffset>215884</wp:posOffset>
          </wp:positionV>
          <wp:extent cx="2286000" cy="437515"/>
          <wp:effectExtent l="0" t="0" r="0" b="0"/>
          <wp:wrapNone/>
          <wp:docPr id="185324809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stretch>
                    <a:fillRect/>
                  </a:stretch>
                </pic:blipFill>
                <pic:spPr>
                  <a:xfrm>
                    <a:off x="0" y="0"/>
                    <a:ext cx="2286000" cy="437515"/>
                  </a:xfrm>
                  <a:prstGeom prst="rect">
                    <a:avLst/>
                  </a:prstGeom>
                </pic:spPr>
              </pic:pic>
            </a:graphicData>
          </a:graphic>
        </wp:anchor>
      </w:drawing>
    </w:r>
    <w:r>
      <w:rPr>
        <w:noProof/>
      </w:rPr>
      <mc:AlternateContent>
        <mc:Choice Requires="wps">
          <w:drawing>
            <wp:anchor distT="0" distB="0" distL="114300" distR="114300" simplePos="0" relativeHeight="251661312" behindDoc="1" locked="0" layoutInCell="1" allowOverlap="1" wp14:anchorId="13FA1A81" wp14:editId="7DA99BF3">
              <wp:simplePos x="0" y="0"/>
              <wp:positionH relativeFrom="page">
                <wp:posOffset>1038860</wp:posOffset>
              </wp:positionH>
              <wp:positionV relativeFrom="page">
                <wp:posOffset>586740</wp:posOffset>
              </wp:positionV>
              <wp:extent cx="1742440" cy="464185"/>
              <wp:effectExtent l="0" t="0" r="0" b="0"/>
              <wp:wrapNone/>
              <wp:docPr id="1107712740"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2440"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FBCC6B" w14:textId="77777777" w:rsidR="004F594F" w:rsidRDefault="004F594F" w:rsidP="004F594F">
                          <w:pPr>
                            <w:spacing w:before="16" w:line="244" w:lineRule="auto"/>
                            <w:ind w:left="20" w:right="18"/>
                            <w:rPr>
                              <w:color w:val="808080"/>
                              <w:sz w:val="18"/>
                            </w:rPr>
                          </w:pPr>
                          <w:r>
                            <w:rPr>
                              <w:color w:val="808080"/>
                              <w:sz w:val="18"/>
                            </w:rPr>
                            <w:t>EU transparency register number:</w:t>
                          </w:r>
                          <w:r>
                            <w:rPr>
                              <w:color w:val="808080"/>
                              <w:spacing w:val="-47"/>
                              <w:sz w:val="18"/>
                            </w:rPr>
                            <w:t xml:space="preserve"> </w:t>
                          </w:r>
                          <w:r>
                            <w:rPr>
                              <w:color w:val="808080"/>
                              <w:sz w:val="18"/>
                            </w:rPr>
                            <w:t>643879152710-58</w:t>
                          </w:r>
                        </w:p>
                        <w:p w14:paraId="79DE103D" w14:textId="77777777" w:rsidR="004F594F" w:rsidRDefault="004F594F" w:rsidP="004F594F">
                          <w:pPr>
                            <w:spacing w:before="16" w:line="244" w:lineRule="auto"/>
                            <w:ind w:left="20" w:right="18"/>
                            <w:rPr>
                              <w:sz w:val="18"/>
                            </w:rPr>
                          </w:pPr>
                          <w:r>
                            <w:rPr>
                              <w:color w:val="808080"/>
                              <w:sz w:val="18"/>
                            </w:rPr>
                            <w:t>Doc EC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FA1A81" id="_x0000_t202" coordsize="21600,21600" o:spt="202" path="m,l,21600r21600,l21600,xe">
              <v:stroke joinstyle="miter"/>
              <v:path gradientshapeok="t" o:connecttype="rect"/>
            </v:shapetype>
            <v:shape id="Textfeld 1" o:spid="_x0000_s1026" type="#_x0000_t202" style="position:absolute;margin-left:81.8pt;margin-top:46.2pt;width:137.2pt;height:36.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JYQ2gEAAJkDAAAOAAAAZHJzL2Uyb0RvYy54bWysU1Fv0zAQfkfiP1h+p2lLGVPUdBqbhpAG&#10;Qxr8AMdxEovEZ+7cJuXXc3aaDtjbxIt19tnffd935+3V2HfiYJAsuEKuFkspjNNQWdcU8vu3uzeX&#10;UlBQrlIdOFPIoyF5tXv9ajv43Kyhha4yKBjEUT74QrYh+DzLSLemV7QAbxwna8BeBd5ik1WoBkbv&#10;u2y9XF5kA2DlEbQh4tPbKSl3Cb+ujQ4PdU0miK6QzC2kFdNaxjXbbVXeoPKt1Sca6gUsemUdFz1D&#10;3aqgxB7tM6jeagSCOiw09BnUtdUmaWA1q+U/ah5b5U3SwuaQP9tE/w9Wfzk8+q8owvgBRm5gEkH+&#10;HvQPEg5uWuUac40IQ2tUxYVX0bJs8JSfnkarKacIUg6foeImq32ABDTW2EdXWKdgdG7A8Wy6GYPQ&#10;seT7zXqz4ZTm3OZis7p8l0qofH7tkcJHA72IQSGRm5rQ1eGeQmSj8vlKLObgznZdamzn/jrgi/Ek&#10;sY+EJ+phLEdhK2byNhaOakqojqwHYZoXnm8OWsBfUgw8K4Wkn3uFRoruk2NP4mDNAc5BOQfKaX5a&#10;yCDFFN6EaQD3Hm3TMvLkuoNr9q22SdITixNf7n9SeprVOGB/7tOtpx+1+w0AAP//AwBQSwMEFAAG&#10;AAgAAAAhAE81VSveAAAACgEAAA8AAABkcnMvZG93bnJldi54bWxMj81OwzAQhO9IvIO1SNyoQ3+i&#10;NsSpKgQnJEQaDhydeJtYjdchdtvw9mxPcBzNaOabfDu5XpxxDNaTgsdZAgKp8cZSq+Czen1YgwhR&#10;k9G9J1TwgwG2xe1NrjPjL1TieR9bwSUUMq2gi3HIpAxNh06HmR+Q2Dv40enIcmylGfWFy10v50mS&#10;Sqct8UKnB3zusDnuT07B7ovKF/v9Xn+Uh9JW1Saht/So1P3dtHsCEXGKf2G44jM6FMxU+xOZIHrW&#10;6SLlqILNfAmCA8vFms/VV2e1Alnk8v+F4hcAAP//AwBQSwECLQAUAAYACAAAACEAtoM4kv4AAADh&#10;AQAAEwAAAAAAAAAAAAAAAAAAAAAAW0NvbnRlbnRfVHlwZXNdLnhtbFBLAQItABQABgAIAAAAIQA4&#10;/SH/1gAAAJQBAAALAAAAAAAAAAAAAAAAAC8BAABfcmVscy8ucmVsc1BLAQItABQABgAIAAAAIQAn&#10;VJYQ2gEAAJkDAAAOAAAAAAAAAAAAAAAAAC4CAABkcnMvZTJvRG9jLnhtbFBLAQItABQABgAIAAAA&#10;IQBPNVUr3gAAAAoBAAAPAAAAAAAAAAAAAAAAADQEAABkcnMvZG93bnJldi54bWxQSwUGAAAAAAQA&#10;BADzAAAAPwUAAAAA&#10;" filled="f" stroked="f">
              <v:textbox inset="0,0,0,0">
                <w:txbxContent>
                  <w:p w14:paraId="7FFBCC6B" w14:textId="77777777" w:rsidR="004F594F" w:rsidRDefault="004F594F" w:rsidP="004F594F">
                    <w:pPr>
                      <w:spacing w:before="16" w:line="244" w:lineRule="auto"/>
                      <w:ind w:left="20" w:right="18"/>
                      <w:rPr>
                        <w:color w:val="808080"/>
                        <w:sz w:val="18"/>
                      </w:rPr>
                    </w:pPr>
                    <w:r>
                      <w:rPr>
                        <w:color w:val="808080"/>
                        <w:sz w:val="18"/>
                      </w:rPr>
                      <w:t>EU transparency register number:</w:t>
                    </w:r>
                    <w:r>
                      <w:rPr>
                        <w:color w:val="808080"/>
                        <w:spacing w:val="-47"/>
                        <w:sz w:val="18"/>
                      </w:rPr>
                      <w:t xml:space="preserve"> </w:t>
                    </w:r>
                    <w:r>
                      <w:rPr>
                        <w:color w:val="808080"/>
                        <w:sz w:val="18"/>
                      </w:rPr>
                      <w:t>643879152710-58</w:t>
                    </w:r>
                  </w:p>
                  <w:p w14:paraId="79DE103D" w14:textId="77777777" w:rsidR="004F594F" w:rsidRDefault="004F594F" w:rsidP="004F594F">
                    <w:pPr>
                      <w:spacing w:before="16" w:line="244" w:lineRule="auto"/>
                      <w:ind w:left="20" w:right="18"/>
                      <w:rPr>
                        <w:sz w:val="18"/>
                      </w:rPr>
                    </w:pPr>
                    <w:r>
                      <w:rPr>
                        <w:color w:val="808080"/>
                        <w:sz w:val="18"/>
                      </w:rPr>
                      <w:t>Doc EC</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F4AAC" w14:textId="3BB46A77" w:rsidR="003B777E" w:rsidRDefault="00000000">
    <w:pPr>
      <w:pStyle w:val="BodyText"/>
      <w:spacing w:line="14" w:lineRule="auto"/>
      <w:rPr>
        <w:b w:val="0"/>
        <w:sz w:val="20"/>
      </w:rPr>
    </w:pPr>
    <w:r>
      <w:pict w14:anchorId="391CA652">
        <v:shapetype id="_x0000_t202" coordsize="21600,21600" o:spt="202" path="m,l,21600r21600,l21600,xe">
          <v:stroke joinstyle="miter"/>
          <v:path gradientshapeok="t" o:connecttype="rect"/>
        </v:shapetype>
        <v:shape id="_x0000_s1042" type="#_x0000_t202" style="position:absolute;margin-left:69.8pt;margin-top:34.2pt;width:137.2pt;height:45.35pt;z-index:-251651584;mso-position-horizontal-relative:page;mso-position-vertical-relative:page" filled="f" stroked="f">
          <v:textbox style="mso-next-textbox:#_x0000_s1042" inset="0,0,0,0">
            <w:txbxContent>
              <w:p w14:paraId="0322D043" w14:textId="77777777" w:rsidR="006E0F2F" w:rsidRDefault="006E0F2F" w:rsidP="006E0F2F">
                <w:pPr>
                  <w:spacing w:before="16" w:line="244" w:lineRule="auto"/>
                  <w:ind w:left="20" w:right="18"/>
                  <w:rPr>
                    <w:color w:val="808080"/>
                    <w:sz w:val="18"/>
                  </w:rPr>
                </w:pPr>
                <w:r>
                  <w:rPr>
                    <w:color w:val="808080"/>
                    <w:sz w:val="18"/>
                  </w:rPr>
                  <w:t>EU transparency register number:</w:t>
                </w:r>
                <w:r>
                  <w:rPr>
                    <w:color w:val="808080"/>
                    <w:spacing w:val="-47"/>
                    <w:sz w:val="18"/>
                  </w:rPr>
                  <w:t xml:space="preserve"> </w:t>
                </w:r>
                <w:r>
                  <w:rPr>
                    <w:color w:val="808080"/>
                    <w:sz w:val="18"/>
                  </w:rPr>
                  <w:t>643879152710-58</w:t>
                </w:r>
              </w:p>
              <w:p w14:paraId="699C4160" w14:textId="77777777" w:rsidR="006E0F2F" w:rsidRDefault="006E0F2F" w:rsidP="006E0F2F">
                <w:pPr>
                  <w:spacing w:before="16" w:line="244" w:lineRule="auto"/>
                  <w:ind w:left="20" w:right="18"/>
                  <w:rPr>
                    <w:sz w:val="18"/>
                  </w:rPr>
                </w:pPr>
                <w:r>
                  <w:rPr>
                    <w:color w:val="808080"/>
                    <w:sz w:val="18"/>
                  </w:rPr>
                  <w:t>Doc EC</w:t>
                </w:r>
              </w:p>
              <w:p w14:paraId="1FEE8A7F" w14:textId="77777777" w:rsidR="00585CB2" w:rsidRDefault="00585CB2" w:rsidP="00585CB2">
                <w:pPr>
                  <w:spacing w:before="16" w:line="244" w:lineRule="auto"/>
                  <w:ind w:right="18"/>
                  <w:rPr>
                    <w:sz w:val="18"/>
                  </w:rPr>
                </w:pPr>
              </w:p>
            </w:txbxContent>
          </v:textbox>
          <w10:wrap anchorx="page" anchory="page"/>
        </v:shape>
      </w:pict>
    </w:r>
    <w:r w:rsidR="00585CB2">
      <w:rPr>
        <w:noProof/>
      </w:rPr>
      <w:drawing>
        <wp:anchor distT="0" distB="0" distL="0" distR="0" simplePos="0" relativeHeight="251657216" behindDoc="1" locked="0" layoutInCell="1" allowOverlap="1" wp14:anchorId="757D37FA" wp14:editId="41244911">
          <wp:simplePos x="0" y="0"/>
          <wp:positionH relativeFrom="page">
            <wp:posOffset>4375150</wp:posOffset>
          </wp:positionH>
          <wp:positionV relativeFrom="page">
            <wp:posOffset>299719</wp:posOffset>
          </wp:positionV>
          <wp:extent cx="2286000" cy="437515"/>
          <wp:effectExtent l="0" t="0" r="0" b="0"/>
          <wp:wrapNone/>
          <wp:docPr id="68803694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1" cstate="print"/>
                  <a:stretch>
                    <a:fillRect/>
                  </a:stretch>
                </pic:blipFill>
                <pic:spPr>
                  <a:xfrm>
                    <a:off x="0" y="0"/>
                    <a:ext cx="2286000" cy="437515"/>
                  </a:xfrm>
                  <a:prstGeom prst="rect">
                    <a:avLst/>
                  </a:prstGeom>
                </pic:spPr>
              </pic:pic>
            </a:graphicData>
          </a:graphic>
        </wp:anchor>
      </w:drawing>
    </w:r>
    <w:r w:rsidR="00585CB2">
      <w:rPr>
        <w:noProof/>
      </w:rPr>
      <w:drawing>
        <wp:anchor distT="0" distB="0" distL="0" distR="0" simplePos="0" relativeHeight="251659264" behindDoc="1" locked="0" layoutInCell="1" allowOverlap="1" wp14:anchorId="353A1371" wp14:editId="1F7C4682">
          <wp:simplePos x="0" y="0"/>
          <wp:positionH relativeFrom="page">
            <wp:posOffset>4841240</wp:posOffset>
          </wp:positionH>
          <wp:positionV relativeFrom="page">
            <wp:posOffset>799464</wp:posOffset>
          </wp:positionV>
          <wp:extent cx="1573602" cy="422909"/>
          <wp:effectExtent l="0" t="0" r="0" b="0"/>
          <wp:wrapNone/>
          <wp:docPr id="1135638839"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jpeg"/>
                  <pic:cNvPicPr/>
                </pic:nvPicPr>
                <pic:blipFill>
                  <a:blip r:embed="rId2" cstate="print"/>
                  <a:stretch>
                    <a:fillRect/>
                  </a:stretch>
                </pic:blipFill>
                <pic:spPr>
                  <a:xfrm>
                    <a:off x="0" y="0"/>
                    <a:ext cx="1573602" cy="422909"/>
                  </a:xfrm>
                  <a:prstGeom prst="rect">
                    <a:avLst/>
                  </a:prstGeom>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18659D" w14:textId="4D1AB758" w:rsidR="003B777E" w:rsidRDefault="00855CFB">
    <w:pPr>
      <w:pStyle w:val="BodyText"/>
      <w:spacing w:line="14" w:lineRule="auto"/>
      <w:rPr>
        <w:b w:val="0"/>
        <w:sz w:val="20"/>
      </w:rPr>
    </w:pPr>
    <w:r>
      <w:rPr>
        <w:noProof/>
      </w:rPr>
      <mc:AlternateContent>
        <mc:Choice Requires="wps">
          <w:drawing>
            <wp:anchor distT="0" distB="0" distL="114300" distR="114300" simplePos="0" relativeHeight="251647488" behindDoc="1" locked="0" layoutInCell="1" allowOverlap="1" wp14:anchorId="1A627B0C" wp14:editId="6C8327E0">
              <wp:simplePos x="0" y="0"/>
              <wp:positionH relativeFrom="page">
                <wp:posOffset>882502</wp:posOffset>
              </wp:positionH>
              <wp:positionV relativeFrom="page">
                <wp:posOffset>435935</wp:posOffset>
              </wp:positionV>
              <wp:extent cx="1742440" cy="595423"/>
              <wp:effectExtent l="0" t="0" r="10160" b="14605"/>
              <wp:wrapNone/>
              <wp:docPr id="630867297"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2440" cy="595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9E89E8" w14:textId="77777777" w:rsidR="003B777E" w:rsidRDefault="00000000">
                          <w:pPr>
                            <w:spacing w:before="16" w:line="244" w:lineRule="auto"/>
                            <w:ind w:left="20" w:right="18"/>
                            <w:rPr>
                              <w:color w:val="808080"/>
                              <w:sz w:val="18"/>
                            </w:rPr>
                          </w:pPr>
                          <w:r>
                            <w:rPr>
                              <w:color w:val="808080"/>
                              <w:sz w:val="18"/>
                            </w:rPr>
                            <w:t>EU transparency register number:</w:t>
                          </w:r>
                          <w:r>
                            <w:rPr>
                              <w:color w:val="808080"/>
                              <w:spacing w:val="-47"/>
                              <w:sz w:val="18"/>
                            </w:rPr>
                            <w:t xml:space="preserve"> </w:t>
                          </w:r>
                          <w:r>
                            <w:rPr>
                              <w:color w:val="808080"/>
                              <w:sz w:val="18"/>
                            </w:rPr>
                            <w:t>643879152710-58</w:t>
                          </w:r>
                        </w:p>
                        <w:p w14:paraId="1EFD1480" w14:textId="295226F5" w:rsidR="00855CFB" w:rsidRDefault="00855CFB">
                          <w:pPr>
                            <w:spacing w:before="16" w:line="244" w:lineRule="auto"/>
                            <w:ind w:left="20" w:right="18"/>
                            <w:rPr>
                              <w:sz w:val="18"/>
                            </w:rPr>
                          </w:pPr>
                          <w:r>
                            <w:rPr>
                              <w:color w:val="808080"/>
                              <w:sz w:val="18"/>
                            </w:rPr>
                            <w:t>Doc EC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627B0C" id="_x0000_t202" coordsize="21600,21600" o:spt="202" path="m,l,21600r21600,l21600,xe">
              <v:stroke joinstyle="miter"/>
              <v:path gradientshapeok="t" o:connecttype="rect"/>
            </v:shapetype>
            <v:shape id="_x0000_s1028" type="#_x0000_t202" style="position:absolute;margin-left:69.5pt;margin-top:34.35pt;width:137.2pt;height:46.9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Ep12wEAAJkDAAAOAAAAZHJzL2Uyb0RvYy54bWysU9uO0zAQfUfiHyy/07Sl5RI1XS27WoS0&#10;LEgLHzBxnMQi8Zix26R8PWOn6XJ5Q7xYY4995pwz493V2HfiqMkbtIVcLZZSaKuwMrYp5Ncvdy/e&#10;SOED2Ao6tLqQJ+3l1f75s93gcr3GFrtKk2AQ6/PBFbINweVZ5lWre/ALdNpyskbqIfCWmqwiGBi9&#10;77L1cvkqG5AqR6i093x6OyXlPuHXtVbhU117HURXSOYW0kppLeOa7XeQNwSuNepMA/6BRQ/GctEL&#10;1C0EEAcyf0H1RhF6rMNCYZ9hXRulkwZWs1r+oeaxBaeTFjbHu4tN/v/Bqofjo/tMIozvcOQGJhHe&#10;3aP65oXFmxZso6+JcGg1VFx4FS3LBufz89Notc99BCmHj1hxk+EQMAGNNfXRFdYpGJ0bcLqYrscg&#10;VCz5erPebDilOLd9u92sX6YSkM+vHfnwXmMvYlBI4qYmdDje+xDZQD5ficUs3pmuS43t7G8HfDGe&#10;JPaR8EQ9jOUoTMVMtrFwVFNidWI9hNO88Hxz0CL9kGLgWSmk/34A0lJ0Hyx7EgdrDmgOyjkAq/hp&#10;IYMUU3gTpgE8ODJNy8iT6xav2bfaJElPLM58uf9J6XlW44D9uk+3nn7U/icAAAD//wMAUEsDBBQA&#10;BgAIAAAAIQA2buFm3wAAAAoBAAAPAAAAZHJzL2Rvd25yZXYueG1sTI/NTsMwEITvSLyDtUjcqNMf&#10;QhviVBWCExIiDQeOTrxNrMbrELtteHuWExxHM5r5Jt9OrhdnHIP1pGA+S0AgNd5YahV8VC93axAh&#10;ajK694QKvjHAtri+ynVm/IVKPO9jK7iEQqYVdDEOmZSh6dDpMPMDEnsHPzodWY6tNKO+cLnr5SJJ&#10;Uum0JV7o9IBPHTbH/ckp2H1S+Wy/3ur38lDaqtok9Joelbq9mXaPICJO8S8Mv/iMDgUz1f5EJoie&#10;9XLDX6KCdP0AggOr+XIFomYnXdyDLHL5/0LxAwAA//8DAFBLAQItABQABgAIAAAAIQC2gziS/gAA&#10;AOEBAAATAAAAAAAAAAAAAAAAAAAAAABbQ29udGVudF9UeXBlc10ueG1sUEsBAi0AFAAGAAgAAAAh&#10;ADj9If/WAAAAlAEAAAsAAAAAAAAAAAAAAAAALwEAAF9yZWxzLy5yZWxzUEsBAi0AFAAGAAgAAAAh&#10;AJyQSnXbAQAAmQMAAA4AAAAAAAAAAAAAAAAALgIAAGRycy9lMm9Eb2MueG1sUEsBAi0AFAAGAAgA&#10;AAAhADZu4WbfAAAACgEAAA8AAAAAAAAAAAAAAAAANQQAAGRycy9kb3ducmV2LnhtbFBLBQYAAAAA&#10;BAAEAPMAAABBBQAAAAA=&#10;" filled="f" stroked="f">
              <v:textbox inset="0,0,0,0">
                <w:txbxContent>
                  <w:p w14:paraId="169E89E8" w14:textId="77777777" w:rsidR="003B777E" w:rsidRDefault="00000000">
                    <w:pPr>
                      <w:spacing w:before="16" w:line="244" w:lineRule="auto"/>
                      <w:ind w:left="20" w:right="18"/>
                      <w:rPr>
                        <w:color w:val="808080"/>
                        <w:sz w:val="18"/>
                      </w:rPr>
                    </w:pPr>
                    <w:r>
                      <w:rPr>
                        <w:color w:val="808080"/>
                        <w:sz w:val="18"/>
                      </w:rPr>
                      <w:t>EU transparency register number:</w:t>
                    </w:r>
                    <w:r>
                      <w:rPr>
                        <w:color w:val="808080"/>
                        <w:spacing w:val="-47"/>
                        <w:sz w:val="18"/>
                      </w:rPr>
                      <w:t xml:space="preserve"> </w:t>
                    </w:r>
                    <w:r>
                      <w:rPr>
                        <w:color w:val="808080"/>
                        <w:sz w:val="18"/>
                      </w:rPr>
                      <w:t>643879152710-58</w:t>
                    </w:r>
                  </w:p>
                  <w:p w14:paraId="1EFD1480" w14:textId="295226F5" w:rsidR="00855CFB" w:rsidRDefault="00855CFB">
                    <w:pPr>
                      <w:spacing w:before="16" w:line="244" w:lineRule="auto"/>
                      <w:ind w:left="20" w:right="18"/>
                      <w:rPr>
                        <w:sz w:val="18"/>
                      </w:rPr>
                    </w:pPr>
                    <w:r>
                      <w:rPr>
                        <w:color w:val="808080"/>
                        <w:sz w:val="18"/>
                      </w:rPr>
                      <w:t>Doc EC</w:t>
                    </w:r>
                  </w:p>
                </w:txbxContent>
              </v:textbox>
              <w10:wrap anchorx="page" anchory="page"/>
            </v:shape>
          </w:pict>
        </mc:Fallback>
      </mc:AlternateContent>
    </w:r>
    <w:r>
      <w:rPr>
        <w:noProof/>
      </w:rPr>
      <w:drawing>
        <wp:anchor distT="0" distB="0" distL="0" distR="0" simplePos="0" relativeHeight="251643392" behindDoc="1" locked="0" layoutInCell="1" allowOverlap="1" wp14:anchorId="5B4C5F09" wp14:editId="5525AC50">
          <wp:simplePos x="0" y="0"/>
          <wp:positionH relativeFrom="page">
            <wp:posOffset>4375150</wp:posOffset>
          </wp:positionH>
          <wp:positionV relativeFrom="page">
            <wp:posOffset>299719</wp:posOffset>
          </wp:positionV>
          <wp:extent cx="2286000" cy="437515"/>
          <wp:effectExtent l="0" t="0" r="0" b="0"/>
          <wp:wrapNone/>
          <wp:docPr id="162094324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jpeg"/>
                  <pic:cNvPicPr/>
                </pic:nvPicPr>
                <pic:blipFill>
                  <a:blip r:embed="rId1" cstate="print"/>
                  <a:stretch>
                    <a:fillRect/>
                  </a:stretch>
                </pic:blipFill>
                <pic:spPr>
                  <a:xfrm>
                    <a:off x="0" y="0"/>
                    <a:ext cx="2286000" cy="437515"/>
                  </a:xfrm>
                  <a:prstGeom prst="rect">
                    <a:avLst/>
                  </a:prstGeom>
                </pic:spPr>
              </pic:pic>
            </a:graphicData>
          </a:graphic>
        </wp:anchor>
      </w:drawing>
    </w:r>
    <w:r>
      <w:rPr>
        <w:noProof/>
      </w:rPr>
      <w:drawing>
        <wp:anchor distT="0" distB="0" distL="0" distR="0" simplePos="0" relativeHeight="251644416" behindDoc="1" locked="0" layoutInCell="1" allowOverlap="1" wp14:anchorId="7FCAD77A" wp14:editId="2150562A">
          <wp:simplePos x="0" y="0"/>
          <wp:positionH relativeFrom="page">
            <wp:posOffset>4841240</wp:posOffset>
          </wp:positionH>
          <wp:positionV relativeFrom="page">
            <wp:posOffset>799464</wp:posOffset>
          </wp:positionV>
          <wp:extent cx="1573602" cy="422909"/>
          <wp:effectExtent l="0" t="0" r="0" b="0"/>
          <wp:wrapNone/>
          <wp:docPr id="47890700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jpeg"/>
                  <pic:cNvPicPr/>
                </pic:nvPicPr>
                <pic:blipFill>
                  <a:blip r:embed="rId2" cstate="print"/>
                  <a:stretch>
                    <a:fillRect/>
                  </a:stretch>
                </pic:blipFill>
                <pic:spPr>
                  <a:xfrm>
                    <a:off x="0" y="0"/>
                    <a:ext cx="1573602" cy="422909"/>
                  </a:xfrm>
                  <a:prstGeom prst="rect">
                    <a:avLst/>
                  </a:prstGeom>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FFA27" w14:textId="3B4EF317" w:rsidR="003B777E" w:rsidRDefault="00000000">
    <w:pPr>
      <w:pStyle w:val="BodyText"/>
      <w:spacing w:line="14" w:lineRule="auto"/>
      <w:rPr>
        <w:b w:val="0"/>
        <w:sz w:val="20"/>
      </w:rPr>
    </w:pPr>
    <w:r>
      <w:pict w14:anchorId="79BF6913">
        <v:shapetype id="_x0000_t202" coordsize="21600,21600" o:spt="202" path="m,l,21600r21600,l21600,xe">
          <v:stroke joinstyle="miter"/>
          <v:path gradientshapeok="t" o:connecttype="rect"/>
        </v:shapetype>
        <v:shape id="_x0000_s1036" type="#_x0000_t202" style="position:absolute;margin-left:69.8pt;margin-top:34.2pt;width:137.2pt;height:37.8pt;z-index:-251648512;mso-position-horizontal-relative:page;mso-position-vertical-relative:page" filled="f" stroked="f">
          <v:textbox style="mso-next-textbox:#_x0000_s1036" inset="0,0,0,0">
            <w:txbxContent>
              <w:p w14:paraId="0FDDDD4E" w14:textId="77777777" w:rsidR="003B777E" w:rsidRDefault="00000000">
                <w:pPr>
                  <w:spacing w:before="16" w:line="244" w:lineRule="auto"/>
                  <w:ind w:left="20" w:right="18"/>
                  <w:rPr>
                    <w:color w:val="808080"/>
                    <w:sz w:val="18"/>
                  </w:rPr>
                </w:pPr>
                <w:r>
                  <w:rPr>
                    <w:color w:val="808080"/>
                    <w:sz w:val="18"/>
                  </w:rPr>
                  <w:t>EU transparency register number:</w:t>
                </w:r>
                <w:r>
                  <w:rPr>
                    <w:color w:val="808080"/>
                    <w:spacing w:val="-47"/>
                    <w:sz w:val="18"/>
                  </w:rPr>
                  <w:t xml:space="preserve"> </w:t>
                </w:r>
                <w:r>
                  <w:rPr>
                    <w:color w:val="808080"/>
                    <w:sz w:val="18"/>
                  </w:rPr>
                  <w:t>643879152710-58</w:t>
                </w:r>
              </w:p>
              <w:p w14:paraId="0238BC03" w14:textId="3CEC0108" w:rsidR="00855CFB" w:rsidRDefault="00855CFB">
                <w:pPr>
                  <w:spacing w:before="16" w:line="244" w:lineRule="auto"/>
                  <w:ind w:left="20" w:right="18"/>
                  <w:rPr>
                    <w:sz w:val="18"/>
                  </w:rPr>
                </w:pPr>
                <w:r>
                  <w:rPr>
                    <w:color w:val="808080"/>
                    <w:sz w:val="18"/>
                  </w:rPr>
                  <w:t>Doc EC</w:t>
                </w:r>
              </w:p>
            </w:txbxContent>
          </v:textbox>
          <w10:wrap anchorx="page" anchory="page"/>
        </v:shape>
      </w:pict>
    </w:r>
    <w:r w:rsidR="00224328" w:rsidRPr="009B5839">
      <w:rPr>
        <w:rFonts w:ascii="Aptos" w:hAnsi="Aptos"/>
        <w:noProof/>
      </w:rPr>
      <w:drawing>
        <wp:anchor distT="0" distB="0" distL="0" distR="0" simplePos="0" relativeHeight="251641344" behindDoc="0" locked="0" layoutInCell="1" allowOverlap="1" wp14:anchorId="0CFFE595" wp14:editId="0132F9B9">
          <wp:simplePos x="0" y="0"/>
          <wp:positionH relativeFrom="page">
            <wp:posOffset>4835236</wp:posOffset>
          </wp:positionH>
          <wp:positionV relativeFrom="paragraph">
            <wp:posOffset>437515</wp:posOffset>
          </wp:positionV>
          <wp:extent cx="1573602" cy="422909"/>
          <wp:effectExtent l="0" t="0" r="0" b="0"/>
          <wp:wrapNone/>
          <wp:docPr id="1913801589" name="image2.jpeg" descr="Ein Bild, das Text, Schrift, Grafike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2.jpeg" descr="Ein Bild, das Text, Schrift, Grafiken, Screenshot enthält.&#10;&#10;Automatisch generierte Beschreibung"/>
                  <pic:cNvPicPr/>
                </pic:nvPicPr>
                <pic:blipFill>
                  <a:blip r:embed="rId1" cstate="print"/>
                  <a:stretch>
                    <a:fillRect/>
                  </a:stretch>
                </pic:blipFill>
                <pic:spPr>
                  <a:xfrm>
                    <a:off x="0" y="0"/>
                    <a:ext cx="1573602" cy="422909"/>
                  </a:xfrm>
                  <a:prstGeom prst="rect">
                    <a:avLst/>
                  </a:prstGeom>
                </pic:spPr>
              </pic:pic>
            </a:graphicData>
          </a:graphic>
        </wp:anchor>
      </w:drawing>
    </w:r>
    <w:r w:rsidR="00224328">
      <w:rPr>
        <w:noProof/>
      </w:rPr>
      <w:drawing>
        <wp:anchor distT="0" distB="0" distL="0" distR="0" simplePos="0" relativeHeight="251652608" behindDoc="1" locked="0" layoutInCell="1" allowOverlap="1" wp14:anchorId="2A021584" wp14:editId="6DB48376">
          <wp:simplePos x="0" y="0"/>
          <wp:positionH relativeFrom="page">
            <wp:posOffset>4375150</wp:posOffset>
          </wp:positionH>
          <wp:positionV relativeFrom="page">
            <wp:posOffset>299719</wp:posOffset>
          </wp:positionV>
          <wp:extent cx="2286000" cy="437515"/>
          <wp:effectExtent l="0" t="0" r="0" b="0"/>
          <wp:wrapNone/>
          <wp:docPr id="7440669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jpeg"/>
                  <pic:cNvPicPr/>
                </pic:nvPicPr>
                <pic:blipFill>
                  <a:blip r:embed="rId2" cstate="print"/>
                  <a:stretch>
                    <a:fillRect/>
                  </a:stretch>
                </pic:blipFill>
                <pic:spPr>
                  <a:xfrm>
                    <a:off x="0" y="0"/>
                    <a:ext cx="2286000" cy="437515"/>
                  </a:xfrm>
                  <a:prstGeom prst="rect">
                    <a:avLst/>
                  </a:prstGeom>
                </pic:spPr>
              </pic:pic>
            </a:graphicData>
          </a:graphic>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837D0" w14:textId="293F907C" w:rsidR="003B777E" w:rsidRDefault="00855CFB">
    <w:pPr>
      <w:pStyle w:val="BodyText"/>
      <w:spacing w:line="14" w:lineRule="auto"/>
      <w:rPr>
        <w:b w:val="0"/>
        <w:sz w:val="20"/>
      </w:rPr>
    </w:pPr>
    <w:r>
      <w:rPr>
        <w:noProof/>
      </w:rPr>
      <mc:AlternateContent>
        <mc:Choice Requires="wps">
          <w:drawing>
            <wp:anchor distT="0" distB="0" distL="114300" distR="114300" simplePos="0" relativeHeight="251659776" behindDoc="1" locked="0" layoutInCell="1" allowOverlap="1" wp14:anchorId="7E365E5F" wp14:editId="444AC92A">
              <wp:simplePos x="0" y="0"/>
              <wp:positionH relativeFrom="page">
                <wp:posOffset>882502</wp:posOffset>
              </wp:positionH>
              <wp:positionV relativeFrom="page">
                <wp:posOffset>435935</wp:posOffset>
              </wp:positionV>
              <wp:extent cx="1742440" cy="542260"/>
              <wp:effectExtent l="0" t="0" r="10160" b="10795"/>
              <wp:wrapNone/>
              <wp:docPr id="1934694970"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2440" cy="54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6CEA6" w14:textId="77777777" w:rsidR="003B777E" w:rsidRDefault="00000000">
                          <w:pPr>
                            <w:spacing w:before="16" w:line="244" w:lineRule="auto"/>
                            <w:ind w:left="20" w:right="18"/>
                            <w:rPr>
                              <w:color w:val="808080"/>
                              <w:sz w:val="18"/>
                            </w:rPr>
                          </w:pPr>
                          <w:r>
                            <w:rPr>
                              <w:color w:val="808080"/>
                              <w:sz w:val="18"/>
                            </w:rPr>
                            <w:t>EU transparency register number:</w:t>
                          </w:r>
                          <w:r>
                            <w:rPr>
                              <w:color w:val="808080"/>
                              <w:spacing w:val="-47"/>
                              <w:sz w:val="18"/>
                            </w:rPr>
                            <w:t xml:space="preserve"> </w:t>
                          </w:r>
                          <w:r>
                            <w:rPr>
                              <w:color w:val="808080"/>
                              <w:sz w:val="18"/>
                            </w:rPr>
                            <w:t>643879152710-58</w:t>
                          </w:r>
                        </w:p>
                        <w:p w14:paraId="5F1A882A" w14:textId="33DC9DE8" w:rsidR="00855CFB" w:rsidRDefault="00855CFB">
                          <w:pPr>
                            <w:spacing w:before="16" w:line="244" w:lineRule="auto"/>
                            <w:ind w:left="20" w:right="18"/>
                            <w:rPr>
                              <w:color w:val="808080"/>
                              <w:sz w:val="18"/>
                            </w:rPr>
                          </w:pPr>
                          <w:r>
                            <w:rPr>
                              <w:color w:val="808080"/>
                              <w:sz w:val="18"/>
                            </w:rPr>
                            <w:t>Doc EC</w:t>
                          </w:r>
                        </w:p>
                        <w:p w14:paraId="45853DDE" w14:textId="77777777" w:rsidR="00855CFB" w:rsidRDefault="00855CFB">
                          <w:pPr>
                            <w:spacing w:before="16" w:line="244" w:lineRule="auto"/>
                            <w:ind w:left="20" w:right="18"/>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365E5F" id="_x0000_t202" coordsize="21600,21600" o:spt="202" path="m,l,21600r21600,l21600,xe">
              <v:stroke joinstyle="miter"/>
              <v:path gradientshapeok="t" o:connecttype="rect"/>
            </v:shapetype>
            <v:shape id="_x0000_s1031" type="#_x0000_t202" style="position:absolute;margin-left:69.5pt;margin-top:34.35pt;width:137.2pt;height:42.7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DiJ2gEAAJkDAAAOAAAAZHJzL2Uyb0RvYy54bWysU9tu2zAMfR+wfxD0vjgxsq4w4hRdiw4D&#10;ugvQ7QNoWbaF2aJGKbGzrx8lx+kub8NeBEqUDs85pHY309CLoyZv0JZys1pLoa3C2ti2lF+/PLy6&#10;lsIHsDX0aHUpT9rLm/3LF7vRFTrHDvtak2AQ64vRlbILwRVZ5lWnB/ArdNpyskEaIPCW2qwmGBl9&#10;6LN8vb7KRqTaESrtPZ/ez0m5T/hNo1X41DReB9GXkrmFtFJaq7hm+x0ULYHrjDrTgH9gMYCxXPQC&#10;dQ8BxIHMX1CDUYQem7BSOGTYNEbppIHVbNZ/qHnqwOmkhc3x7mKT/3+w6uPxyX0mEaa3OHEDkwjv&#10;HlF988LiXQe21bdEOHYaai68iZZlo/PF+Wm02hc+glTjB6y5yXAImICmhoboCusUjM4NOF1M11MQ&#10;KpZ8s823W04pzr3e5vlV6koGxfLakQ/vNA4iBqUkbmpCh+OjD5ENFMuVWMzig+n71Nje/nbAF+NJ&#10;Yh8Jz9TDVE3C1MzkOmqLaiqsT6yHcJ4Xnm8OOqQfUow8K6X03w9AWor+vWVP4mAtAS1BtQRgFT8t&#10;ZZBiDu/CPIAHR6btGHl23eIt+9aYJOmZxZkv9z8pPc9qHLBf9+nW84/a/wQAAP//AwBQSwMEFAAG&#10;AAgAAAAhAOJ8tHDfAAAACgEAAA8AAABkcnMvZG93bnJldi54bWxMj0FPg0AUhO8m/ofNM/FmFyxi&#10;iyxNY/RkYkrx4HFhX4GUfYvstsV/7/Okx8lMZr7JN7MdxBkn3ztSEC8iEEiNMz21Cj6q17sVCB80&#10;GT04QgXf6GFTXF/lOjPuQiWe96EVXEI+0wq6EMZMSt90aLVfuBGJvYObrA4sp1aaSV+43A7yPopS&#10;aXVPvNDpEZ87bI77k1Ww/aTypf96r3floeyrah3RW3pU6vZm3j6BCDiHvzD84jM6FMxUuxMZLwbW&#10;yzV/CQrS1SMIDiTxMgFRs/OQxCCLXP6/UPwAAAD//wMAUEsBAi0AFAAGAAgAAAAhALaDOJL+AAAA&#10;4QEAABMAAAAAAAAAAAAAAAAAAAAAAFtDb250ZW50X1R5cGVzXS54bWxQSwECLQAUAAYACAAAACEA&#10;OP0h/9YAAACUAQAACwAAAAAAAAAAAAAAAAAvAQAAX3JlbHMvLnJlbHNQSwECLQAUAAYACAAAACEA&#10;mxg4idoBAACZAwAADgAAAAAAAAAAAAAAAAAuAgAAZHJzL2Uyb0RvYy54bWxQSwECLQAUAAYACAAA&#10;ACEA4ny0cN8AAAAKAQAADwAAAAAAAAAAAAAAAAA0BAAAZHJzL2Rvd25yZXYueG1sUEsFBgAAAAAE&#10;AAQA8wAAAEAFAAAAAA==&#10;" filled="f" stroked="f">
              <v:textbox inset="0,0,0,0">
                <w:txbxContent>
                  <w:p w14:paraId="1886CEA6" w14:textId="77777777" w:rsidR="003B777E" w:rsidRDefault="00000000">
                    <w:pPr>
                      <w:spacing w:before="16" w:line="244" w:lineRule="auto"/>
                      <w:ind w:left="20" w:right="18"/>
                      <w:rPr>
                        <w:color w:val="808080"/>
                        <w:sz w:val="18"/>
                      </w:rPr>
                    </w:pPr>
                    <w:r>
                      <w:rPr>
                        <w:color w:val="808080"/>
                        <w:sz w:val="18"/>
                      </w:rPr>
                      <w:t>EU transparency register number:</w:t>
                    </w:r>
                    <w:r>
                      <w:rPr>
                        <w:color w:val="808080"/>
                        <w:spacing w:val="-47"/>
                        <w:sz w:val="18"/>
                      </w:rPr>
                      <w:t xml:space="preserve"> </w:t>
                    </w:r>
                    <w:r>
                      <w:rPr>
                        <w:color w:val="808080"/>
                        <w:sz w:val="18"/>
                      </w:rPr>
                      <w:t>643879152710-58</w:t>
                    </w:r>
                  </w:p>
                  <w:p w14:paraId="5F1A882A" w14:textId="33DC9DE8" w:rsidR="00855CFB" w:rsidRDefault="00855CFB">
                    <w:pPr>
                      <w:spacing w:before="16" w:line="244" w:lineRule="auto"/>
                      <w:ind w:left="20" w:right="18"/>
                      <w:rPr>
                        <w:color w:val="808080"/>
                        <w:sz w:val="18"/>
                      </w:rPr>
                    </w:pPr>
                    <w:r>
                      <w:rPr>
                        <w:color w:val="808080"/>
                        <w:sz w:val="18"/>
                      </w:rPr>
                      <w:t>Doc EC</w:t>
                    </w:r>
                  </w:p>
                  <w:p w14:paraId="45853DDE" w14:textId="77777777" w:rsidR="00855CFB" w:rsidRDefault="00855CFB">
                    <w:pPr>
                      <w:spacing w:before="16" w:line="244" w:lineRule="auto"/>
                      <w:ind w:left="20" w:right="18"/>
                      <w:rPr>
                        <w:sz w:val="18"/>
                      </w:rPr>
                    </w:pPr>
                  </w:p>
                </w:txbxContent>
              </v:textbox>
              <w10:wrap anchorx="page" anchory="page"/>
            </v:shape>
          </w:pict>
        </mc:Fallback>
      </mc:AlternateContent>
    </w:r>
    <w:r>
      <w:rPr>
        <w:noProof/>
      </w:rPr>
      <w:drawing>
        <wp:anchor distT="0" distB="0" distL="0" distR="0" simplePos="0" relativeHeight="251654656" behindDoc="1" locked="0" layoutInCell="1" allowOverlap="1" wp14:anchorId="4E0A559B" wp14:editId="2813ED1D">
          <wp:simplePos x="0" y="0"/>
          <wp:positionH relativeFrom="page">
            <wp:posOffset>4375150</wp:posOffset>
          </wp:positionH>
          <wp:positionV relativeFrom="page">
            <wp:posOffset>299719</wp:posOffset>
          </wp:positionV>
          <wp:extent cx="2286000" cy="437515"/>
          <wp:effectExtent l="0" t="0" r="0" b="0"/>
          <wp:wrapNone/>
          <wp:docPr id="109332899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jpeg"/>
                  <pic:cNvPicPr/>
                </pic:nvPicPr>
                <pic:blipFill>
                  <a:blip r:embed="rId1" cstate="print"/>
                  <a:stretch>
                    <a:fillRect/>
                  </a:stretch>
                </pic:blipFill>
                <pic:spPr>
                  <a:xfrm>
                    <a:off x="0" y="0"/>
                    <a:ext cx="2286000" cy="437515"/>
                  </a:xfrm>
                  <a:prstGeom prst="rect">
                    <a:avLst/>
                  </a:prstGeom>
                </pic:spPr>
              </pic:pic>
            </a:graphicData>
          </a:graphic>
        </wp:anchor>
      </w:drawing>
    </w:r>
    <w:r>
      <w:rPr>
        <w:noProof/>
      </w:rPr>
      <w:drawing>
        <wp:anchor distT="0" distB="0" distL="0" distR="0" simplePos="0" relativeHeight="251657728" behindDoc="1" locked="0" layoutInCell="1" allowOverlap="1" wp14:anchorId="22C192F7" wp14:editId="6ED0B85A">
          <wp:simplePos x="0" y="0"/>
          <wp:positionH relativeFrom="page">
            <wp:posOffset>4841240</wp:posOffset>
          </wp:positionH>
          <wp:positionV relativeFrom="page">
            <wp:posOffset>799464</wp:posOffset>
          </wp:positionV>
          <wp:extent cx="1573602" cy="422909"/>
          <wp:effectExtent l="0" t="0" r="0" b="0"/>
          <wp:wrapNone/>
          <wp:docPr id="1707881476"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jpeg"/>
                  <pic:cNvPicPr/>
                </pic:nvPicPr>
                <pic:blipFill>
                  <a:blip r:embed="rId2" cstate="print"/>
                  <a:stretch>
                    <a:fillRect/>
                  </a:stretch>
                </pic:blipFill>
                <pic:spPr>
                  <a:xfrm>
                    <a:off x="0" y="0"/>
                    <a:ext cx="1573602" cy="422909"/>
                  </a:xfrm>
                  <a:prstGeom prst="rect">
                    <a:avLst/>
                  </a:prstGeom>
                </pic:spPr>
              </pic:pic>
            </a:graphicData>
          </a:graphic>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17F646" w14:textId="5B06804D" w:rsidR="003B777E" w:rsidRDefault="00000000">
    <w:pPr>
      <w:pStyle w:val="BodyText"/>
      <w:spacing w:line="14" w:lineRule="auto"/>
      <w:rPr>
        <w:b w:val="0"/>
        <w:sz w:val="20"/>
      </w:rPr>
    </w:pPr>
    <w:r>
      <w:pict w14:anchorId="0E87F738">
        <v:shapetype id="_x0000_t202" coordsize="21600,21600" o:spt="202" path="m,l,21600r21600,l21600,xe">
          <v:stroke joinstyle="miter"/>
          <v:path gradientshapeok="t" o:connecttype="rect"/>
        </v:shapetype>
        <v:shape id="_x0000_s1030" type="#_x0000_t202" style="position:absolute;margin-left:69.8pt;margin-top:34.2pt;width:137.2pt;height:36.15pt;z-index:-251645440;mso-position-horizontal-relative:page;mso-position-vertical-relative:page" filled="f" stroked="f">
          <v:textbox style="mso-next-textbox:#_x0000_s1030" inset="0,0,0,0">
            <w:txbxContent>
              <w:p w14:paraId="5A1768E9" w14:textId="468DBB4D" w:rsidR="00855CFB" w:rsidRDefault="00000000" w:rsidP="00855CFB">
                <w:pPr>
                  <w:spacing w:before="16" w:line="244" w:lineRule="auto"/>
                  <w:ind w:left="20" w:right="18"/>
                  <w:rPr>
                    <w:color w:val="808080"/>
                    <w:sz w:val="18"/>
                  </w:rPr>
                </w:pPr>
                <w:r>
                  <w:rPr>
                    <w:color w:val="808080"/>
                    <w:sz w:val="18"/>
                  </w:rPr>
                  <w:t>EU transparency register number:</w:t>
                </w:r>
                <w:r>
                  <w:rPr>
                    <w:color w:val="808080"/>
                    <w:spacing w:val="-47"/>
                    <w:sz w:val="18"/>
                  </w:rPr>
                  <w:t xml:space="preserve"> </w:t>
                </w:r>
                <w:r>
                  <w:rPr>
                    <w:color w:val="808080"/>
                    <w:sz w:val="18"/>
                  </w:rPr>
                  <w:t>643879152710-58</w:t>
                </w:r>
              </w:p>
              <w:p w14:paraId="1FA64083" w14:textId="08D7488C" w:rsidR="00855CFB" w:rsidRDefault="00855CFB" w:rsidP="00855CFB">
                <w:pPr>
                  <w:spacing w:before="16" w:line="244" w:lineRule="auto"/>
                  <w:ind w:left="20" w:right="18"/>
                  <w:rPr>
                    <w:color w:val="808080"/>
                    <w:sz w:val="18"/>
                  </w:rPr>
                </w:pPr>
                <w:r>
                  <w:rPr>
                    <w:color w:val="808080"/>
                    <w:sz w:val="18"/>
                  </w:rPr>
                  <w:t>Doc EC</w:t>
                </w:r>
              </w:p>
              <w:p w14:paraId="11C936DA" w14:textId="77777777" w:rsidR="00855CFB" w:rsidRPr="00855CFB" w:rsidRDefault="00855CFB" w:rsidP="00855CFB">
                <w:pPr>
                  <w:spacing w:before="16" w:line="244" w:lineRule="auto"/>
                  <w:ind w:left="20" w:right="18"/>
                  <w:rPr>
                    <w:color w:val="808080"/>
                    <w:sz w:val="18"/>
                  </w:rPr>
                </w:pPr>
              </w:p>
            </w:txbxContent>
          </v:textbox>
          <w10:wrap anchorx="page" anchory="page"/>
        </v:shape>
      </w:pict>
    </w:r>
    <w:r w:rsidR="00224328" w:rsidRPr="009B5839">
      <w:rPr>
        <w:rFonts w:ascii="Aptos" w:hAnsi="Aptos"/>
        <w:noProof/>
      </w:rPr>
      <w:drawing>
        <wp:anchor distT="0" distB="0" distL="0" distR="0" simplePos="0" relativeHeight="251642368" behindDoc="0" locked="0" layoutInCell="1" allowOverlap="1" wp14:anchorId="63546A26" wp14:editId="1BA2F1DF">
          <wp:simplePos x="0" y="0"/>
          <wp:positionH relativeFrom="page">
            <wp:posOffset>4849091</wp:posOffset>
          </wp:positionH>
          <wp:positionV relativeFrom="paragraph">
            <wp:posOffset>498763</wp:posOffset>
          </wp:positionV>
          <wp:extent cx="1573602" cy="422909"/>
          <wp:effectExtent l="0" t="0" r="0" b="0"/>
          <wp:wrapNone/>
          <wp:docPr id="223173191" name="image2.jpeg" descr="Ein Bild, das Text, Schrift, Grafike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2.jpeg" descr="Ein Bild, das Text, Schrift, Grafiken, Screenshot enthält.&#10;&#10;Automatisch generierte Beschreibung"/>
                  <pic:cNvPicPr/>
                </pic:nvPicPr>
                <pic:blipFill>
                  <a:blip r:embed="rId1" cstate="print"/>
                  <a:stretch>
                    <a:fillRect/>
                  </a:stretch>
                </pic:blipFill>
                <pic:spPr>
                  <a:xfrm>
                    <a:off x="0" y="0"/>
                    <a:ext cx="1573602" cy="422909"/>
                  </a:xfrm>
                  <a:prstGeom prst="rect">
                    <a:avLst/>
                  </a:prstGeom>
                </pic:spPr>
              </pic:pic>
            </a:graphicData>
          </a:graphic>
        </wp:anchor>
      </w:drawing>
    </w:r>
    <w:r w:rsidR="00224328">
      <w:rPr>
        <w:noProof/>
      </w:rPr>
      <w:drawing>
        <wp:anchor distT="0" distB="0" distL="0" distR="0" simplePos="0" relativeHeight="251660800" behindDoc="1" locked="0" layoutInCell="1" allowOverlap="1" wp14:anchorId="0A472A0D" wp14:editId="04141FD6">
          <wp:simplePos x="0" y="0"/>
          <wp:positionH relativeFrom="page">
            <wp:posOffset>4375150</wp:posOffset>
          </wp:positionH>
          <wp:positionV relativeFrom="page">
            <wp:posOffset>299719</wp:posOffset>
          </wp:positionV>
          <wp:extent cx="2286000" cy="437515"/>
          <wp:effectExtent l="0" t="0" r="0" b="0"/>
          <wp:wrapNone/>
          <wp:docPr id="9838565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jpeg"/>
                  <pic:cNvPicPr/>
                </pic:nvPicPr>
                <pic:blipFill>
                  <a:blip r:embed="rId2" cstate="print"/>
                  <a:stretch>
                    <a:fillRect/>
                  </a:stretch>
                </pic:blipFill>
                <pic:spPr>
                  <a:xfrm>
                    <a:off x="0" y="0"/>
                    <a:ext cx="2286000" cy="437515"/>
                  </a:xfrm>
                  <a:prstGeom prst="rect">
                    <a:avLst/>
                  </a:prstGeom>
                </pic:spPr>
              </pic:pic>
            </a:graphicData>
          </a:graphic>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B8AE3" w14:textId="38A0A2BD" w:rsidR="003B777E" w:rsidRDefault="00000000">
    <w:pPr>
      <w:pStyle w:val="BodyText"/>
      <w:spacing w:line="14" w:lineRule="auto"/>
      <w:rPr>
        <w:b w:val="0"/>
        <w:sz w:val="20"/>
      </w:rPr>
    </w:pPr>
    <w:r>
      <w:pict w14:anchorId="7A7F5BF7">
        <v:shapetype id="_x0000_t202" coordsize="21600,21600" o:spt="202" path="m,l,21600r21600,l21600,xe">
          <v:stroke joinstyle="miter"/>
          <v:path gradientshapeok="t" o:connecttype="rect"/>
        </v:shapetype>
        <v:shape id="_x0000_s1027" type="#_x0000_t202" style="position:absolute;margin-left:69.8pt;margin-top:34.2pt;width:137.2pt;height:36.95pt;z-index:-251642368;mso-position-horizontal-relative:page;mso-position-vertical-relative:page" filled="f" stroked="f">
          <v:textbox style="mso-next-textbox:#_x0000_s1027" inset="0,0,0,0">
            <w:txbxContent>
              <w:p w14:paraId="47926578" w14:textId="77777777" w:rsidR="003B777E" w:rsidRDefault="00000000">
                <w:pPr>
                  <w:spacing w:before="16" w:line="244" w:lineRule="auto"/>
                  <w:ind w:left="20" w:right="18"/>
                  <w:rPr>
                    <w:color w:val="808080"/>
                    <w:sz w:val="18"/>
                  </w:rPr>
                </w:pPr>
                <w:r>
                  <w:rPr>
                    <w:color w:val="808080"/>
                    <w:sz w:val="18"/>
                  </w:rPr>
                  <w:t>EU transparency register number:</w:t>
                </w:r>
                <w:r>
                  <w:rPr>
                    <w:color w:val="808080"/>
                    <w:spacing w:val="-47"/>
                    <w:sz w:val="18"/>
                  </w:rPr>
                  <w:t xml:space="preserve"> </w:t>
                </w:r>
                <w:r>
                  <w:rPr>
                    <w:color w:val="808080"/>
                    <w:sz w:val="18"/>
                  </w:rPr>
                  <w:t>643879152710-58</w:t>
                </w:r>
              </w:p>
              <w:p w14:paraId="01A6AA8E" w14:textId="32615EFB" w:rsidR="00855CFB" w:rsidRDefault="00855CFB">
                <w:pPr>
                  <w:spacing w:before="16" w:line="244" w:lineRule="auto"/>
                  <w:ind w:left="20" w:right="18"/>
                  <w:rPr>
                    <w:sz w:val="18"/>
                  </w:rPr>
                </w:pPr>
                <w:r>
                  <w:rPr>
                    <w:color w:val="808080"/>
                    <w:sz w:val="18"/>
                  </w:rPr>
                  <w:t>Doc EC</w:t>
                </w:r>
              </w:p>
            </w:txbxContent>
          </v:textbox>
          <w10:wrap anchorx="page" anchory="page"/>
        </v:shape>
      </w:pict>
    </w:r>
    <w:r w:rsidR="00855CFB">
      <w:rPr>
        <w:noProof/>
      </w:rPr>
      <w:drawing>
        <wp:anchor distT="0" distB="0" distL="0" distR="0" simplePos="0" relativeHeight="251661824" behindDoc="1" locked="0" layoutInCell="1" allowOverlap="1" wp14:anchorId="7CAFD342" wp14:editId="13160479">
          <wp:simplePos x="0" y="0"/>
          <wp:positionH relativeFrom="page">
            <wp:posOffset>4375150</wp:posOffset>
          </wp:positionH>
          <wp:positionV relativeFrom="page">
            <wp:posOffset>299719</wp:posOffset>
          </wp:positionV>
          <wp:extent cx="2286000" cy="437515"/>
          <wp:effectExtent l="0" t="0" r="0" b="0"/>
          <wp:wrapNone/>
          <wp:docPr id="375533720"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jpeg"/>
                  <pic:cNvPicPr/>
                </pic:nvPicPr>
                <pic:blipFill>
                  <a:blip r:embed="rId1" cstate="print"/>
                  <a:stretch>
                    <a:fillRect/>
                  </a:stretch>
                </pic:blipFill>
                <pic:spPr>
                  <a:xfrm>
                    <a:off x="0" y="0"/>
                    <a:ext cx="2286000" cy="437515"/>
                  </a:xfrm>
                  <a:prstGeom prst="rect">
                    <a:avLst/>
                  </a:prstGeom>
                </pic:spPr>
              </pic:pic>
            </a:graphicData>
          </a:graphic>
        </wp:anchor>
      </w:drawing>
    </w:r>
    <w:r w:rsidR="00855CFB">
      <w:rPr>
        <w:noProof/>
      </w:rPr>
      <w:drawing>
        <wp:anchor distT="0" distB="0" distL="0" distR="0" simplePos="0" relativeHeight="251662848" behindDoc="1" locked="0" layoutInCell="1" allowOverlap="1" wp14:anchorId="77F6AD90" wp14:editId="4EB6647B">
          <wp:simplePos x="0" y="0"/>
          <wp:positionH relativeFrom="page">
            <wp:posOffset>4841240</wp:posOffset>
          </wp:positionH>
          <wp:positionV relativeFrom="page">
            <wp:posOffset>799464</wp:posOffset>
          </wp:positionV>
          <wp:extent cx="1573602" cy="422909"/>
          <wp:effectExtent l="0" t="0" r="0" b="0"/>
          <wp:wrapNone/>
          <wp:docPr id="38154897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2.jpeg"/>
                  <pic:cNvPicPr/>
                </pic:nvPicPr>
                <pic:blipFill>
                  <a:blip r:embed="rId2" cstate="print"/>
                  <a:stretch>
                    <a:fillRect/>
                  </a:stretch>
                </pic:blipFill>
                <pic:spPr>
                  <a:xfrm>
                    <a:off x="0" y="0"/>
                    <a:ext cx="1573602" cy="4229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F1F21"/>
    <w:multiLevelType w:val="hybridMultilevel"/>
    <w:tmpl w:val="E612CB68"/>
    <w:lvl w:ilvl="0" w:tplc="0F824740">
      <w:numFmt w:val="bullet"/>
      <w:lvlText w:val=""/>
      <w:lvlJc w:val="left"/>
      <w:pPr>
        <w:ind w:left="830" w:hanging="361"/>
      </w:pPr>
      <w:rPr>
        <w:rFonts w:ascii="Wingdings" w:eastAsia="Wingdings" w:hAnsi="Wingdings" w:cs="Wingdings" w:hint="default"/>
        <w:w w:val="100"/>
        <w:sz w:val="22"/>
        <w:szCs w:val="22"/>
        <w:lang w:val="en-US" w:eastAsia="en-US" w:bidi="ar-SA"/>
      </w:rPr>
    </w:lvl>
    <w:lvl w:ilvl="1" w:tplc="B1B88690">
      <w:numFmt w:val="bullet"/>
      <w:lvlText w:val="•"/>
      <w:lvlJc w:val="left"/>
      <w:pPr>
        <w:ind w:left="1661" w:hanging="361"/>
      </w:pPr>
      <w:rPr>
        <w:rFonts w:hint="default"/>
        <w:lang w:val="en-US" w:eastAsia="en-US" w:bidi="ar-SA"/>
      </w:rPr>
    </w:lvl>
    <w:lvl w:ilvl="2" w:tplc="ED380ABA">
      <w:numFmt w:val="bullet"/>
      <w:lvlText w:val="•"/>
      <w:lvlJc w:val="left"/>
      <w:pPr>
        <w:ind w:left="2483" w:hanging="361"/>
      </w:pPr>
      <w:rPr>
        <w:rFonts w:hint="default"/>
        <w:lang w:val="en-US" w:eastAsia="en-US" w:bidi="ar-SA"/>
      </w:rPr>
    </w:lvl>
    <w:lvl w:ilvl="3" w:tplc="F488B262">
      <w:numFmt w:val="bullet"/>
      <w:lvlText w:val="•"/>
      <w:lvlJc w:val="left"/>
      <w:pPr>
        <w:ind w:left="3304" w:hanging="361"/>
      </w:pPr>
      <w:rPr>
        <w:rFonts w:hint="default"/>
        <w:lang w:val="en-US" w:eastAsia="en-US" w:bidi="ar-SA"/>
      </w:rPr>
    </w:lvl>
    <w:lvl w:ilvl="4" w:tplc="FDCCFF3A">
      <w:numFmt w:val="bullet"/>
      <w:lvlText w:val="•"/>
      <w:lvlJc w:val="left"/>
      <w:pPr>
        <w:ind w:left="4126" w:hanging="361"/>
      </w:pPr>
      <w:rPr>
        <w:rFonts w:hint="default"/>
        <w:lang w:val="en-US" w:eastAsia="en-US" w:bidi="ar-SA"/>
      </w:rPr>
    </w:lvl>
    <w:lvl w:ilvl="5" w:tplc="075C94BA">
      <w:numFmt w:val="bullet"/>
      <w:lvlText w:val="•"/>
      <w:lvlJc w:val="left"/>
      <w:pPr>
        <w:ind w:left="4948" w:hanging="361"/>
      </w:pPr>
      <w:rPr>
        <w:rFonts w:hint="default"/>
        <w:lang w:val="en-US" w:eastAsia="en-US" w:bidi="ar-SA"/>
      </w:rPr>
    </w:lvl>
    <w:lvl w:ilvl="6" w:tplc="290CF510">
      <w:numFmt w:val="bullet"/>
      <w:lvlText w:val="•"/>
      <w:lvlJc w:val="left"/>
      <w:pPr>
        <w:ind w:left="5769" w:hanging="361"/>
      </w:pPr>
      <w:rPr>
        <w:rFonts w:hint="default"/>
        <w:lang w:val="en-US" w:eastAsia="en-US" w:bidi="ar-SA"/>
      </w:rPr>
    </w:lvl>
    <w:lvl w:ilvl="7" w:tplc="022238A2">
      <w:numFmt w:val="bullet"/>
      <w:lvlText w:val="•"/>
      <w:lvlJc w:val="left"/>
      <w:pPr>
        <w:ind w:left="6591" w:hanging="361"/>
      </w:pPr>
      <w:rPr>
        <w:rFonts w:hint="default"/>
        <w:lang w:val="en-US" w:eastAsia="en-US" w:bidi="ar-SA"/>
      </w:rPr>
    </w:lvl>
    <w:lvl w:ilvl="8" w:tplc="F44CBFB4">
      <w:numFmt w:val="bullet"/>
      <w:lvlText w:val="•"/>
      <w:lvlJc w:val="left"/>
      <w:pPr>
        <w:ind w:left="7412" w:hanging="361"/>
      </w:pPr>
      <w:rPr>
        <w:rFonts w:hint="default"/>
        <w:lang w:val="en-US" w:eastAsia="en-US" w:bidi="ar-SA"/>
      </w:rPr>
    </w:lvl>
  </w:abstractNum>
  <w:abstractNum w:abstractNumId="1" w15:restartNumberingAfterBreak="0">
    <w:nsid w:val="07AD1E1D"/>
    <w:multiLevelType w:val="hybridMultilevel"/>
    <w:tmpl w:val="0BEC9F04"/>
    <w:lvl w:ilvl="0" w:tplc="E1B80304">
      <w:numFmt w:val="bullet"/>
      <w:lvlText w:val=""/>
      <w:lvlJc w:val="left"/>
      <w:pPr>
        <w:ind w:left="830" w:hanging="361"/>
      </w:pPr>
      <w:rPr>
        <w:rFonts w:ascii="Wingdings" w:eastAsia="Wingdings" w:hAnsi="Wingdings" w:cs="Wingdings" w:hint="default"/>
        <w:w w:val="100"/>
        <w:sz w:val="22"/>
        <w:szCs w:val="22"/>
        <w:lang w:val="en-US" w:eastAsia="en-US" w:bidi="ar-SA"/>
      </w:rPr>
    </w:lvl>
    <w:lvl w:ilvl="1" w:tplc="E9865FF0">
      <w:numFmt w:val="bullet"/>
      <w:lvlText w:val="•"/>
      <w:lvlJc w:val="left"/>
      <w:pPr>
        <w:ind w:left="1661" w:hanging="361"/>
      </w:pPr>
      <w:rPr>
        <w:rFonts w:hint="default"/>
        <w:lang w:val="en-US" w:eastAsia="en-US" w:bidi="ar-SA"/>
      </w:rPr>
    </w:lvl>
    <w:lvl w:ilvl="2" w:tplc="E6E0AEF0">
      <w:numFmt w:val="bullet"/>
      <w:lvlText w:val="•"/>
      <w:lvlJc w:val="left"/>
      <w:pPr>
        <w:ind w:left="2483" w:hanging="361"/>
      </w:pPr>
      <w:rPr>
        <w:rFonts w:hint="default"/>
        <w:lang w:val="en-US" w:eastAsia="en-US" w:bidi="ar-SA"/>
      </w:rPr>
    </w:lvl>
    <w:lvl w:ilvl="3" w:tplc="B574A750">
      <w:numFmt w:val="bullet"/>
      <w:lvlText w:val="•"/>
      <w:lvlJc w:val="left"/>
      <w:pPr>
        <w:ind w:left="3304" w:hanging="361"/>
      </w:pPr>
      <w:rPr>
        <w:rFonts w:hint="default"/>
        <w:lang w:val="en-US" w:eastAsia="en-US" w:bidi="ar-SA"/>
      </w:rPr>
    </w:lvl>
    <w:lvl w:ilvl="4" w:tplc="2FC6441C">
      <w:numFmt w:val="bullet"/>
      <w:lvlText w:val="•"/>
      <w:lvlJc w:val="left"/>
      <w:pPr>
        <w:ind w:left="4126" w:hanging="361"/>
      </w:pPr>
      <w:rPr>
        <w:rFonts w:hint="default"/>
        <w:lang w:val="en-US" w:eastAsia="en-US" w:bidi="ar-SA"/>
      </w:rPr>
    </w:lvl>
    <w:lvl w:ilvl="5" w:tplc="361E704A">
      <w:numFmt w:val="bullet"/>
      <w:lvlText w:val="•"/>
      <w:lvlJc w:val="left"/>
      <w:pPr>
        <w:ind w:left="4948" w:hanging="361"/>
      </w:pPr>
      <w:rPr>
        <w:rFonts w:hint="default"/>
        <w:lang w:val="en-US" w:eastAsia="en-US" w:bidi="ar-SA"/>
      </w:rPr>
    </w:lvl>
    <w:lvl w:ilvl="6" w:tplc="656C6D2C">
      <w:numFmt w:val="bullet"/>
      <w:lvlText w:val="•"/>
      <w:lvlJc w:val="left"/>
      <w:pPr>
        <w:ind w:left="5769" w:hanging="361"/>
      </w:pPr>
      <w:rPr>
        <w:rFonts w:hint="default"/>
        <w:lang w:val="en-US" w:eastAsia="en-US" w:bidi="ar-SA"/>
      </w:rPr>
    </w:lvl>
    <w:lvl w:ilvl="7" w:tplc="CB1ED7B2">
      <w:numFmt w:val="bullet"/>
      <w:lvlText w:val="•"/>
      <w:lvlJc w:val="left"/>
      <w:pPr>
        <w:ind w:left="6591" w:hanging="361"/>
      </w:pPr>
      <w:rPr>
        <w:rFonts w:hint="default"/>
        <w:lang w:val="en-US" w:eastAsia="en-US" w:bidi="ar-SA"/>
      </w:rPr>
    </w:lvl>
    <w:lvl w:ilvl="8" w:tplc="5BD21920">
      <w:numFmt w:val="bullet"/>
      <w:lvlText w:val="•"/>
      <w:lvlJc w:val="left"/>
      <w:pPr>
        <w:ind w:left="7412" w:hanging="361"/>
      </w:pPr>
      <w:rPr>
        <w:rFonts w:hint="default"/>
        <w:lang w:val="en-US" w:eastAsia="en-US" w:bidi="ar-SA"/>
      </w:rPr>
    </w:lvl>
  </w:abstractNum>
  <w:abstractNum w:abstractNumId="2" w15:restartNumberingAfterBreak="0">
    <w:nsid w:val="0F346AC0"/>
    <w:multiLevelType w:val="hybridMultilevel"/>
    <w:tmpl w:val="0F4C17A2"/>
    <w:lvl w:ilvl="0" w:tplc="0BFE589C">
      <w:numFmt w:val="bullet"/>
      <w:lvlText w:val=""/>
      <w:lvlJc w:val="left"/>
      <w:pPr>
        <w:ind w:left="830" w:hanging="361"/>
      </w:pPr>
      <w:rPr>
        <w:rFonts w:ascii="Wingdings" w:eastAsia="Wingdings" w:hAnsi="Wingdings" w:cs="Wingdings" w:hint="default"/>
        <w:w w:val="100"/>
        <w:sz w:val="22"/>
        <w:szCs w:val="22"/>
        <w:lang w:val="en-US" w:eastAsia="en-US" w:bidi="ar-SA"/>
      </w:rPr>
    </w:lvl>
    <w:lvl w:ilvl="1" w:tplc="C47EBF3E">
      <w:numFmt w:val="bullet"/>
      <w:lvlText w:val="•"/>
      <w:lvlJc w:val="left"/>
      <w:pPr>
        <w:ind w:left="1661" w:hanging="361"/>
      </w:pPr>
      <w:rPr>
        <w:rFonts w:hint="default"/>
        <w:lang w:val="en-US" w:eastAsia="en-US" w:bidi="ar-SA"/>
      </w:rPr>
    </w:lvl>
    <w:lvl w:ilvl="2" w:tplc="3F96E1F0">
      <w:numFmt w:val="bullet"/>
      <w:lvlText w:val="•"/>
      <w:lvlJc w:val="left"/>
      <w:pPr>
        <w:ind w:left="2483" w:hanging="361"/>
      </w:pPr>
      <w:rPr>
        <w:rFonts w:hint="default"/>
        <w:lang w:val="en-US" w:eastAsia="en-US" w:bidi="ar-SA"/>
      </w:rPr>
    </w:lvl>
    <w:lvl w:ilvl="3" w:tplc="39A8420C">
      <w:numFmt w:val="bullet"/>
      <w:lvlText w:val="•"/>
      <w:lvlJc w:val="left"/>
      <w:pPr>
        <w:ind w:left="3304" w:hanging="361"/>
      </w:pPr>
      <w:rPr>
        <w:rFonts w:hint="default"/>
        <w:lang w:val="en-US" w:eastAsia="en-US" w:bidi="ar-SA"/>
      </w:rPr>
    </w:lvl>
    <w:lvl w:ilvl="4" w:tplc="4234276A">
      <w:numFmt w:val="bullet"/>
      <w:lvlText w:val="•"/>
      <w:lvlJc w:val="left"/>
      <w:pPr>
        <w:ind w:left="4126" w:hanging="361"/>
      </w:pPr>
      <w:rPr>
        <w:rFonts w:hint="default"/>
        <w:lang w:val="en-US" w:eastAsia="en-US" w:bidi="ar-SA"/>
      </w:rPr>
    </w:lvl>
    <w:lvl w:ilvl="5" w:tplc="7F52CA08">
      <w:numFmt w:val="bullet"/>
      <w:lvlText w:val="•"/>
      <w:lvlJc w:val="left"/>
      <w:pPr>
        <w:ind w:left="4948" w:hanging="361"/>
      </w:pPr>
      <w:rPr>
        <w:rFonts w:hint="default"/>
        <w:lang w:val="en-US" w:eastAsia="en-US" w:bidi="ar-SA"/>
      </w:rPr>
    </w:lvl>
    <w:lvl w:ilvl="6" w:tplc="0A4ED17E">
      <w:numFmt w:val="bullet"/>
      <w:lvlText w:val="•"/>
      <w:lvlJc w:val="left"/>
      <w:pPr>
        <w:ind w:left="5769" w:hanging="361"/>
      </w:pPr>
      <w:rPr>
        <w:rFonts w:hint="default"/>
        <w:lang w:val="en-US" w:eastAsia="en-US" w:bidi="ar-SA"/>
      </w:rPr>
    </w:lvl>
    <w:lvl w:ilvl="7" w:tplc="7E1C6FBE">
      <w:numFmt w:val="bullet"/>
      <w:lvlText w:val="•"/>
      <w:lvlJc w:val="left"/>
      <w:pPr>
        <w:ind w:left="6591" w:hanging="361"/>
      </w:pPr>
      <w:rPr>
        <w:rFonts w:hint="default"/>
        <w:lang w:val="en-US" w:eastAsia="en-US" w:bidi="ar-SA"/>
      </w:rPr>
    </w:lvl>
    <w:lvl w:ilvl="8" w:tplc="2A0094E0">
      <w:numFmt w:val="bullet"/>
      <w:lvlText w:val="•"/>
      <w:lvlJc w:val="left"/>
      <w:pPr>
        <w:ind w:left="7412" w:hanging="361"/>
      </w:pPr>
      <w:rPr>
        <w:rFonts w:hint="default"/>
        <w:lang w:val="en-US" w:eastAsia="en-US" w:bidi="ar-SA"/>
      </w:rPr>
    </w:lvl>
  </w:abstractNum>
  <w:abstractNum w:abstractNumId="3" w15:restartNumberingAfterBreak="0">
    <w:nsid w:val="11FD5D7A"/>
    <w:multiLevelType w:val="hybridMultilevel"/>
    <w:tmpl w:val="D87CAEA6"/>
    <w:lvl w:ilvl="0" w:tplc="B1ACC75C">
      <w:numFmt w:val="bullet"/>
      <w:lvlText w:val=""/>
      <w:lvlJc w:val="left"/>
      <w:pPr>
        <w:ind w:left="830" w:hanging="361"/>
      </w:pPr>
      <w:rPr>
        <w:rFonts w:ascii="Wingdings" w:eastAsia="Wingdings" w:hAnsi="Wingdings" w:cs="Wingdings" w:hint="default"/>
        <w:w w:val="100"/>
        <w:sz w:val="24"/>
        <w:szCs w:val="24"/>
        <w:lang w:val="en-US" w:eastAsia="en-US" w:bidi="ar-SA"/>
      </w:rPr>
    </w:lvl>
    <w:lvl w:ilvl="1" w:tplc="9208D914">
      <w:numFmt w:val="bullet"/>
      <w:lvlText w:val="•"/>
      <w:lvlJc w:val="left"/>
      <w:pPr>
        <w:ind w:left="1661" w:hanging="361"/>
      </w:pPr>
      <w:rPr>
        <w:rFonts w:hint="default"/>
        <w:lang w:val="en-US" w:eastAsia="en-US" w:bidi="ar-SA"/>
      </w:rPr>
    </w:lvl>
    <w:lvl w:ilvl="2" w:tplc="7FDC87F2">
      <w:numFmt w:val="bullet"/>
      <w:lvlText w:val="•"/>
      <w:lvlJc w:val="left"/>
      <w:pPr>
        <w:ind w:left="2483" w:hanging="361"/>
      </w:pPr>
      <w:rPr>
        <w:rFonts w:hint="default"/>
        <w:lang w:val="en-US" w:eastAsia="en-US" w:bidi="ar-SA"/>
      </w:rPr>
    </w:lvl>
    <w:lvl w:ilvl="3" w:tplc="DC02DAE6">
      <w:numFmt w:val="bullet"/>
      <w:lvlText w:val="•"/>
      <w:lvlJc w:val="left"/>
      <w:pPr>
        <w:ind w:left="3304" w:hanging="361"/>
      </w:pPr>
      <w:rPr>
        <w:rFonts w:hint="default"/>
        <w:lang w:val="en-US" w:eastAsia="en-US" w:bidi="ar-SA"/>
      </w:rPr>
    </w:lvl>
    <w:lvl w:ilvl="4" w:tplc="47225A0E">
      <w:numFmt w:val="bullet"/>
      <w:lvlText w:val="•"/>
      <w:lvlJc w:val="left"/>
      <w:pPr>
        <w:ind w:left="4126" w:hanging="361"/>
      </w:pPr>
      <w:rPr>
        <w:rFonts w:hint="default"/>
        <w:lang w:val="en-US" w:eastAsia="en-US" w:bidi="ar-SA"/>
      </w:rPr>
    </w:lvl>
    <w:lvl w:ilvl="5" w:tplc="55B8E01A">
      <w:numFmt w:val="bullet"/>
      <w:lvlText w:val="•"/>
      <w:lvlJc w:val="left"/>
      <w:pPr>
        <w:ind w:left="4948" w:hanging="361"/>
      </w:pPr>
      <w:rPr>
        <w:rFonts w:hint="default"/>
        <w:lang w:val="en-US" w:eastAsia="en-US" w:bidi="ar-SA"/>
      </w:rPr>
    </w:lvl>
    <w:lvl w:ilvl="6" w:tplc="C846BE48">
      <w:numFmt w:val="bullet"/>
      <w:lvlText w:val="•"/>
      <w:lvlJc w:val="left"/>
      <w:pPr>
        <w:ind w:left="5769" w:hanging="361"/>
      </w:pPr>
      <w:rPr>
        <w:rFonts w:hint="default"/>
        <w:lang w:val="en-US" w:eastAsia="en-US" w:bidi="ar-SA"/>
      </w:rPr>
    </w:lvl>
    <w:lvl w:ilvl="7" w:tplc="54467324">
      <w:numFmt w:val="bullet"/>
      <w:lvlText w:val="•"/>
      <w:lvlJc w:val="left"/>
      <w:pPr>
        <w:ind w:left="6591" w:hanging="361"/>
      </w:pPr>
      <w:rPr>
        <w:rFonts w:hint="default"/>
        <w:lang w:val="en-US" w:eastAsia="en-US" w:bidi="ar-SA"/>
      </w:rPr>
    </w:lvl>
    <w:lvl w:ilvl="8" w:tplc="90CA3C42">
      <w:numFmt w:val="bullet"/>
      <w:lvlText w:val="•"/>
      <w:lvlJc w:val="left"/>
      <w:pPr>
        <w:ind w:left="7412" w:hanging="361"/>
      </w:pPr>
      <w:rPr>
        <w:rFonts w:hint="default"/>
        <w:lang w:val="en-US" w:eastAsia="en-US" w:bidi="ar-SA"/>
      </w:rPr>
    </w:lvl>
  </w:abstractNum>
  <w:abstractNum w:abstractNumId="4" w15:restartNumberingAfterBreak="0">
    <w:nsid w:val="13820558"/>
    <w:multiLevelType w:val="hybridMultilevel"/>
    <w:tmpl w:val="6F78DED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4634AFB"/>
    <w:multiLevelType w:val="hybridMultilevel"/>
    <w:tmpl w:val="920AF836"/>
    <w:lvl w:ilvl="0" w:tplc="C36A655C">
      <w:numFmt w:val="bullet"/>
      <w:lvlText w:val=""/>
      <w:lvlJc w:val="left"/>
      <w:pPr>
        <w:ind w:left="825" w:hanging="361"/>
      </w:pPr>
      <w:rPr>
        <w:rFonts w:ascii="Wingdings" w:eastAsia="Wingdings" w:hAnsi="Wingdings" w:cs="Wingdings" w:hint="default"/>
        <w:w w:val="100"/>
        <w:sz w:val="22"/>
        <w:szCs w:val="22"/>
        <w:lang w:val="en-US" w:eastAsia="en-US" w:bidi="ar-SA"/>
      </w:rPr>
    </w:lvl>
    <w:lvl w:ilvl="1" w:tplc="FB7A31C6">
      <w:numFmt w:val="bullet"/>
      <w:lvlText w:val="•"/>
      <w:lvlJc w:val="left"/>
      <w:pPr>
        <w:ind w:left="1643" w:hanging="361"/>
      </w:pPr>
      <w:rPr>
        <w:rFonts w:hint="default"/>
        <w:lang w:val="en-US" w:eastAsia="en-US" w:bidi="ar-SA"/>
      </w:rPr>
    </w:lvl>
    <w:lvl w:ilvl="2" w:tplc="00760716">
      <w:numFmt w:val="bullet"/>
      <w:lvlText w:val="•"/>
      <w:lvlJc w:val="left"/>
      <w:pPr>
        <w:ind w:left="2467" w:hanging="361"/>
      </w:pPr>
      <w:rPr>
        <w:rFonts w:hint="default"/>
        <w:lang w:val="en-US" w:eastAsia="en-US" w:bidi="ar-SA"/>
      </w:rPr>
    </w:lvl>
    <w:lvl w:ilvl="3" w:tplc="10A298A4">
      <w:numFmt w:val="bullet"/>
      <w:lvlText w:val="•"/>
      <w:lvlJc w:val="left"/>
      <w:pPr>
        <w:ind w:left="3290" w:hanging="361"/>
      </w:pPr>
      <w:rPr>
        <w:rFonts w:hint="default"/>
        <w:lang w:val="en-US" w:eastAsia="en-US" w:bidi="ar-SA"/>
      </w:rPr>
    </w:lvl>
    <w:lvl w:ilvl="4" w:tplc="5556170E">
      <w:numFmt w:val="bullet"/>
      <w:lvlText w:val="•"/>
      <w:lvlJc w:val="left"/>
      <w:pPr>
        <w:ind w:left="4114" w:hanging="361"/>
      </w:pPr>
      <w:rPr>
        <w:rFonts w:hint="default"/>
        <w:lang w:val="en-US" w:eastAsia="en-US" w:bidi="ar-SA"/>
      </w:rPr>
    </w:lvl>
    <w:lvl w:ilvl="5" w:tplc="CC6E4F4E">
      <w:numFmt w:val="bullet"/>
      <w:lvlText w:val="•"/>
      <w:lvlJc w:val="left"/>
      <w:pPr>
        <w:ind w:left="4938" w:hanging="361"/>
      </w:pPr>
      <w:rPr>
        <w:rFonts w:hint="default"/>
        <w:lang w:val="en-US" w:eastAsia="en-US" w:bidi="ar-SA"/>
      </w:rPr>
    </w:lvl>
    <w:lvl w:ilvl="6" w:tplc="CCAEADC6">
      <w:numFmt w:val="bullet"/>
      <w:lvlText w:val="•"/>
      <w:lvlJc w:val="left"/>
      <w:pPr>
        <w:ind w:left="5761" w:hanging="361"/>
      </w:pPr>
      <w:rPr>
        <w:rFonts w:hint="default"/>
        <w:lang w:val="en-US" w:eastAsia="en-US" w:bidi="ar-SA"/>
      </w:rPr>
    </w:lvl>
    <w:lvl w:ilvl="7" w:tplc="02560EF8">
      <w:numFmt w:val="bullet"/>
      <w:lvlText w:val="•"/>
      <w:lvlJc w:val="left"/>
      <w:pPr>
        <w:ind w:left="6585" w:hanging="361"/>
      </w:pPr>
      <w:rPr>
        <w:rFonts w:hint="default"/>
        <w:lang w:val="en-US" w:eastAsia="en-US" w:bidi="ar-SA"/>
      </w:rPr>
    </w:lvl>
    <w:lvl w:ilvl="8" w:tplc="A52AB63E">
      <w:numFmt w:val="bullet"/>
      <w:lvlText w:val="•"/>
      <w:lvlJc w:val="left"/>
      <w:pPr>
        <w:ind w:left="7408" w:hanging="361"/>
      </w:pPr>
      <w:rPr>
        <w:rFonts w:hint="default"/>
        <w:lang w:val="en-US" w:eastAsia="en-US" w:bidi="ar-SA"/>
      </w:rPr>
    </w:lvl>
  </w:abstractNum>
  <w:abstractNum w:abstractNumId="6" w15:restartNumberingAfterBreak="0">
    <w:nsid w:val="14CB767D"/>
    <w:multiLevelType w:val="hybridMultilevel"/>
    <w:tmpl w:val="DBB44684"/>
    <w:lvl w:ilvl="0" w:tplc="ADAAEF18">
      <w:numFmt w:val="bullet"/>
      <w:lvlText w:val=""/>
      <w:lvlJc w:val="left"/>
      <w:pPr>
        <w:ind w:left="830" w:hanging="361"/>
      </w:pPr>
      <w:rPr>
        <w:rFonts w:ascii="Wingdings" w:eastAsia="Wingdings" w:hAnsi="Wingdings" w:cs="Wingdings" w:hint="default"/>
        <w:w w:val="100"/>
        <w:sz w:val="22"/>
        <w:szCs w:val="22"/>
        <w:lang w:val="en-US" w:eastAsia="en-US" w:bidi="ar-SA"/>
      </w:rPr>
    </w:lvl>
    <w:lvl w:ilvl="1" w:tplc="0D8E5868">
      <w:numFmt w:val="bullet"/>
      <w:lvlText w:val="•"/>
      <w:lvlJc w:val="left"/>
      <w:pPr>
        <w:ind w:left="1661" w:hanging="361"/>
      </w:pPr>
      <w:rPr>
        <w:rFonts w:hint="default"/>
        <w:lang w:val="en-US" w:eastAsia="en-US" w:bidi="ar-SA"/>
      </w:rPr>
    </w:lvl>
    <w:lvl w:ilvl="2" w:tplc="1A824B18">
      <w:numFmt w:val="bullet"/>
      <w:lvlText w:val="•"/>
      <w:lvlJc w:val="left"/>
      <w:pPr>
        <w:ind w:left="2483" w:hanging="361"/>
      </w:pPr>
      <w:rPr>
        <w:rFonts w:hint="default"/>
        <w:lang w:val="en-US" w:eastAsia="en-US" w:bidi="ar-SA"/>
      </w:rPr>
    </w:lvl>
    <w:lvl w:ilvl="3" w:tplc="47E81154">
      <w:numFmt w:val="bullet"/>
      <w:lvlText w:val="•"/>
      <w:lvlJc w:val="left"/>
      <w:pPr>
        <w:ind w:left="3304" w:hanging="361"/>
      </w:pPr>
      <w:rPr>
        <w:rFonts w:hint="default"/>
        <w:lang w:val="en-US" w:eastAsia="en-US" w:bidi="ar-SA"/>
      </w:rPr>
    </w:lvl>
    <w:lvl w:ilvl="4" w:tplc="337A381C">
      <w:numFmt w:val="bullet"/>
      <w:lvlText w:val="•"/>
      <w:lvlJc w:val="left"/>
      <w:pPr>
        <w:ind w:left="4126" w:hanging="361"/>
      </w:pPr>
      <w:rPr>
        <w:rFonts w:hint="default"/>
        <w:lang w:val="en-US" w:eastAsia="en-US" w:bidi="ar-SA"/>
      </w:rPr>
    </w:lvl>
    <w:lvl w:ilvl="5" w:tplc="16AC4086">
      <w:numFmt w:val="bullet"/>
      <w:lvlText w:val="•"/>
      <w:lvlJc w:val="left"/>
      <w:pPr>
        <w:ind w:left="4948" w:hanging="361"/>
      </w:pPr>
      <w:rPr>
        <w:rFonts w:hint="default"/>
        <w:lang w:val="en-US" w:eastAsia="en-US" w:bidi="ar-SA"/>
      </w:rPr>
    </w:lvl>
    <w:lvl w:ilvl="6" w:tplc="A81CC41E">
      <w:numFmt w:val="bullet"/>
      <w:lvlText w:val="•"/>
      <w:lvlJc w:val="left"/>
      <w:pPr>
        <w:ind w:left="5769" w:hanging="361"/>
      </w:pPr>
      <w:rPr>
        <w:rFonts w:hint="default"/>
        <w:lang w:val="en-US" w:eastAsia="en-US" w:bidi="ar-SA"/>
      </w:rPr>
    </w:lvl>
    <w:lvl w:ilvl="7" w:tplc="463AAC28">
      <w:numFmt w:val="bullet"/>
      <w:lvlText w:val="•"/>
      <w:lvlJc w:val="left"/>
      <w:pPr>
        <w:ind w:left="6591" w:hanging="361"/>
      </w:pPr>
      <w:rPr>
        <w:rFonts w:hint="default"/>
        <w:lang w:val="en-US" w:eastAsia="en-US" w:bidi="ar-SA"/>
      </w:rPr>
    </w:lvl>
    <w:lvl w:ilvl="8" w:tplc="FBBAB344">
      <w:numFmt w:val="bullet"/>
      <w:lvlText w:val="•"/>
      <w:lvlJc w:val="left"/>
      <w:pPr>
        <w:ind w:left="7412" w:hanging="361"/>
      </w:pPr>
      <w:rPr>
        <w:rFonts w:hint="default"/>
        <w:lang w:val="en-US" w:eastAsia="en-US" w:bidi="ar-SA"/>
      </w:rPr>
    </w:lvl>
  </w:abstractNum>
  <w:abstractNum w:abstractNumId="7" w15:restartNumberingAfterBreak="0">
    <w:nsid w:val="15D948DB"/>
    <w:multiLevelType w:val="hybridMultilevel"/>
    <w:tmpl w:val="62EA0BF4"/>
    <w:lvl w:ilvl="0" w:tplc="0302C9DE">
      <w:numFmt w:val="bullet"/>
      <w:lvlText w:val=""/>
      <w:lvlJc w:val="left"/>
      <w:pPr>
        <w:ind w:left="830" w:hanging="361"/>
      </w:pPr>
      <w:rPr>
        <w:rFonts w:ascii="Wingdings" w:eastAsia="Wingdings" w:hAnsi="Wingdings" w:cs="Wingdings" w:hint="default"/>
        <w:w w:val="100"/>
        <w:sz w:val="22"/>
        <w:szCs w:val="22"/>
        <w:lang w:val="en-US" w:eastAsia="en-US" w:bidi="ar-SA"/>
      </w:rPr>
    </w:lvl>
    <w:lvl w:ilvl="1" w:tplc="FE78CD62">
      <w:numFmt w:val="bullet"/>
      <w:lvlText w:val="•"/>
      <w:lvlJc w:val="left"/>
      <w:pPr>
        <w:ind w:left="1661" w:hanging="361"/>
      </w:pPr>
      <w:rPr>
        <w:rFonts w:hint="default"/>
        <w:lang w:val="en-US" w:eastAsia="en-US" w:bidi="ar-SA"/>
      </w:rPr>
    </w:lvl>
    <w:lvl w:ilvl="2" w:tplc="BB9A808A">
      <w:numFmt w:val="bullet"/>
      <w:lvlText w:val="•"/>
      <w:lvlJc w:val="left"/>
      <w:pPr>
        <w:ind w:left="2483" w:hanging="361"/>
      </w:pPr>
      <w:rPr>
        <w:rFonts w:hint="default"/>
        <w:lang w:val="en-US" w:eastAsia="en-US" w:bidi="ar-SA"/>
      </w:rPr>
    </w:lvl>
    <w:lvl w:ilvl="3" w:tplc="BFD871D8">
      <w:numFmt w:val="bullet"/>
      <w:lvlText w:val="•"/>
      <w:lvlJc w:val="left"/>
      <w:pPr>
        <w:ind w:left="3304" w:hanging="361"/>
      </w:pPr>
      <w:rPr>
        <w:rFonts w:hint="default"/>
        <w:lang w:val="en-US" w:eastAsia="en-US" w:bidi="ar-SA"/>
      </w:rPr>
    </w:lvl>
    <w:lvl w:ilvl="4" w:tplc="CEEA89AA">
      <w:numFmt w:val="bullet"/>
      <w:lvlText w:val="•"/>
      <w:lvlJc w:val="left"/>
      <w:pPr>
        <w:ind w:left="4126" w:hanging="361"/>
      </w:pPr>
      <w:rPr>
        <w:rFonts w:hint="default"/>
        <w:lang w:val="en-US" w:eastAsia="en-US" w:bidi="ar-SA"/>
      </w:rPr>
    </w:lvl>
    <w:lvl w:ilvl="5" w:tplc="C11CEA58">
      <w:numFmt w:val="bullet"/>
      <w:lvlText w:val="•"/>
      <w:lvlJc w:val="left"/>
      <w:pPr>
        <w:ind w:left="4948" w:hanging="361"/>
      </w:pPr>
      <w:rPr>
        <w:rFonts w:hint="default"/>
        <w:lang w:val="en-US" w:eastAsia="en-US" w:bidi="ar-SA"/>
      </w:rPr>
    </w:lvl>
    <w:lvl w:ilvl="6" w:tplc="F7E6B946">
      <w:numFmt w:val="bullet"/>
      <w:lvlText w:val="•"/>
      <w:lvlJc w:val="left"/>
      <w:pPr>
        <w:ind w:left="5769" w:hanging="361"/>
      </w:pPr>
      <w:rPr>
        <w:rFonts w:hint="default"/>
        <w:lang w:val="en-US" w:eastAsia="en-US" w:bidi="ar-SA"/>
      </w:rPr>
    </w:lvl>
    <w:lvl w:ilvl="7" w:tplc="4692A7D0">
      <w:numFmt w:val="bullet"/>
      <w:lvlText w:val="•"/>
      <w:lvlJc w:val="left"/>
      <w:pPr>
        <w:ind w:left="6591" w:hanging="361"/>
      </w:pPr>
      <w:rPr>
        <w:rFonts w:hint="default"/>
        <w:lang w:val="en-US" w:eastAsia="en-US" w:bidi="ar-SA"/>
      </w:rPr>
    </w:lvl>
    <w:lvl w:ilvl="8" w:tplc="5B7866E2">
      <w:numFmt w:val="bullet"/>
      <w:lvlText w:val="•"/>
      <w:lvlJc w:val="left"/>
      <w:pPr>
        <w:ind w:left="7412" w:hanging="361"/>
      </w:pPr>
      <w:rPr>
        <w:rFonts w:hint="default"/>
        <w:lang w:val="en-US" w:eastAsia="en-US" w:bidi="ar-SA"/>
      </w:rPr>
    </w:lvl>
  </w:abstractNum>
  <w:abstractNum w:abstractNumId="8" w15:restartNumberingAfterBreak="0">
    <w:nsid w:val="16DC365E"/>
    <w:multiLevelType w:val="hybridMultilevel"/>
    <w:tmpl w:val="ED2E94A8"/>
    <w:lvl w:ilvl="0" w:tplc="73A8568E">
      <w:numFmt w:val="bullet"/>
      <w:lvlText w:val=""/>
      <w:lvlJc w:val="left"/>
      <w:pPr>
        <w:ind w:left="830" w:hanging="361"/>
      </w:pPr>
      <w:rPr>
        <w:rFonts w:ascii="Wingdings" w:eastAsia="Wingdings" w:hAnsi="Wingdings" w:cs="Wingdings" w:hint="default"/>
        <w:w w:val="100"/>
        <w:sz w:val="22"/>
        <w:szCs w:val="22"/>
        <w:lang w:val="en-US" w:eastAsia="en-US" w:bidi="ar-SA"/>
      </w:rPr>
    </w:lvl>
    <w:lvl w:ilvl="1" w:tplc="E13A0E58">
      <w:numFmt w:val="bullet"/>
      <w:lvlText w:val="•"/>
      <w:lvlJc w:val="left"/>
      <w:pPr>
        <w:ind w:left="1661" w:hanging="361"/>
      </w:pPr>
      <w:rPr>
        <w:rFonts w:hint="default"/>
        <w:lang w:val="en-US" w:eastAsia="en-US" w:bidi="ar-SA"/>
      </w:rPr>
    </w:lvl>
    <w:lvl w:ilvl="2" w:tplc="A790ADA6">
      <w:numFmt w:val="bullet"/>
      <w:lvlText w:val="•"/>
      <w:lvlJc w:val="left"/>
      <w:pPr>
        <w:ind w:left="2483" w:hanging="361"/>
      </w:pPr>
      <w:rPr>
        <w:rFonts w:hint="default"/>
        <w:lang w:val="en-US" w:eastAsia="en-US" w:bidi="ar-SA"/>
      </w:rPr>
    </w:lvl>
    <w:lvl w:ilvl="3" w:tplc="4DE83840">
      <w:numFmt w:val="bullet"/>
      <w:lvlText w:val="•"/>
      <w:lvlJc w:val="left"/>
      <w:pPr>
        <w:ind w:left="3304" w:hanging="361"/>
      </w:pPr>
      <w:rPr>
        <w:rFonts w:hint="default"/>
        <w:lang w:val="en-US" w:eastAsia="en-US" w:bidi="ar-SA"/>
      </w:rPr>
    </w:lvl>
    <w:lvl w:ilvl="4" w:tplc="5914BE2E">
      <w:numFmt w:val="bullet"/>
      <w:lvlText w:val="•"/>
      <w:lvlJc w:val="left"/>
      <w:pPr>
        <w:ind w:left="4126" w:hanging="361"/>
      </w:pPr>
      <w:rPr>
        <w:rFonts w:hint="default"/>
        <w:lang w:val="en-US" w:eastAsia="en-US" w:bidi="ar-SA"/>
      </w:rPr>
    </w:lvl>
    <w:lvl w:ilvl="5" w:tplc="9E08FE92">
      <w:numFmt w:val="bullet"/>
      <w:lvlText w:val="•"/>
      <w:lvlJc w:val="left"/>
      <w:pPr>
        <w:ind w:left="4948" w:hanging="361"/>
      </w:pPr>
      <w:rPr>
        <w:rFonts w:hint="default"/>
        <w:lang w:val="en-US" w:eastAsia="en-US" w:bidi="ar-SA"/>
      </w:rPr>
    </w:lvl>
    <w:lvl w:ilvl="6" w:tplc="ACEA296E">
      <w:numFmt w:val="bullet"/>
      <w:lvlText w:val="•"/>
      <w:lvlJc w:val="left"/>
      <w:pPr>
        <w:ind w:left="5769" w:hanging="361"/>
      </w:pPr>
      <w:rPr>
        <w:rFonts w:hint="default"/>
        <w:lang w:val="en-US" w:eastAsia="en-US" w:bidi="ar-SA"/>
      </w:rPr>
    </w:lvl>
    <w:lvl w:ilvl="7" w:tplc="CAB4E524">
      <w:numFmt w:val="bullet"/>
      <w:lvlText w:val="•"/>
      <w:lvlJc w:val="left"/>
      <w:pPr>
        <w:ind w:left="6591" w:hanging="361"/>
      </w:pPr>
      <w:rPr>
        <w:rFonts w:hint="default"/>
        <w:lang w:val="en-US" w:eastAsia="en-US" w:bidi="ar-SA"/>
      </w:rPr>
    </w:lvl>
    <w:lvl w:ilvl="8" w:tplc="41548FA4">
      <w:numFmt w:val="bullet"/>
      <w:lvlText w:val="•"/>
      <w:lvlJc w:val="left"/>
      <w:pPr>
        <w:ind w:left="7412" w:hanging="361"/>
      </w:pPr>
      <w:rPr>
        <w:rFonts w:hint="default"/>
        <w:lang w:val="en-US" w:eastAsia="en-US" w:bidi="ar-SA"/>
      </w:rPr>
    </w:lvl>
  </w:abstractNum>
  <w:abstractNum w:abstractNumId="9" w15:restartNumberingAfterBreak="0">
    <w:nsid w:val="177B6BDE"/>
    <w:multiLevelType w:val="hybridMultilevel"/>
    <w:tmpl w:val="64A21B3A"/>
    <w:lvl w:ilvl="0" w:tplc="0C070015">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0" w15:restartNumberingAfterBreak="0">
    <w:nsid w:val="192F5364"/>
    <w:multiLevelType w:val="hybridMultilevel"/>
    <w:tmpl w:val="F5DEC8E2"/>
    <w:lvl w:ilvl="0" w:tplc="12605698">
      <w:numFmt w:val="bullet"/>
      <w:lvlText w:val=""/>
      <w:lvlJc w:val="left"/>
      <w:pPr>
        <w:ind w:left="830" w:hanging="361"/>
      </w:pPr>
      <w:rPr>
        <w:rFonts w:hint="default"/>
        <w:w w:val="100"/>
        <w:lang w:val="en-US" w:eastAsia="en-US" w:bidi="ar-SA"/>
      </w:rPr>
    </w:lvl>
    <w:lvl w:ilvl="1" w:tplc="85FCA36A">
      <w:numFmt w:val="bullet"/>
      <w:lvlText w:val="•"/>
      <w:lvlJc w:val="left"/>
      <w:pPr>
        <w:ind w:left="1661" w:hanging="361"/>
      </w:pPr>
      <w:rPr>
        <w:rFonts w:hint="default"/>
        <w:lang w:val="en-US" w:eastAsia="en-US" w:bidi="ar-SA"/>
      </w:rPr>
    </w:lvl>
    <w:lvl w:ilvl="2" w:tplc="B1B4DE18">
      <w:numFmt w:val="bullet"/>
      <w:lvlText w:val="•"/>
      <w:lvlJc w:val="left"/>
      <w:pPr>
        <w:ind w:left="2483" w:hanging="361"/>
      </w:pPr>
      <w:rPr>
        <w:rFonts w:hint="default"/>
        <w:lang w:val="en-US" w:eastAsia="en-US" w:bidi="ar-SA"/>
      </w:rPr>
    </w:lvl>
    <w:lvl w:ilvl="3" w:tplc="ED429FF0">
      <w:numFmt w:val="bullet"/>
      <w:lvlText w:val="•"/>
      <w:lvlJc w:val="left"/>
      <w:pPr>
        <w:ind w:left="3304" w:hanging="361"/>
      </w:pPr>
      <w:rPr>
        <w:rFonts w:hint="default"/>
        <w:lang w:val="en-US" w:eastAsia="en-US" w:bidi="ar-SA"/>
      </w:rPr>
    </w:lvl>
    <w:lvl w:ilvl="4" w:tplc="27901058">
      <w:numFmt w:val="bullet"/>
      <w:lvlText w:val="•"/>
      <w:lvlJc w:val="left"/>
      <w:pPr>
        <w:ind w:left="4126" w:hanging="361"/>
      </w:pPr>
      <w:rPr>
        <w:rFonts w:hint="default"/>
        <w:lang w:val="en-US" w:eastAsia="en-US" w:bidi="ar-SA"/>
      </w:rPr>
    </w:lvl>
    <w:lvl w:ilvl="5" w:tplc="3CFC183A">
      <w:numFmt w:val="bullet"/>
      <w:lvlText w:val="•"/>
      <w:lvlJc w:val="left"/>
      <w:pPr>
        <w:ind w:left="4948" w:hanging="361"/>
      </w:pPr>
      <w:rPr>
        <w:rFonts w:hint="default"/>
        <w:lang w:val="en-US" w:eastAsia="en-US" w:bidi="ar-SA"/>
      </w:rPr>
    </w:lvl>
    <w:lvl w:ilvl="6" w:tplc="C57A5110">
      <w:numFmt w:val="bullet"/>
      <w:lvlText w:val="•"/>
      <w:lvlJc w:val="left"/>
      <w:pPr>
        <w:ind w:left="5769" w:hanging="361"/>
      </w:pPr>
      <w:rPr>
        <w:rFonts w:hint="default"/>
        <w:lang w:val="en-US" w:eastAsia="en-US" w:bidi="ar-SA"/>
      </w:rPr>
    </w:lvl>
    <w:lvl w:ilvl="7" w:tplc="3580C5FC">
      <w:numFmt w:val="bullet"/>
      <w:lvlText w:val="•"/>
      <w:lvlJc w:val="left"/>
      <w:pPr>
        <w:ind w:left="6591" w:hanging="361"/>
      </w:pPr>
      <w:rPr>
        <w:rFonts w:hint="default"/>
        <w:lang w:val="en-US" w:eastAsia="en-US" w:bidi="ar-SA"/>
      </w:rPr>
    </w:lvl>
    <w:lvl w:ilvl="8" w:tplc="F4700AEE">
      <w:numFmt w:val="bullet"/>
      <w:lvlText w:val="•"/>
      <w:lvlJc w:val="left"/>
      <w:pPr>
        <w:ind w:left="7412" w:hanging="361"/>
      </w:pPr>
      <w:rPr>
        <w:rFonts w:hint="default"/>
        <w:lang w:val="en-US" w:eastAsia="en-US" w:bidi="ar-SA"/>
      </w:rPr>
    </w:lvl>
  </w:abstractNum>
  <w:abstractNum w:abstractNumId="11" w15:restartNumberingAfterBreak="0">
    <w:nsid w:val="1A611EDD"/>
    <w:multiLevelType w:val="hybridMultilevel"/>
    <w:tmpl w:val="93C0BA3E"/>
    <w:lvl w:ilvl="0" w:tplc="6D5E4BE2">
      <w:numFmt w:val="bullet"/>
      <w:lvlText w:val=""/>
      <w:lvlJc w:val="left"/>
      <w:pPr>
        <w:ind w:left="830" w:hanging="361"/>
      </w:pPr>
      <w:rPr>
        <w:rFonts w:ascii="Wingdings" w:eastAsia="Wingdings" w:hAnsi="Wingdings" w:cs="Wingdings" w:hint="default"/>
        <w:w w:val="100"/>
        <w:sz w:val="22"/>
        <w:szCs w:val="22"/>
        <w:lang w:val="en-US" w:eastAsia="en-US" w:bidi="ar-SA"/>
      </w:rPr>
    </w:lvl>
    <w:lvl w:ilvl="1" w:tplc="B296D2C6">
      <w:numFmt w:val="bullet"/>
      <w:lvlText w:val="•"/>
      <w:lvlJc w:val="left"/>
      <w:pPr>
        <w:ind w:left="1661" w:hanging="361"/>
      </w:pPr>
      <w:rPr>
        <w:rFonts w:hint="default"/>
        <w:lang w:val="en-US" w:eastAsia="en-US" w:bidi="ar-SA"/>
      </w:rPr>
    </w:lvl>
    <w:lvl w:ilvl="2" w:tplc="942ABB10">
      <w:numFmt w:val="bullet"/>
      <w:lvlText w:val="•"/>
      <w:lvlJc w:val="left"/>
      <w:pPr>
        <w:ind w:left="2483" w:hanging="361"/>
      </w:pPr>
      <w:rPr>
        <w:rFonts w:hint="default"/>
        <w:lang w:val="en-US" w:eastAsia="en-US" w:bidi="ar-SA"/>
      </w:rPr>
    </w:lvl>
    <w:lvl w:ilvl="3" w:tplc="DB583E92">
      <w:numFmt w:val="bullet"/>
      <w:lvlText w:val="•"/>
      <w:lvlJc w:val="left"/>
      <w:pPr>
        <w:ind w:left="3304" w:hanging="361"/>
      </w:pPr>
      <w:rPr>
        <w:rFonts w:hint="default"/>
        <w:lang w:val="en-US" w:eastAsia="en-US" w:bidi="ar-SA"/>
      </w:rPr>
    </w:lvl>
    <w:lvl w:ilvl="4" w:tplc="C0A05BB2">
      <w:numFmt w:val="bullet"/>
      <w:lvlText w:val="•"/>
      <w:lvlJc w:val="left"/>
      <w:pPr>
        <w:ind w:left="4126" w:hanging="361"/>
      </w:pPr>
      <w:rPr>
        <w:rFonts w:hint="default"/>
        <w:lang w:val="en-US" w:eastAsia="en-US" w:bidi="ar-SA"/>
      </w:rPr>
    </w:lvl>
    <w:lvl w:ilvl="5" w:tplc="3C86649C">
      <w:numFmt w:val="bullet"/>
      <w:lvlText w:val="•"/>
      <w:lvlJc w:val="left"/>
      <w:pPr>
        <w:ind w:left="4948" w:hanging="361"/>
      </w:pPr>
      <w:rPr>
        <w:rFonts w:hint="default"/>
        <w:lang w:val="en-US" w:eastAsia="en-US" w:bidi="ar-SA"/>
      </w:rPr>
    </w:lvl>
    <w:lvl w:ilvl="6" w:tplc="2922577C">
      <w:numFmt w:val="bullet"/>
      <w:lvlText w:val="•"/>
      <w:lvlJc w:val="left"/>
      <w:pPr>
        <w:ind w:left="5769" w:hanging="361"/>
      </w:pPr>
      <w:rPr>
        <w:rFonts w:hint="default"/>
        <w:lang w:val="en-US" w:eastAsia="en-US" w:bidi="ar-SA"/>
      </w:rPr>
    </w:lvl>
    <w:lvl w:ilvl="7" w:tplc="9898AD30">
      <w:numFmt w:val="bullet"/>
      <w:lvlText w:val="•"/>
      <w:lvlJc w:val="left"/>
      <w:pPr>
        <w:ind w:left="6591" w:hanging="361"/>
      </w:pPr>
      <w:rPr>
        <w:rFonts w:hint="default"/>
        <w:lang w:val="en-US" w:eastAsia="en-US" w:bidi="ar-SA"/>
      </w:rPr>
    </w:lvl>
    <w:lvl w:ilvl="8" w:tplc="C03C3A68">
      <w:numFmt w:val="bullet"/>
      <w:lvlText w:val="•"/>
      <w:lvlJc w:val="left"/>
      <w:pPr>
        <w:ind w:left="7412" w:hanging="361"/>
      </w:pPr>
      <w:rPr>
        <w:rFonts w:hint="default"/>
        <w:lang w:val="en-US" w:eastAsia="en-US" w:bidi="ar-SA"/>
      </w:rPr>
    </w:lvl>
  </w:abstractNum>
  <w:abstractNum w:abstractNumId="12" w15:restartNumberingAfterBreak="0">
    <w:nsid w:val="1A683DAB"/>
    <w:multiLevelType w:val="hybridMultilevel"/>
    <w:tmpl w:val="36E0B524"/>
    <w:lvl w:ilvl="0" w:tplc="D42893E4">
      <w:numFmt w:val="bullet"/>
      <w:lvlText w:val=""/>
      <w:lvlJc w:val="left"/>
      <w:pPr>
        <w:ind w:left="830" w:hanging="361"/>
      </w:pPr>
      <w:rPr>
        <w:rFonts w:ascii="Wingdings" w:eastAsia="Wingdings" w:hAnsi="Wingdings" w:cs="Wingdings" w:hint="default"/>
        <w:w w:val="100"/>
        <w:sz w:val="22"/>
        <w:szCs w:val="22"/>
        <w:lang w:val="en-US" w:eastAsia="en-US" w:bidi="ar-SA"/>
      </w:rPr>
    </w:lvl>
    <w:lvl w:ilvl="1" w:tplc="2D906E3A">
      <w:numFmt w:val="bullet"/>
      <w:lvlText w:val="•"/>
      <w:lvlJc w:val="left"/>
      <w:pPr>
        <w:ind w:left="1661" w:hanging="361"/>
      </w:pPr>
      <w:rPr>
        <w:rFonts w:hint="default"/>
        <w:lang w:val="en-US" w:eastAsia="en-US" w:bidi="ar-SA"/>
      </w:rPr>
    </w:lvl>
    <w:lvl w:ilvl="2" w:tplc="302A0D58">
      <w:numFmt w:val="bullet"/>
      <w:lvlText w:val="•"/>
      <w:lvlJc w:val="left"/>
      <w:pPr>
        <w:ind w:left="2483" w:hanging="361"/>
      </w:pPr>
      <w:rPr>
        <w:rFonts w:hint="default"/>
        <w:lang w:val="en-US" w:eastAsia="en-US" w:bidi="ar-SA"/>
      </w:rPr>
    </w:lvl>
    <w:lvl w:ilvl="3" w:tplc="27844852">
      <w:numFmt w:val="bullet"/>
      <w:lvlText w:val="•"/>
      <w:lvlJc w:val="left"/>
      <w:pPr>
        <w:ind w:left="3304" w:hanging="361"/>
      </w:pPr>
      <w:rPr>
        <w:rFonts w:hint="default"/>
        <w:lang w:val="en-US" w:eastAsia="en-US" w:bidi="ar-SA"/>
      </w:rPr>
    </w:lvl>
    <w:lvl w:ilvl="4" w:tplc="06868FDA">
      <w:numFmt w:val="bullet"/>
      <w:lvlText w:val="•"/>
      <w:lvlJc w:val="left"/>
      <w:pPr>
        <w:ind w:left="4126" w:hanging="361"/>
      </w:pPr>
      <w:rPr>
        <w:rFonts w:hint="default"/>
        <w:lang w:val="en-US" w:eastAsia="en-US" w:bidi="ar-SA"/>
      </w:rPr>
    </w:lvl>
    <w:lvl w:ilvl="5" w:tplc="200E3F50">
      <w:numFmt w:val="bullet"/>
      <w:lvlText w:val="•"/>
      <w:lvlJc w:val="left"/>
      <w:pPr>
        <w:ind w:left="4948" w:hanging="361"/>
      </w:pPr>
      <w:rPr>
        <w:rFonts w:hint="default"/>
        <w:lang w:val="en-US" w:eastAsia="en-US" w:bidi="ar-SA"/>
      </w:rPr>
    </w:lvl>
    <w:lvl w:ilvl="6" w:tplc="40406BF2">
      <w:numFmt w:val="bullet"/>
      <w:lvlText w:val="•"/>
      <w:lvlJc w:val="left"/>
      <w:pPr>
        <w:ind w:left="5769" w:hanging="361"/>
      </w:pPr>
      <w:rPr>
        <w:rFonts w:hint="default"/>
        <w:lang w:val="en-US" w:eastAsia="en-US" w:bidi="ar-SA"/>
      </w:rPr>
    </w:lvl>
    <w:lvl w:ilvl="7" w:tplc="A96AF6A6">
      <w:numFmt w:val="bullet"/>
      <w:lvlText w:val="•"/>
      <w:lvlJc w:val="left"/>
      <w:pPr>
        <w:ind w:left="6591" w:hanging="361"/>
      </w:pPr>
      <w:rPr>
        <w:rFonts w:hint="default"/>
        <w:lang w:val="en-US" w:eastAsia="en-US" w:bidi="ar-SA"/>
      </w:rPr>
    </w:lvl>
    <w:lvl w:ilvl="8" w:tplc="07DE1EB2">
      <w:numFmt w:val="bullet"/>
      <w:lvlText w:val="•"/>
      <w:lvlJc w:val="left"/>
      <w:pPr>
        <w:ind w:left="7412" w:hanging="361"/>
      </w:pPr>
      <w:rPr>
        <w:rFonts w:hint="default"/>
        <w:lang w:val="en-US" w:eastAsia="en-US" w:bidi="ar-SA"/>
      </w:rPr>
    </w:lvl>
  </w:abstractNum>
  <w:abstractNum w:abstractNumId="13" w15:restartNumberingAfterBreak="0">
    <w:nsid w:val="22142165"/>
    <w:multiLevelType w:val="hybridMultilevel"/>
    <w:tmpl w:val="937221F8"/>
    <w:lvl w:ilvl="0" w:tplc="ACDE451A">
      <w:numFmt w:val="bullet"/>
      <w:lvlText w:val=""/>
      <w:lvlJc w:val="left"/>
      <w:pPr>
        <w:ind w:left="830" w:hanging="361"/>
      </w:pPr>
      <w:rPr>
        <w:rFonts w:ascii="Wingdings" w:eastAsia="Wingdings" w:hAnsi="Wingdings" w:cs="Wingdings" w:hint="default"/>
        <w:w w:val="100"/>
        <w:sz w:val="22"/>
        <w:szCs w:val="22"/>
        <w:lang w:val="en-US" w:eastAsia="en-US" w:bidi="ar-SA"/>
      </w:rPr>
    </w:lvl>
    <w:lvl w:ilvl="1" w:tplc="7B2E0A04">
      <w:numFmt w:val="bullet"/>
      <w:lvlText w:val="•"/>
      <w:lvlJc w:val="left"/>
      <w:pPr>
        <w:ind w:left="1661" w:hanging="361"/>
      </w:pPr>
      <w:rPr>
        <w:rFonts w:hint="default"/>
        <w:lang w:val="en-US" w:eastAsia="en-US" w:bidi="ar-SA"/>
      </w:rPr>
    </w:lvl>
    <w:lvl w:ilvl="2" w:tplc="A378B636">
      <w:numFmt w:val="bullet"/>
      <w:lvlText w:val="•"/>
      <w:lvlJc w:val="left"/>
      <w:pPr>
        <w:ind w:left="2483" w:hanging="361"/>
      </w:pPr>
      <w:rPr>
        <w:rFonts w:hint="default"/>
        <w:lang w:val="en-US" w:eastAsia="en-US" w:bidi="ar-SA"/>
      </w:rPr>
    </w:lvl>
    <w:lvl w:ilvl="3" w:tplc="ADB0D304">
      <w:numFmt w:val="bullet"/>
      <w:lvlText w:val="•"/>
      <w:lvlJc w:val="left"/>
      <w:pPr>
        <w:ind w:left="3304" w:hanging="361"/>
      </w:pPr>
      <w:rPr>
        <w:rFonts w:hint="default"/>
        <w:lang w:val="en-US" w:eastAsia="en-US" w:bidi="ar-SA"/>
      </w:rPr>
    </w:lvl>
    <w:lvl w:ilvl="4" w:tplc="D1681950">
      <w:numFmt w:val="bullet"/>
      <w:lvlText w:val="•"/>
      <w:lvlJc w:val="left"/>
      <w:pPr>
        <w:ind w:left="4126" w:hanging="361"/>
      </w:pPr>
      <w:rPr>
        <w:rFonts w:hint="default"/>
        <w:lang w:val="en-US" w:eastAsia="en-US" w:bidi="ar-SA"/>
      </w:rPr>
    </w:lvl>
    <w:lvl w:ilvl="5" w:tplc="7F520F34">
      <w:numFmt w:val="bullet"/>
      <w:lvlText w:val="•"/>
      <w:lvlJc w:val="left"/>
      <w:pPr>
        <w:ind w:left="4948" w:hanging="361"/>
      </w:pPr>
      <w:rPr>
        <w:rFonts w:hint="default"/>
        <w:lang w:val="en-US" w:eastAsia="en-US" w:bidi="ar-SA"/>
      </w:rPr>
    </w:lvl>
    <w:lvl w:ilvl="6" w:tplc="890AAFB0">
      <w:numFmt w:val="bullet"/>
      <w:lvlText w:val="•"/>
      <w:lvlJc w:val="left"/>
      <w:pPr>
        <w:ind w:left="5769" w:hanging="361"/>
      </w:pPr>
      <w:rPr>
        <w:rFonts w:hint="default"/>
        <w:lang w:val="en-US" w:eastAsia="en-US" w:bidi="ar-SA"/>
      </w:rPr>
    </w:lvl>
    <w:lvl w:ilvl="7" w:tplc="73167B06">
      <w:numFmt w:val="bullet"/>
      <w:lvlText w:val="•"/>
      <w:lvlJc w:val="left"/>
      <w:pPr>
        <w:ind w:left="6591" w:hanging="361"/>
      </w:pPr>
      <w:rPr>
        <w:rFonts w:hint="default"/>
        <w:lang w:val="en-US" w:eastAsia="en-US" w:bidi="ar-SA"/>
      </w:rPr>
    </w:lvl>
    <w:lvl w:ilvl="8" w:tplc="FBAE0CFC">
      <w:numFmt w:val="bullet"/>
      <w:lvlText w:val="•"/>
      <w:lvlJc w:val="left"/>
      <w:pPr>
        <w:ind w:left="7412" w:hanging="361"/>
      </w:pPr>
      <w:rPr>
        <w:rFonts w:hint="default"/>
        <w:lang w:val="en-US" w:eastAsia="en-US" w:bidi="ar-SA"/>
      </w:rPr>
    </w:lvl>
  </w:abstractNum>
  <w:abstractNum w:abstractNumId="14" w15:restartNumberingAfterBreak="0">
    <w:nsid w:val="23DE2D5B"/>
    <w:multiLevelType w:val="hybridMultilevel"/>
    <w:tmpl w:val="7F06A0E0"/>
    <w:lvl w:ilvl="0" w:tplc="4CF4BE88">
      <w:numFmt w:val="bullet"/>
      <w:lvlText w:val=""/>
      <w:lvlJc w:val="left"/>
      <w:pPr>
        <w:ind w:left="830" w:hanging="361"/>
      </w:pPr>
      <w:rPr>
        <w:rFonts w:ascii="Wingdings" w:eastAsia="Wingdings" w:hAnsi="Wingdings" w:cs="Wingdings" w:hint="default"/>
        <w:w w:val="100"/>
        <w:sz w:val="22"/>
        <w:szCs w:val="22"/>
        <w:lang w:val="en-US" w:eastAsia="en-US" w:bidi="ar-SA"/>
      </w:rPr>
    </w:lvl>
    <w:lvl w:ilvl="1" w:tplc="FB14DA6C">
      <w:numFmt w:val="bullet"/>
      <w:lvlText w:val="•"/>
      <w:lvlJc w:val="left"/>
      <w:pPr>
        <w:ind w:left="1661" w:hanging="361"/>
      </w:pPr>
      <w:rPr>
        <w:rFonts w:hint="default"/>
        <w:lang w:val="en-US" w:eastAsia="en-US" w:bidi="ar-SA"/>
      </w:rPr>
    </w:lvl>
    <w:lvl w:ilvl="2" w:tplc="EAA8E958">
      <w:numFmt w:val="bullet"/>
      <w:lvlText w:val="•"/>
      <w:lvlJc w:val="left"/>
      <w:pPr>
        <w:ind w:left="2483" w:hanging="361"/>
      </w:pPr>
      <w:rPr>
        <w:rFonts w:hint="default"/>
        <w:lang w:val="en-US" w:eastAsia="en-US" w:bidi="ar-SA"/>
      </w:rPr>
    </w:lvl>
    <w:lvl w:ilvl="3" w:tplc="9CBE99D4">
      <w:numFmt w:val="bullet"/>
      <w:lvlText w:val="•"/>
      <w:lvlJc w:val="left"/>
      <w:pPr>
        <w:ind w:left="3304" w:hanging="361"/>
      </w:pPr>
      <w:rPr>
        <w:rFonts w:hint="default"/>
        <w:lang w:val="en-US" w:eastAsia="en-US" w:bidi="ar-SA"/>
      </w:rPr>
    </w:lvl>
    <w:lvl w:ilvl="4" w:tplc="F3602FE0">
      <w:numFmt w:val="bullet"/>
      <w:lvlText w:val="•"/>
      <w:lvlJc w:val="left"/>
      <w:pPr>
        <w:ind w:left="4126" w:hanging="361"/>
      </w:pPr>
      <w:rPr>
        <w:rFonts w:hint="default"/>
        <w:lang w:val="en-US" w:eastAsia="en-US" w:bidi="ar-SA"/>
      </w:rPr>
    </w:lvl>
    <w:lvl w:ilvl="5" w:tplc="343A1ECC">
      <w:numFmt w:val="bullet"/>
      <w:lvlText w:val="•"/>
      <w:lvlJc w:val="left"/>
      <w:pPr>
        <w:ind w:left="4948" w:hanging="361"/>
      </w:pPr>
      <w:rPr>
        <w:rFonts w:hint="default"/>
        <w:lang w:val="en-US" w:eastAsia="en-US" w:bidi="ar-SA"/>
      </w:rPr>
    </w:lvl>
    <w:lvl w:ilvl="6" w:tplc="C130F826">
      <w:numFmt w:val="bullet"/>
      <w:lvlText w:val="•"/>
      <w:lvlJc w:val="left"/>
      <w:pPr>
        <w:ind w:left="5769" w:hanging="361"/>
      </w:pPr>
      <w:rPr>
        <w:rFonts w:hint="default"/>
        <w:lang w:val="en-US" w:eastAsia="en-US" w:bidi="ar-SA"/>
      </w:rPr>
    </w:lvl>
    <w:lvl w:ilvl="7" w:tplc="51F462CE">
      <w:numFmt w:val="bullet"/>
      <w:lvlText w:val="•"/>
      <w:lvlJc w:val="left"/>
      <w:pPr>
        <w:ind w:left="6591" w:hanging="361"/>
      </w:pPr>
      <w:rPr>
        <w:rFonts w:hint="default"/>
        <w:lang w:val="en-US" w:eastAsia="en-US" w:bidi="ar-SA"/>
      </w:rPr>
    </w:lvl>
    <w:lvl w:ilvl="8" w:tplc="CDBE89DC">
      <w:numFmt w:val="bullet"/>
      <w:lvlText w:val="•"/>
      <w:lvlJc w:val="left"/>
      <w:pPr>
        <w:ind w:left="7412" w:hanging="361"/>
      </w:pPr>
      <w:rPr>
        <w:rFonts w:hint="default"/>
        <w:lang w:val="en-US" w:eastAsia="en-US" w:bidi="ar-SA"/>
      </w:rPr>
    </w:lvl>
  </w:abstractNum>
  <w:abstractNum w:abstractNumId="15" w15:restartNumberingAfterBreak="0">
    <w:nsid w:val="274967C8"/>
    <w:multiLevelType w:val="hybridMultilevel"/>
    <w:tmpl w:val="729EB7EC"/>
    <w:lvl w:ilvl="0" w:tplc="58A4F6F0">
      <w:numFmt w:val="bullet"/>
      <w:lvlText w:val=""/>
      <w:lvlJc w:val="left"/>
      <w:pPr>
        <w:ind w:left="830" w:hanging="361"/>
      </w:pPr>
      <w:rPr>
        <w:rFonts w:ascii="Wingdings" w:eastAsia="Wingdings" w:hAnsi="Wingdings" w:cs="Wingdings" w:hint="default"/>
        <w:w w:val="100"/>
        <w:sz w:val="22"/>
        <w:szCs w:val="22"/>
        <w:lang w:val="en-US" w:eastAsia="en-US" w:bidi="ar-SA"/>
      </w:rPr>
    </w:lvl>
    <w:lvl w:ilvl="1" w:tplc="164CB488">
      <w:numFmt w:val="bullet"/>
      <w:lvlText w:val="•"/>
      <w:lvlJc w:val="left"/>
      <w:pPr>
        <w:ind w:left="1661" w:hanging="361"/>
      </w:pPr>
      <w:rPr>
        <w:rFonts w:hint="default"/>
        <w:lang w:val="en-US" w:eastAsia="en-US" w:bidi="ar-SA"/>
      </w:rPr>
    </w:lvl>
    <w:lvl w:ilvl="2" w:tplc="44CCDD70">
      <w:numFmt w:val="bullet"/>
      <w:lvlText w:val="•"/>
      <w:lvlJc w:val="left"/>
      <w:pPr>
        <w:ind w:left="2483" w:hanging="361"/>
      </w:pPr>
      <w:rPr>
        <w:rFonts w:hint="default"/>
        <w:lang w:val="en-US" w:eastAsia="en-US" w:bidi="ar-SA"/>
      </w:rPr>
    </w:lvl>
    <w:lvl w:ilvl="3" w:tplc="93A0EF12">
      <w:numFmt w:val="bullet"/>
      <w:lvlText w:val="•"/>
      <w:lvlJc w:val="left"/>
      <w:pPr>
        <w:ind w:left="3304" w:hanging="361"/>
      </w:pPr>
      <w:rPr>
        <w:rFonts w:hint="default"/>
        <w:lang w:val="en-US" w:eastAsia="en-US" w:bidi="ar-SA"/>
      </w:rPr>
    </w:lvl>
    <w:lvl w:ilvl="4" w:tplc="1D78D34C">
      <w:numFmt w:val="bullet"/>
      <w:lvlText w:val="•"/>
      <w:lvlJc w:val="left"/>
      <w:pPr>
        <w:ind w:left="4126" w:hanging="361"/>
      </w:pPr>
      <w:rPr>
        <w:rFonts w:hint="default"/>
        <w:lang w:val="en-US" w:eastAsia="en-US" w:bidi="ar-SA"/>
      </w:rPr>
    </w:lvl>
    <w:lvl w:ilvl="5" w:tplc="C89ED040">
      <w:numFmt w:val="bullet"/>
      <w:lvlText w:val="•"/>
      <w:lvlJc w:val="left"/>
      <w:pPr>
        <w:ind w:left="4948" w:hanging="361"/>
      </w:pPr>
      <w:rPr>
        <w:rFonts w:hint="default"/>
        <w:lang w:val="en-US" w:eastAsia="en-US" w:bidi="ar-SA"/>
      </w:rPr>
    </w:lvl>
    <w:lvl w:ilvl="6" w:tplc="E5A69708">
      <w:numFmt w:val="bullet"/>
      <w:lvlText w:val="•"/>
      <w:lvlJc w:val="left"/>
      <w:pPr>
        <w:ind w:left="5769" w:hanging="361"/>
      </w:pPr>
      <w:rPr>
        <w:rFonts w:hint="default"/>
        <w:lang w:val="en-US" w:eastAsia="en-US" w:bidi="ar-SA"/>
      </w:rPr>
    </w:lvl>
    <w:lvl w:ilvl="7" w:tplc="8F5E6B40">
      <w:numFmt w:val="bullet"/>
      <w:lvlText w:val="•"/>
      <w:lvlJc w:val="left"/>
      <w:pPr>
        <w:ind w:left="6591" w:hanging="361"/>
      </w:pPr>
      <w:rPr>
        <w:rFonts w:hint="default"/>
        <w:lang w:val="en-US" w:eastAsia="en-US" w:bidi="ar-SA"/>
      </w:rPr>
    </w:lvl>
    <w:lvl w:ilvl="8" w:tplc="0646274A">
      <w:numFmt w:val="bullet"/>
      <w:lvlText w:val="•"/>
      <w:lvlJc w:val="left"/>
      <w:pPr>
        <w:ind w:left="7412" w:hanging="361"/>
      </w:pPr>
      <w:rPr>
        <w:rFonts w:hint="default"/>
        <w:lang w:val="en-US" w:eastAsia="en-US" w:bidi="ar-SA"/>
      </w:rPr>
    </w:lvl>
  </w:abstractNum>
  <w:abstractNum w:abstractNumId="16" w15:restartNumberingAfterBreak="0">
    <w:nsid w:val="2A523B04"/>
    <w:multiLevelType w:val="hybridMultilevel"/>
    <w:tmpl w:val="9F0C37E2"/>
    <w:lvl w:ilvl="0" w:tplc="3936584A">
      <w:numFmt w:val="bullet"/>
      <w:lvlText w:val=""/>
      <w:lvlJc w:val="left"/>
      <w:pPr>
        <w:ind w:left="830" w:hanging="361"/>
      </w:pPr>
      <w:rPr>
        <w:rFonts w:ascii="Wingdings" w:eastAsia="Wingdings" w:hAnsi="Wingdings" w:cs="Wingdings" w:hint="default"/>
        <w:w w:val="100"/>
        <w:sz w:val="22"/>
        <w:szCs w:val="22"/>
        <w:lang w:val="en-US" w:eastAsia="en-US" w:bidi="ar-SA"/>
      </w:rPr>
    </w:lvl>
    <w:lvl w:ilvl="1" w:tplc="6C30F27E">
      <w:numFmt w:val="bullet"/>
      <w:lvlText w:val="•"/>
      <w:lvlJc w:val="left"/>
      <w:pPr>
        <w:ind w:left="1661" w:hanging="361"/>
      </w:pPr>
      <w:rPr>
        <w:rFonts w:hint="default"/>
        <w:lang w:val="en-US" w:eastAsia="en-US" w:bidi="ar-SA"/>
      </w:rPr>
    </w:lvl>
    <w:lvl w:ilvl="2" w:tplc="51D4A3FE">
      <w:numFmt w:val="bullet"/>
      <w:lvlText w:val="•"/>
      <w:lvlJc w:val="left"/>
      <w:pPr>
        <w:ind w:left="2483" w:hanging="361"/>
      </w:pPr>
      <w:rPr>
        <w:rFonts w:hint="default"/>
        <w:lang w:val="en-US" w:eastAsia="en-US" w:bidi="ar-SA"/>
      </w:rPr>
    </w:lvl>
    <w:lvl w:ilvl="3" w:tplc="EB141068">
      <w:numFmt w:val="bullet"/>
      <w:lvlText w:val="•"/>
      <w:lvlJc w:val="left"/>
      <w:pPr>
        <w:ind w:left="3304" w:hanging="361"/>
      </w:pPr>
      <w:rPr>
        <w:rFonts w:hint="default"/>
        <w:lang w:val="en-US" w:eastAsia="en-US" w:bidi="ar-SA"/>
      </w:rPr>
    </w:lvl>
    <w:lvl w:ilvl="4" w:tplc="C3DEB83C">
      <w:numFmt w:val="bullet"/>
      <w:lvlText w:val="•"/>
      <w:lvlJc w:val="left"/>
      <w:pPr>
        <w:ind w:left="4126" w:hanging="361"/>
      </w:pPr>
      <w:rPr>
        <w:rFonts w:hint="default"/>
        <w:lang w:val="en-US" w:eastAsia="en-US" w:bidi="ar-SA"/>
      </w:rPr>
    </w:lvl>
    <w:lvl w:ilvl="5" w:tplc="7852602C">
      <w:numFmt w:val="bullet"/>
      <w:lvlText w:val="•"/>
      <w:lvlJc w:val="left"/>
      <w:pPr>
        <w:ind w:left="4948" w:hanging="361"/>
      </w:pPr>
      <w:rPr>
        <w:rFonts w:hint="default"/>
        <w:lang w:val="en-US" w:eastAsia="en-US" w:bidi="ar-SA"/>
      </w:rPr>
    </w:lvl>
    <w:lvl w:ilvl="6" w:tplc="044C51F8">
      <w:numFmt w:val="bullet"/>
      <w:lvlText w:val="•"/>
      <w:lvlJc w:val="left"/>
      <w:pPr>
        <w:ind w:left="5769" w:hanging="361"/>
      </w:pPr>
      <w:rPr>
        <w:rFonts w:hint="default"/>
        <w:lang w:val="en-US" w:eastAsia="en-US" w:bidi="ar-SA"/>
      </w:rPr>
    </w:lvl>
    <w:lvl w:ilvl="7" w:tplc="17882F76">
      <w:numFmt w:val="bullet"/>
      <w:lvlText w:val="•"/>
      <w:lvlJc w:val="left"/>
      <w:pPr>
        <w:ind w:left="6591" w:hanging="361"/>
      </w:pPr>
      <w:rPr>
        <w:rFonts w:hint="default"/>
        <w:lang w:val="en-US" w:eastAsia="en-US" w:bidi="ar-SA"/>
      </w:rPr>
    </w:lvl>
    <w:lvl w:ilvl="8" w:tplc="1D42E11A">
      <w:numFmt w:val="bullet"/>
      <w:lvlText w:val="•"/>
      <w:lvlJc w:val="left"/>
      <w:pPr>
        <w:ind w:left="7412" w:hanging="361"/>
      </w:pPr>
      <w:rPr>
        <w:rFonts w:hint="default"/>
        <w:lang w:val="en-US" w:eastAsia="en-US" w:bidi="ar-SA"/>
      </w:rPr>
    </w:lvl>
  </w:abstractNum>
  <w:abstractNum w:abstractNumId="17" w15:restartNumberingAfterBreak="0">
    <w:nsid w:val="2D845448"/>
    <w:multiLevelType w:val="hybridMultilevel"/>
    <w:tmpl w:val="275A1894"/>
    <w:lvl w:ilvl="0" w:tplc="43B62F7C">
      <w:numFmt w:val="bullet"/>
      <w:lvlText w:val=""/>
      <w:lvlJc w:val="left"/>
      <w:pPr>
        <w:ind w:left="830" w:hanging="361"/>
      </w:pPr>
      <w:rPr>
        <w:rFonts w:ascii="Wingdings" w:eastAsia="Wingdings" w:hAnsi="Wingdings" w:cs="Wingdings" w:hint="default"/>
        <w:w w:val="100"/>
        <w:sz w:val="22"/>
        <w:szCs w:val="22"/>
        <w:lang w:val="en-US" w:eastAsia="en-US" w:bidi="ar-SA"/>
      </w:rPr>
    </w:lvl>
    <w:lvl w:ilvl="1" w:tplc="27E26B46">
      <w:numFmt w:val="bullet"/>
      <w:lvlText w:val="•"/>
      <w:lvlJc w:val="left"/>
      <w:pPr>
        <w:ind w:left="1661" w:hanging="361"/>
      </w:pPr>
      <w:rPr>
        <w:rFonts w:hint="default"/>
        <w:lang w:val="en-US" w:eastAsia="en-US" w:bidi="ar-SA"/>
      </w:rPr>
    </w:lvl>
    <w:lvl w:ilvl="2" w:tplc="B356662C">
      <w:numFmt w:val="bullet"/>
      <w:lvlText w:val="•"/>
      <w:lvlJc w:val="left"/>
      <w:pPr>
        <w:ind w:left="2483" w:hanging="361"/>
      </w:pPr>
      <w:rPr>
        <w:rFonts w:hint="default"/>
        <w:lang w:val="en-US" w:eastAsia="en-US" w:bidi="ar-SA"/>
      </w:rPr>
    </w:lvl>
    <w:lvl w:ilvl="3" w:tplc="2F86A3F4">
      <w:numFmt w:val="bullet"/>
      <w:lvlText w:val="•"/>
      <w:lvlJc w:val="left"/>
      <w:pPr>
        <w:ind w:left="3304" w:hanging="361"/>
      </w:pPr>
      <w:rPr>
        <w:rFonts w:hint="default"/>
        <w:lang w:val="en-US" w:eastAsia="en-US" w:bidi="ar-SA"/>
      </w:rPr>
    </w:lvl>
    <w:lvl w:ilvl="4" w:tplc="2FF0643E">
      <w:numFmt w:val="bullet"/>
      <w:lvlText w:val="•"/>
      <w:lvlJc w:val="left"/>
      <w:pPr>
        <w:ind w:left="4126" w:hanging="361"/>
      </w:pPr>
      <w:rPr>
        <w:rFonts w:hint="default"/>
        <w:lang w:val="en-US" w:eastAsia="en-US" w:bidi="ar-SA"/>
      </w:rPr>
    </w:lvl>
    <w:lvl w:ilvl="5" w:tplc="37229580">
      <w:numFmt w:val="bullet"/>
      <w:lvlText w:val="•"/>
      <w:lvlJc w:val="left"/>
      <w:pPr>
        <w:ind w:left="4948" w:hanging="361"/>
      </w:pPr>
      <w:rPr>
        <w:rFonts w:hint="default"/>
        <w:lang w:val="en-US" w:eastAsia="en-US" w:bidi="ar-SA"/>
      </w:rPr>
    </w:lvl>
    <w:lvl w:ilvl="6" w:tplc="FE966420">
      <w:numFmt w:val="bullet"/>
      <w:lvlText w:val="•"/>
      <w:lvlJc w:val="left"/>
      <w:pPr>
        <w:ind w:left="5769" w:hanging="361"/>
      </w:pPr>
      <w:rPr>
        <w:rFonts w:hint="default"/>
        <w:lang w:val="en-US" w:eastAsia="en-US" w:bidi="ar-SA"/>
      </w:rPr>
    </w:lvl>
    <w:lvl w:ilvl="7" w:tplc="99A6E568">
      <w:numFmt w:val="bullet"/>
      <w:lvlText w:val="•"/>
      <w:lvlJc w:val="left"/>
      <w:pPr>
        <w:ind w:left="6591" w:hanging="361"/>
      </w:pPr>
      <w:rPr>
        <w:rFonts w:hint="default"/>
        <w:lang w:val="en-US" w:eastAsia="en-US" w:bidi="ar-SA"/>
      </w:rPr>
    </w:lvl>
    <w:lvl w:ilvl="8" w:tplc="7052713C">
      <w:numFmt w:val="bullet"/>
      <w:lvlText w:val="•"/>
      <w:lvlJc w:val="left"/>
      <w:pPr>
        <w:ind w:left="7412" w:hanging="361"/>
      </w:pPr>
      <w:rPr>
        <w:rFonts w:hint="default"/>
        <w:lang w:val="en-US" w:eastAsia="en-US" w:bidi="ar-SA"/>
      </w:rPr>
    </w:lvl>
  </w:abstractNum>
  <w:abstractNum w:abstractNumId="18" w15:restartNumberingAfterBreak="0">
    <w:nsid w:val="2F7B3BD9"/>
    <w:multiLevelType w:val="hybridMultilevel"/>
    <w:tmpl w:val="6F78DED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3368629A"/>
    <w:multiLevelType w:val="hybridMultilevel"/>
    <w:tmpl w:val="6F78DED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34C40229"/>
    <w:multiLevelType w:val="hybridMultilevel"/>
    <w:tmpl w:val="3F6453FC"/>
    <w:lvl w:ilvl="0" w:tplc="721C119E">
      <w:numFmt w:val="bullet"/>
      <w:lvlText w:val=""/>
      <w:lvlJc w:val="left"/>
      <w:pPr>
        <w:ind w:left="830" w:hanging="361"/>
      </w:pPr>
      <w:rPr>
        <w:rFonts w:ascii="Wingdings" w:eastAsia="Wingdings" w:hAnsi="Wingdings" w:cs="Wingdings" w:hint="default"/>
        <w:w w:val="100"/>
        <w:sz w:val="22"/>
        <w:szCs w:val="22"/>
        <w:lang w:val="en-US" w:eastAsia="en-US" w:bidi="ar-SA"/>
      </w:rPr>
    </w:lvl>
    <w:lvl w:ilvl="1" w:tplc="35B0EC9C">
      <w:numFmt w:val="bullet"/>
      <w:lvlText w:val="•"/>
      <w:lvlJc w:val="left"/>
      <w:pPr>
        <w:ind w:left="1661" w:hanging="361"/>
      </w:pPr>
      <w:rPr>
        <w:rFonts w:hint="default"/>
        <w:lang w:val="en-US" w:eastAsia="en-US" w:bidi="ar-SA"/>
      </w:rPr>
    </w:lvl>
    <w:lvl w:ilvl="2" w:tplc="BD644440">
      <w:numFmt w:val="bullet"/>
      <w:lvlText w:val="•"/>
      <w:lvlJc w:val="left"/>
      <w:pPr>
        <w:ind w:left="2483" w:hanging="361"/>
      </w:pPr>
      <w:rPr>
        <w:rFonts w:hint="default"/>
        <w:lang w:val="en-US" w:eastAsia="en-US" w:bidi="ar-SA"/>
      </w:rPr>
    </w:lvl>
    <w:lvl w:ilvl="3" w:tplc="9BF828C8">
      <w:numFmt w:val="bullet"/>
      <w:lvlText w:val="•"/>
      <w:lvlJc w:val="left"/>
      <w:pPr>
        <w:ind w:left="3304" w:hanging="361"/>
      </w:pPr>
      <w:rPr>
        <w:rFonts w:hint="default"/>
        <w:lang w:val="en-US" w:eastAsia="en-US" w:bidi="ar-SA"/>
      </w:rPr>
    </w:lvl>
    <w:lvl w:ilvl="4" w:tplc="CCBE3A9A">
      <w:numFmt w:val="bullet"/>
      <w:lvlText w:val="•"/>
      <w:lvlJc w:val="left"/>
      <w:pPr>
        <w:ind w:left="4126" w:hanging="361"/>
      </w:pPr>
      <w:rPr>
        <w:rFonts w:hint="default"/>
        <w:lang w:val="en-US" w:eastAsia="en-US" w:bidi="ar-SA"/>
      </w:rPr>
    </w:lvl>
    <w:lvl w:ilvl="5" w:tplc="97D412CA">
      <w:numFmt w:val="bullet"/>
      <w:lvlText w:val="•"/>
      <w:lvlJc w:val="left"/>
      <w:pPr>
        <w:ind w:left="4948" w:hanging="361"/>
      </w:pPr>
      <w:rPr>
        <w:rFonts w:hint="default"/>
        <w:lang w:val="en-US" w:eastAsia="en-US" w:bidi="ar-SA"/>
      </w:rPr>
    </w:lvl>
    <w:lvl w:ilvl="6" w:tplc="1D06CBEA">
      <w:numFmt w:val="bullet"/>
      <w:lvlText w:val="•"/>
      <w:lvlJc w:val="left"/>
      <w:pPr>
        <w:ind w:left="5769" w:hanging="361"/>
      </w:pPr>
      <w:rPr>
        <w:rFonts w:hint="default"/>
        <w:lang w:val="en-US" w:eastAsia="en-US" w:bidi="ar-SA"/>
      </w:rPr>
    </w:lvl>
    <w:lvl w:ilvl="7" w:tplc="74F2037C">
      <w:numFmt w:val="bullet"/>
      <w:lvlText w:val="•"/>
      <w:lvlJc w:val="left"/>
      <w:pPr>
        <w:ind w:left="6591" w:hanging="361"/>
      </w:pPr>
      <w:rPr>
        <w:rFonts w:hint="default"/>
        <w:lang w:val="en-US" w:eastAsia="en-US" w:bidi="ar-SA"/>
      </w:rPr>
    </w:lvl>
    <w:lvl w:ilvl="8" w:tplc="0940392C">
      <w:numFmt w:val="bullet"/>
      <w:lvlText w:val="•"/>
      <w:lvlJc w:val="left"/>
      <w:pPr>
        <w:ind w:left="7412" w:hanging="361"/>
      </w:pPr>
      <w:rPr>
        <w:rFonts w:hint="default"/>
        <w:lang w:val="en-US" w:eastAsia="en-US" w:bidi="ar-SA"/>
      </w:rPr>
    </w:lvl>
  </w:abstractNum>
  <w:abstractNum w:abstractNumId="21" w15:restartNumberingAfterBreak="0">
    <w:nsid w:val="3A8005BC"/>
    <w:multiLevelType w:val="hybridMultilevel"/>
    <w:tmpl w:val="7BD86BC2"/>
    <w:lvl w:ilvl="0" w:tplc="7CB8FF56">
      <w:numFmt w:val="bullet"/>
      <w:lvlText w:val=""/>
      <w:lvlJc w:val="left"/>
      <w:pPr>
        <w:ind w:left="830" w:hanging="361"/>
      </w:pPr>
      <w:rPr>
        <w:rFonts w:ascii="Wingdings" w:eastAsia="Wingdings" w:hAnsi="Wingdings" w:cs="Wingdings" w:hint="default"/>
        <w:w w:val="100"/>
        <w:sz w:val="22"/>
        <w:szCs w:val="22"/>
        <w:lang w:val="en-US" w:eastAsia="en-US" w:bidi="ar-SA"/>
      </w:rPr>
    </w:lvl>
    <w:lvl w:ilvl="1" w:tplc="1D2EBB80">
      <w:numFmt w:val="bullet"/>
      <w:lvlText w:val="•"/>
      <w:lvlJc w:val="left"/>
      <w:pPr>
        <w:ind w:left="1661" w:hanging="361"/>
      </w:pPr>
      <w:rPr>
        <w:rFonts w:hint="default"/>
        <w:lang w:val="en-US" w:eastAsia="en-US" w:bidi="ar-SA"/>
      </w:rPr>
    </w:lvl>
    <w:lvl w:ilvl="2" w:tplc="CFBE49E0">
      <w:numFmt w:val="bullet"/>
      <w:lvlText w:val="•"/>
      <w:lvlJc w:val="left"/>
      <w:pPr>
        <w:ind w:left="2483" w:hanging="361"/>
      </w:pPr>
      <w:rPr>
        <w:rFonts w:hint="default"/>
        <w:lang w:val="en-US" w:eastAsia="en-US" w:bidi="ar-SA"/>
      </w:rPr>
    </w:lvl>
    <w:lvl w:ilvl="3" w:tplc="799CCF42">
      <w:numFmt w:val="bullet"/>
      <w:lvlText w:val="•"/>
      <w:lvlJc w:val="left"/>
      <w:pPr>
        <w:ind w:left="3304" w:hanging="361"/>
      </w:pPr>
      <w:rPr>
        <w:rFonts w:hint="default"/>
        <w:lang w:val="en-US" w:eastAsia="en-US" w:bidi="ar-SA"/>
      </w:rPr>
    </w:lvl>
    <w:lvl w:ilvl="4" w:tplc="A4E67A66">
      <w:numFmt w:val="bullet"/>
      <w:lvlText w:val="•"/>
      <w:lvlJc w:val="left"/>
      <w:pPr>
        <w:ind w:left="4126" w:hanging="361"/>
      </w:pPr>
      <w:rPr>
        <w:rFonts w:hint="default"/>
        <w:lang w:val="en-US" w:eastAsia="en-US" w:bidi="ar-SA"/>
      </w:rPr>
    </w:lvl>
    <w:lvl w:ilvl="5" w:tplc="34BC6A5C">
      <w:numFmt w:val="bullet"/>
      <w:lvlText w:val="•"/>
      <w:lvlJc w:val="left"/>
      <w:pPr>
        <w:ind w:left="4948" w:hanging="361"/>
      </w:pPr>
      <w:rPr>
        <w:rFonts w:hint="default"/>
        <w:lang w:val="en-US" w:eastAsia="en-US" w:bidi="ar-SA"/>
      </w:rPr>
    </w:lvl>
    <w:lvl w:ilvl="6" w:tplc="C5FE292A">
      <w:numFmt w:val="bullet"/>
      <w:lvlText w:val="•"/>
      <w:lvlJc w:val="left"/>
      <w:pPr>
        <w:ind w:left="5769" w:hanging="361"/>
      </w:pPr>
      <w:rPr>
        <w:rFonts w:hint="default"/>
        <w:lang w:val="en-US" w:eastAsia="en-US" w:bidi="ar-SA"/>
      </w:rPr>
    </w:lvl>
    <w:lvl w:ilvl="7" w:tplc="8EA24D66">
      <w:numFmt w:val="bullet"/>
      <w:lvlText w:val="•"/>
      <w:lvlJc w:val="left"/>
      <w:pPr>
        <w:ind w:left="6591" w:hanging="361"/>
      </w:pPr>
      <w:rPr>
        <w:rFonts w:hint="default"/>
        <w:lang w:val="en-US" w:eastAsia="en-US" w:bidi="ar-SA"/>
      </w:rPr>
    </w:lvl>
    <w:lvl w:ilvl="8" w:tplc="BE845922">
      <w:numFmt w:val="bullet"/>
      <w:lvlText w:val="•"/>
      <w:lvlJc w:val="left"/>
      <w:pPr>
        <w:ind w:left="7412" w:hanging="361"/>
      </w:pPr>
      <w:rPr>
        <w:rFonts w:hint="default"/>
        <w:lang w:val="en-US" w:eastAsia="en-US" w:bidi="ar-SA"/>
      </w:rPr>
    </w:lvl>
  </w:abstractNum>
  <w:abstractNum w:abstractNumId="22" w15:restartNumberingAfterBreak="0">
    <w:nsid w:val="3AF15FFB"/>
    <w:multiLevelType w:val="hybridMultilevel"/>
    <w:tmpl w:val="BB787BDA"/>
    <w:lvl w:ilvl="0" w:tplc="C5BA2CBC">
      <w:numFmt w:val="bullet"/>
      <w:lvlText w:val=""/>
      <w:lvlJc w:val="left"/>
      <w:pPr>
        <w:ind w:left="825" w:hanging="361"/>
      </w:pPr>
      <w:rPr>
        <w:rFonts w:ascii="Wingdings" w:eastAsia="Wingdings" w:hAnsi="Wingdings" w:cs="Wingdings" w:hint="default"/>
        <w:w w:val="100"/>
        <w:sz w:val="24"/>
        <w:szCs w:val="24"/>
        <w:lang w:val="en-US" w:eastAsia="en-US" w:bidi="ar-SA"/>
      </w:rPr>
    </w:lvl>
    <w:lvl w:ilvl="1" w:tplc="7C52CDDE">
      <w:numFmt w:val="bullet"/>
      <w:lvlText w:val="•"/>
      <w:lvlJc w:val="left"/>
      <w:pPr>
        <w:ind w:left="1643" w:hanging="361"/>
      </w:pPr>
      <w:rPr>
        <w:rFonts w:hint="default"/>
        <w:lang w:val="en-US" w:eastAsia="en-US" w:bidi="ar-SA"/>
      </w:rPr>
    </w:lvl>
    <w:lvl w:ilvl="2" w:tplc="4F284988">
      <w:numFmt w:val="bullet"/>
      <w:lvlText w:val="•"/>
      <w:lvlJc w:val="left"/>
      <w:pPr>
        <w:ind w:left="2467" w:hanging="361"/>
      </w:pPr>
      <w:rPr>
        <w:rFonts w:hint="default"/>
        <w:lang w:val="en-US" w:eastAsia="en-US" w:bidi="ar-SA"/>
      </w:rPr>
    </w:lvl>
    <w:lvl w:ilvl="3" w:tplc="4DA2A0F2">
      <w:numFmt w:val="bullet"/>
      <w:lvlText w:val="•"/>
      <w:lvlJc w:val="left"/>
      <w:pPr>
        <w:ind w:left="3290" w:hanging="361"/>
      </w:pPr>
      <w:rPr>
        <w:rFonts w:hint="default"/>
        <w:lang w:val="en-US" w:eastAsia="en-US" w:bidi="ar-SA"/>
      </w:rPr>
    </w:lvl>
    <w:lvl w:ilvl="4" w:tplc="D0A4CB58">
      <w:numFmt w:val="bullet"/>
      <w:lvlText w:val="•"/>
      <w:lvlJc w:val="left"/>
      <w:pPr>
        <w:ind w:left="4114" w:hanging="361"/>
      </w:pPr>
      <w:rPr>
        <w:rFonts w:hint="default"/>
        <w:lang w:val="en-US" w:eastAsia="en-US" w:bidi="ar-SA"/>
      </w:rPr>
    </w:lvl>
    <w:lvl w:ilvl="5" w:tplc="ACFA7972">
      <w:numFmt w:val="bullet"/>
      <w:lvlText w:val="•"/>
      <w:lvlJc w:val="left"/>
      <w:pPr>
        <w:ind w:left="4938" w:hanging="361"/>
      </w:pPr>
      <w:rPr>
        <w:rFonts w:hint="default"/>
        <w:lang w:val="en-US" w:eastAsia="en-US" w:bidi="ar-SA"/>
      </w:rPr>
    </w:lvl>
    <w:lvl w:ilvl="6" w:tplc="8E246D3C">
      <w:numFmt w:val="bullet"/>
      <w:lvlText w:val="•"/>
      <w:lvlJc w:val="left"/>
      <w:pPr>
        <w:ind w:left="5761" w:hanging="361"/>
      </w:pPr>
      <w:rPr>
        <w:rFonts w:hint="default"/>
        <w:lang w:val="en-US" w:eastAsia="en-US" w:bidi="ar-SA"/>
      </w:rPr>
    </w:lvl>
    <w:lvl w:ilvl="7" w:tplc="24ECC708">
      <w:numFmt w:val="bullet"/>
      <w:lvlText w:val="•"/>
      <w:lvlJc w:val="left"/>
      <w:pPr>
        <w:ind w:left="6585" w:hanging="361"/>
      </w:pPr>
      <w:rPr>
        <w:rFonts w:hint="default"/>
        <w:lang w:val="en-US" w:eastAsia="en-US" w:bidi="ar-SA"/>
      </w:rPr>
    </w:lvl>
    <w:lvl w:ilvl="8" w:tplc="13A8886A">
      <w:numFmt w:val="bullet"/>
      <w:lvlText w:val="•"/>
      <w:lvlJc w:val="left"/>
      <w:pPr>
        <w:ind w:left="7408" w:hanging="361"/>
      </w:pPr>
      <w:rPr>
        <w:rFonts w:hint="default"/>
        <w:lang w:val="en-US" w:eastAsia="en-US" w:bidi="ar-SA"/>
      </w:rPr>
    </w:lvl>
  </w:abstractNum>
  <w:abstractNum w:abstractNumId="23" w15:restartNumberingAfterBreak="0">
    <w:nsid w:val="3C0A1C66"/>
    <w:multiLevelType w:val="hybridMultilevel"/>
    <w:tmpl w:val="4B208C5A"/>
    <w:lvl w:ilvl="0" w:tplc="E6945206">
      <w:numFmt w:val="bullet"/>
      <w:lvlText w:val=""/>
      <w:lvlJc w:val="left"/>
      <w:pPr>
        <w:ind w:left="830" w:hanging="361"/>
      </w:pPr>
      <w:rPr>
        <w:rFonts w:hint="default"/>
        <w:w w:val="100"/>
        <w:lang w:val="en-US" w:eastAsia="en-US" w:bidi="ar-SA"/>
      </w:rPr>
    </w:lvl>
    <w:lvl w:ilvl="1" w:tplc="362C8076">
      <w:numFmt w:val="bullet"/>
      <w:lvlText w:val="•"/>
      <w:lvlJc w:val="left"/>
      <w:pPr>
        <w:ind w:left="1661" w:hanging="361"/>
      </w:pPr>
      <w:rPr>
        <w:rFonts w:hint="default"/>
        <w:lang w:val="en-US" w:eastAsia="en-US" w:bidi="ar-SA"/>
      </w:rPr>
    </w:lvl>
    <w:lvl w:ilvl="2" w:tplc="9504514E">
      <w:numFmt w:val="bullet"/>
      <w:lvlText w:val="•"/>
      <w:lvlJc w:val="left"/>
      <w:pPr>
        <w:ind w:left="2483" w:hanging="361"/>
      </w:pPr>
      <w:rPr>
        <w:rFonts w:hint="default"/>
        <w:lang w:val="en-US" w:eastAsia="en-US" w:bidi="ar-SA"/>
      </w:rPr>
    </w:lvl>
    <w:lvl w:ilvl="3" w:tplc="91F87526">
      <w:numFmt w:val="bullet"/>
      <w:lvlText w:val="•"/>
      <w:lvlJc w:val="left"/>
      <w:pPr>
        <w:ind w:left="3304" w:hanging="361"/>
      </w:pPr>
      <w:rPr>
        <w:rFonts w:hint="default"/>
        <w:lang w:val="en-US" w:eastAsia="en-US" w:bidi="ar-SA"/>
      </w:rPr>
    </w:lvl>
    <w:lvl w:ilvl="4" w:tplc="D4E63534">
      <w:numFmt w:val="bullet"/>
      <w:lvlText w:val="•"/>
      <w:lvlJc w:val="left"/>
      <w:pPr>
        <w:ind w:left="4126" w:hanging="361"/>
      </w:pPr>
      <w:rPr>
        <w:rFonts w:hint="default"/>
        <w:lang w:val="en-US" w:eastAsia="en-US" w:bidi="ar-SA"/>
      </w:rPr>
    </w:lvl>
    <w:lvl w:ilvl="5" w:tplc="8C6EDB18">
      <w:numFmt w:val="bullet"/>
      <w:lvlText w:val="•"/>
      <w:lvlJc w:val="left"/>
      <w:pPr>
        <w:ind w:left="4948" w:hanging="361"/>
      </w:pPr>
      <w:rPr>
        <w:rFonts w:hint="default"/>
        <w:lang w:val="en-US" w:eastAsia="en-US" w:bidi="ar-SA"/>
      </w:rPr>
    </w:lvl>
    <w:lvl w:ilvl="6" w:tplc="B1F0EFCA">
      <w:numFmt w:val="bullet"/>
      <w:lvlText w:val="•"/>
      <w:lvlJc w:val="left"/>
      <w:pPr>
        <w:ind w:left="5769" w:hanging="361"/>
      </w:pPr>
      <w:rPr>
        <w:rFonts w:hint="default"/>
        <w:lang w:val="en-US" w:eastAsia="en-US" w:bidi="ar-SA"/>
      </w:rPr>
    </w:lvl>
    <w:lvl w:ilvl="7" w:tplc="BC0EE268">
      <w:numFmt w:val="bullet"/>
      <w:lvlText w:val="•"/>
      <w:lvlJc w:val="left"/>
      <w:pPr>
        <w:ind w:left="6591" w:hanging="361"/>
      </w:pPr>
      <w:rPr>
        <w:rFonts w:hint="default"/>
        <w:lang w:val="en-US" w:eastAsia="en-US" w:bidi="ar-SA"/>
      </w:rPr>
    </w:lvl>
    <w:lvl w:ilvl="8" w:tplc="49B88328">
      <w:numFmt w:val="bullet"/>
      <w:lvlText w:val="•"/>
      <w:lvlJc w:val="left"/>
      <w:pPr>
        <w:ind w:left="7412" w:hanging="361"/>
      </w:pPr>
      <w:rPr>
        <w:rFonts w:hint="default"/>
        <w:lang w:val="en-US" w:eastAsia="en-US" w:bidi="ar-SA"/>
      </w:rPr>
    </w:lvl>
  </w:abstractNum>
  <w:abstractNum w:abstractNumId="24" w15:restartNumberingAfterBreak="0">
    <w:nsid w:val="3C5F4D57"/>
    <w:multiLevelType w:val="hybridMultilevel"/>
    <w:tmpl w:val="A1084A18"/>
    <w:lvl w:ilvl="0" w:tplc="FFA03BDE">
      <w:numFmt w:val="bullet"/>
      <w:lvlText w:val=""/>
      <w:lvlJc w:val="left"/>
      <w:pPr>
        <w:ind w:left="825" w:hanging="361"/>
      </w:pPr>
      <w:rPr>
        <w:rFonts w:hint="default"/>
        <w:w w:val="100"/>
        <w:lang w:val="en-US" w:eastAsia="en-US" w:bidi="ar-SA"/>
      </w:rPr>
    </w:lvl>
    <w:lvl w:ilvl="1" w:tplc="37EE1E8C">
      <w:numFmt w:val="bullet"/>
      <w:lvlText w:val="•"/>
      <w:lvlJc w:val="left"/>
      <w:pPr>
        <w:ind w:left="1643" w:hanging="361"/>
      </w:pPr>
      <w:rPr>
        <w:rFonts w:hint="default"/>
        <w:lang w:val="en-US" w:eastAsia="en-US" w:bidi="ar-SA"/>
      </w:rPr>
    </w:lvl>
    <w:lvl w:ilvl="2" w:tplc="42C047DA">
      <w:numFmt w:val="bullet"/>
      <w:lvlText w:val="•"/>
      <w:lvlJc w:val="left"/>
      <w:pPr>
        <w:ind w:left="2467" w:hanging="361"/>
      </w:pPr>
      <w:rPr>
        <w:rFonts w:hint="default"/>
        <w:lang w:val="en-US" w:eastAsia="en-US" w:bidi="ar-SA"/>
      </w:rPr>
    </w:lvl>
    <w:lvl w:ilvl="3" w:tplc="EAC63378">
      <w:numFmt w:val="bullet"/>
      <w:lvlText w:val="•"/>
      <w:lvlJc w:val="left"/>
      <w:pPr>
        <w:ind w:left="3290" w:hanging="361"/>
      </w:pPr>
      <w:rPr>
        <w:rFonts w:hint="default"/>
        <w:lang w:val="en-US" w:eastAsia="en-US" w:bidi="ar-SA"/>
      </w:rPr>
    </w:lvl>
    <w:lvl w:ilvl="4" w:tplc="089473D6">
      <w:numFmt w:val="bullet"/>
      <w:lvlText w:val="•"/>
      <w:lvlJc w:val="left"/>
      <w:pPr>
        <w:ind w:left="4114" w:hanging="361"/>
      </w:pPr>
      <w:rPr>
        <w:rFonts w:hint="default"/>
        <w:lang w:val="en-US" w:eastAsia="en-US" w:bidi="ar-SA"/>
      </w:rPr>
    </w:lvl>
    <w:lvl w:ilvl="5" w:tplc="54C6B0A6">
      <w:numFmt w:val="bullet"/>
      <w:lvlText w:val="•"/>
      <w:lvlJc w:val="left"/>
      <w:pPr>
        <w:ind w:left="4938" w:hanging="361"/>
      </w:pPr>
      <w:rPr>
        <w:rFonts w:hint="default"/>
        <w:lang w:val="en-US" w:eastAsia="en-US" w:bidi="ar-SA"/>
      </w:rPr>
    </w:lvl>
    <w:lvl w:ilvl="6" w:tplc="43CA28D8">
      <w:numFmt w:val="bullet"/>
      <w:lvlText w:val="•"/>
      <w:lvlJc w:val="left"/>
      <w:pPr>
        <w:ind w:left="5761" w:hanging="361"/>
      </w:pPr>
      <w:rPr>
        <w:rFonts w:hint="default"/>
        <w:lang w:val="en-US" w:eastAsia="en-US" w:bidi="ar-SA"/>
      </w:rPr>
    </w:lvl>
    <w:lvl w:ilvl="7" w:tplc="44D6565A">
      <w:numFmt w:val="bullet"/>
      <w:lvlText w:val="•"/>
      <w:lvlJc w:val="left"/>
      <w:pPr>
        <w:ind w:left="6585" w:hanging="361"/>
      </w:pPr>
      <w:rPr>
        <w:rFonts w:hint="default"/>
        <w:lang w:val="en-US" w:eastAsia="en-US" w:bidi="ar-SA"/>
      </w:rPr>
    </w:lvl>
    <w:lvl w:ilvl="8" w:tplc="1AC2D85A">
      <w:numFmt w:val="bullet"/>
      <w:lvlText w:val="•"/>
      <w:lvlJc w:val="left"/>
      <w:pPr>
        <w:ind w:left="7408" w:hanging="361"/>
      </w:pPr>
      <w:rPr>
        <w:rFonts w:hint="default"/>
        <w:lang w:val="en-US" w:eastAsia="en-US" w:bidi="ar-SA"/>
      </w:rPr>
    </w:lvl>
  </w:abstractNum>
  <w:abstractNum w:abstractNumId="25" w15:restartNumberingAfterBreak="0">
    <w:nsid w:val="429B665E"/>
    <w:multiLevelType w:val="hybridMultilevel"/>
    <w:tmpl w:val="C31E0EC4"/>
    <w:lvl w:ilvl="0" w:tplc="B9FC80F6">
      <w:numFmt w:val="bullet"/>
      <w:lvlText w:val=""/>
      <w:lvlJc w:val="left"/>
      <w:pPr>
        <w:ind w:left="825" w:hanging="361"/>
      </w:pPr>
      <w:rPr>
        <w:rFonts w:hint="default"/>
        <w:w w:val="100"/>
        <w:lang w:val="en-US" w:eastAsia="en-US" w:bidi="ar-SA"/>
      </w:rPr>
    </w:lvl>
    <w:lvl w:ilvl="1" w:tplc="CC4E7552">
      <w:numFmt w:val="bullet"/>
      <w:lvlText w:val="•"/>
      <w:lvlJc w:val="left"/>
      <w:pPr>
        <w:ind w:left="1643" w:hanging="361"/>
      </w:pPr>
      <w:rPr>
        <w:rFonts w:hint="default"/>
        <w:lang w:val="en-US" w:eastAsia="en-US" w:bidi="ar-SA"/>
      </w:rPr>
    </w:lvl>
    <w:lvl w:ilvl="2" w:tplc="63AAD72A">
      <w:numFmt w:val="bullet"/>
      <w:lvlText w:val="•"/>
      <w:lvlJc w:val="left"/>
      <w:pPr>
        <w:ind w:left="2467" w:hanging="361"/>
      </w:pPr>
      <w:rPr>
        <w:rFonts w:hint="default"/>
        <w:lang w:val="en-US" w:eastAsia="en-US" w:bidi="ar-SA"/>
      </w:rPr>
    </w:lvl>
    <w:lvl w:ilvl="3" w:tplc="072EAFD8">
      <w:numFmt w:val="bullet"/>
      <w:lvlText w:val="•"/>
      <w:lvlJc w:val="left"/>
      <w:pPr>
        <w:ind w:left="3290" w:hanging="361"/>
      </w:pPr>
      <w:rPr>
        <w:rFonts w:hint="default"/>
        <w:lang w:val="en-US" w:eastAsia="en-US" w:bidi="ar-SA"/>
      </w:rPr>
    </w:lvl>
    <w:lvl w:ilvl="4" w:tplc="85CA0B08">
      <w:numFmt w:val="bullet"/>
      <w:lvlText w:val="•"/>
      <w:lvlJc w:val="left"/>
      <w:pPr>
        <w:ind w:left="4114" w:hanging="361"/>
      </w:pPr>
      <w:rPr>
        <w:rFonts w:hint="default"/>
        <w:lang w:val="en-US" w:eastAsia="en-US" w:bidi="ar-SA"/>
      </w:rPr>
    </w:lvl>
    <w:lvl w:ilvl="5" w:tplc="A778325E">
      <w:numFmt w:val="bullet"/>
      <w:lvlText w:val="•"/>
      <w:lvlJc w:val="left"/>
      <w:pPr>
        <w:ind w:left="4938" w:hanging="361"/>
      </w:pPr>
      <w:rPr>
        <w:rFonts w:hint="default"/>
        <w:lang w:val="en-US" w:eastAsia="en-US" w:bidi="ar-SA"/>
      </w:rPr>
    </w:lvl>
    <w:lvl w:ilvl="6" w:tplc="8D50ABC8">
      <w:numFmt w:val="bullet"/>
      <w:lvlText w:val="•"/>
      <w:lvlJc w:val="left"/>
      <w:pPr>
        <w:ind w:left="5761" w:hanging="361"/>
      </w:pPr>
      <w:rPr>
        <w:rFonts w:hint="default"/>
        <w:lang w:val="en-US" w:eastAsia="en-US" w:bidi="ar-SA"/>
      </w:rPr>
    </w:lvl>
    <w:lvl w:ilvl="7" w:tplc="CDC0F78C">
      <w:numFmt w:val="bullet"/>
      <w:lvlText w:val="•"/>
      <w:lvlJc w:val="left"/>
      <w:pPr>
        <w:ind w:left="6585" w:hanging="361"/>
      </w:pPr>
      <w:rPr>
        <w:rFonts w:hint="default"/>
        <w:lang w:val="en-US" w:eastAsia="en-US" w:bidi="ar-SA"/>
      </w:rPr>
    </w:lvl>
    <w:lvl w:ilvl="8" w:tplc="3DC65F2A">
      <w:numFmt w:val="bullet"/>
      <w:lvlText w:val="•"/>
      <w:lvlJc w:val="left"/>
      <w:pPr>
        <w:ind w:left="7408" w:hanging="361"/>
      </w:pPr>
      <w:rPr>
        <w:rFonts w:hint="default"/>
        <w:lang w:val="en-US" w:eastAsia="en-US" w:bidi="ar-SA"/>
      </w:rPr>
    </w:lvl>
  </w:abstractNum>
  <w:abstractNum w:abstractNumId="26" w15:restartNumberingAfterBreak="0">
    <w:nsid w:val="434B54B8"/>
    <w:multiLevelType w:val="hybridMultilevel"/>
    <w:tmpl w:val="C918111A"/>
    <w:lvl w:ilvl="0" w:tplc="658C0890">
      <w:numFmt w:val="bullet"/>
      <w:lvlText w:val=""/>
      <w:lvlJc w:val="left"/>
      <w:pPr>
        <w:ind w:left="830" w:hanging="361"/>
      </w:pPr>
      <w:rPr>
        <w:rFonts w:ascii="Wingdings" w:eastAsia="Wingdings" w:hAnsi="Wingdings" w:cs="Wingdings" w:hint="default"/>
        <w:w w:val="100"/>
        <w:sz w:val="22"/>
        <w:szCs w:val="22"/>
        <w:lang w:val="en-US" w:eastAsia="en-US" w:bidi="ar-SA"/>
      </w:rPr>
    </w:lvl>
    <w:lvl w:ilvl="1" w:tplc="EA042F16">
      <w:numFmt w:val="bullet"/>
      <w:lvlText w:val="•"/>
      <w:lvlJc w:val="left"/>
      <w:pPr>
        <w:ind w:left="1661" w:hanging="361"/>
      </w:pPr>
      <w:rPr>
        <w:rFonts w:hint="default"/>
        <w:lang w:val="en-US" w:eastAsia="en-US" w:bidi="ar-SA"/>
      </w:rPr>
    </w:lvl>
    <w:lvl w:ilvl="2" w:tplc="A65CB5C2">
      <w:numFmt w:val="bullet"/>
      <w:lvlText w:val="•"/>
      <w:lvlJc w:val="left"/>
      <w:pPr>
        <w:ind w:left="2483" w:hanging="361"/>
      </w:pPr>
      <w:rPr>
        <w:rFonts w:hint="default"/>
        <w:lang w:val="en-US" w:eastAsia="en-US" w:bidi="ar-SA"/>
      </w:rPr>
    </w:lvl>
    <w:lvl w:ilvl="3" w:tplc="5B8A130A">
      <w:numFmt w:val="bullet"/>
      <w:lvlText w:val="•"/>
      <w:lvlJc w:val="left"/>
      <w:pPr>
        <w:ind w:left="3304" w:hanging="361"/>
      </w:pPr>
      <w:rPr>
        <w:rFonts w:hint="default"/>
        <w:lang w:val="en-US" w:eastAsia="en-US" w:bidi="ar-SA"/>
      </w:rPr>
    </w:lvl>
    <w:lvl w:ilvl="4" w:tplc="C1985DF6">
      <w:numFmt w:val="bullet"/>
      <w:lvlText w:val="•"/>
      <w:lvlJc w:val="left"/>
      <w:pPr>
        <w:ind w:left="4126" w:hanging="361"/>
      </w:pPr>
      <w:rPr>
        <w:rFonts w:hint="default"/>
        <w:lang w:val="en-US" w:eastAsia="en-US" w:bidi="ar-SA"/>
      </w:rPr>
    </w:lvl>
    <w:lvl w:ilvl="5" w:tplc="0A2453A8">
      <w:numFmt w:val="bullet"/>
      <w:lvlText w:val="•"/>
      <w:lvlJc w:val="left"/>
      <w:pPr>
        <w:ind w:left="4948" w:hanging="361"/>
      </w:pPr>
      <w:rPr>
        <w:rFonts w:hint="default"/>
        <w:lang w:val="en-US" w:eastAsia="en-US" w:bidi="ar-SA"/>
      </w:rPr>
    </w:lvl>
    <w:lvl w:ilvl="6" w:tplc="ABC66430">
      <w:numFmt w:val="bullet"/>
      <w:lvlText w:val="•"/>
      <w:lvlJc w:val="left"/>
      <w:pPr>
        <w:ind w:left="5769" w:hanging="361"/>
      </w:pPr>
      <w:rPr>
        <w:rFonts w:hint="default"/>
        <w:lang w:val="en-US" w:eastAsia="en-US" w:bidi="ar-SA"/>
      </w:rPr>
    </w:lvl>
    <w:lvl w:ilvl="7" w:tplc="E19E0420">
      <w:numFmt w:val="bullet"/>
      <w:lvlText w:val="•"/>
      <w:lvlJc w:val="left"/>
      <w:pPr>
        <w:ind w:left="6591" w:hanging="361"/>
      </w:pPr>
      <w:rPr>
        <w:rFonts w:hint="default"/>
        <w:lang w:val="en-US" w:eastAsia="en-US" w:bidi="ar-SA"/>
      </w:rPr>
    </w:lvl>
    <w:lvl w:ilvl="8" w:tplc="B882CA10">
      <w:numFmt w:val="bullet"/>
      <w:lvlText w:val="•"/>
      <w:lvlJc w:val="left"/>
      <w:pPr>
        <w:ind w:left="7412" w:hanging="361"/>
      </w:pPr>
      <w:rPr>
        <w:rFonts w:hint="default"/>
        <w:lang w:val="en-US" w:eastAsia="en-US" w:bidi="ar-SA"/>
      </w:rPr>
    </w:lvl>
  </w:abstractNum>
  <w:abstractNum w:abstractNumId="27" w15:restartNumberingAfterBreak="0">
    <w:nsid w:val="484D65CE"/>
    <w:multiLevelType w:val="hybridMultilevel"/>
    <w:tmpl w:val="B386AB1E"/>
    <w:lvl w:ilvl="0" w:tplc="2CF07484">
      <w:numFmt w:val="bullet"/>
      <w:lvlText w:val=""/>
      <w:lvlJc w:val="left"/>
      <w:pPr>
        <w:ind w:left="830" w:hanging="361"/>
      </w:pPr>
      <w:rPr>
        <w:rFonts w:ascii="Wingdings" w:eastAsia="Wingdings" w:hAnsi="Wingdings" w:cs="Wingdings" w:hint="default"/>
        <w:w w:val="100"/>
        <w:sz w:val="22"/>
        <w:szCs w:val="22"/>
        <w:lang w:val="en-US" w:eastAsia="en-US" w:bidi="ar-SA"/>
      </w:rPr>
    </w:lvl>
    <w:lvl w:ilvl="1" w:tplc="90826C48">
      <w:numFmt w:val="bullet"/>
      <w:lvlText w:val="•"/>
      <w:lvlJc w:val="left"/>
      <w:pPr>
        <w:ind w:left="1661" w:hanging="361"/>
      </w:pPr>
      <w:rPr>
        <w:rFonts w:hint="default"/>
        <w:lang w:val="en-US" w:eastAsia="en-US" w:bidi="ar-SA"/>
      </w:rPr>
    </w:lvl>
    <w:lvl w:ilvl="2" w:tplc="8F7E7D24">
      <w:numFmt w:val="bullet"/>
      <w:lvlText w:val="•"/>
      <w:lvlJc w:val="left"/>
      <w:pPr>
        <w:ind w:left="2483" w:hanging="361"/>
      </w:pPr>
      <w:rPr>
        <w:rFonts w:hint="default"/>
        <w:lang w:val="en-US" w:eastAsia="en-US" w:bidi="ar-SA"/>
      </w:rPr>
    </w:lvl>
    <w:lvl w:ilvl="3" w:tplc="53D45E9C">
      <w:numFmt w:val="bullet"/>
      <w:lvlText w:val="•"/>
      <w:lvlJc w:val="left"/>
      <w:pPr>
        <w:ind w:left="3304" w:hanging="361"/>
      </w:pPr>
      <w:rPr>
        <w:rFonts w:hint="default"/>
        <w:lang w:val="en-US" w:eastAsia="en-US" w:bidi="ar-SA"/>
      </w:rPr>
    </w:lvl>
    <w:lvl w:ilvl="4" w:tplc="1B1E95EE">
      <w:numFmt w:val="bullet"/>
      <w:lvlText w:val="•"/>
      <w:lvlJc w:val="left"/>
      <w:pPr>
        <w:ind w:left="4126" w:hanging="361"/>
      </w:pPr>
      <w:rPr>
        <w:rFonts w:hint="default"/>
        <w:lang w:val="en-US" w:eastAsia="en-US" w:bidi="ar-SA"/>
      </w:rPr>
    </w:lvl>
    <w:lvl w:ilvl="5" w:tplc="685C157A">
      <w:numFmt w:val="bullet"/>
      <w:lvlText w:val="•"/>
      <w:lvlJc w:val="left"/>
      <w:pPr>
        <w:ind w:left="4948" w:hanging="361"/>
      </w:pPr>
      <w:rPr>
        <w:rFonts w:hint="default"/>
        <w:lang w:val="en-US" w:eastAsia="en-US" w:bidi="ar-SA"/>
      </w:rPr>
    </w:lvl>
    <w:lvl w:ilvl="6" w:tplc="2FC05312">
      <w:numFmt w:val="bullet"/>
      <w:lvlText w:val="•"/>
      <w:lvlJc w:val="left"/>
      <w:pPr>
        <w:ind w:left="5769" w:hanging="361"/>
      </w:pPr>
      <w:rPr>
        <w:rFonts w:hint="default"/>
        <w:lang w:val="en-US" w:eastAsia="en-US" w:bidi="ar-SA"/>
      </w:rPr>
    </w:lvl>
    <w:lvl w:ilvl="7" w:tplc="35D80E22">
      <w:numFmt w:val="bullet"/>
      <w:lvlText w:val="•"/>
      <w:lvlJc w:val="left"/>
      <w:pPr>
        <w:ind w:left="6591" w:hanging="361"/>
      </w:pPr>
      <w:rPr>
        <w:rFonts w:hint="default"/>
        <w:lang w:val="en-US" w:eastAsia="en-US" w:bidi="ar-SA"/>
      </w:rPr>
    </w:lvl>
    <w:lvl w:ilvl="8" w:tplc="9BF0DEC0">
      <w:numFmt w:val="bullet"/>
      <w:lvlText w:val="•"/>
      <w:lvlJc w:val="left"/>
      <w:pPr>
        <w:ind w:left="7412" w:hanging="361"/>
      </w:pPr>
      <w:rPr>
        <w:rFonts w:hint="default"/>
        <w:lang w:val="en-US" w:eastAsia="en-US" w:bidi="ar-SA"/>
      </w:rPr>
    </w:lvl>
  </w:abstractNum>
  <w:abstractNum w:abstractNumId="28" w15:restartNumberingAfterBreak="0">
    <w:nsid w:val="496E454E"/>
    <w:multiLevelType w:val="hybridMultilevel"/>
    <w:tmpl w:val="EEF008BC"/>
    <w:lvl w:ilvl="0" w:tplc="23D290D0">
      <w:start w:val="1"/>
      <w:numFmt w:val="decimal"/>
      <w:lvlText w:val="(%1)"/>
      <w:lvlJc w:val="left"/>
      <w:pPr>
        <w:ind w:left="470" w:hanging="360"/>
      </w:pPr>
      <w:rPr>
        <w:rFonts w:hint="default"/>
      </w:rPr>
    </w:lvl>
    <w:lvl w:ilvl="1" w:tplc="0C070019" w:tentative="1">
      <w:start w:val="1"/>
      <w:numFmt w:val="lowerLetter"/>
      <w:lvlText w:val="%2."/>
      <w:lvlJc w:val="left"/>
      <w:pPr>
        <w:ind w:left="1190" w:hanging="360"/>
      </w:pPr>
    </w:lvl>
    <w:lvl w:ilvl="2" w:tplc="0C07001B" w:tentative="1">
      <w:start w:val="1"/>
      <w:numFmt w:val="lowerRoman"/>
      <w:lvlText w:val="%3."/>
      <w:lvlJc w:val="right"/>
      <w:pPr>
        <w:ind w:left="1910" w:hanging="180"/>
      </w:pPr>
    </w:lvl>
    <w:lvl w:ilvl="3" w:tplc="0C07000F" w:tentative="1">
      <w:start w:val="1"/>
      <w:numFmt w:val="decimal"/>
      <w:lvlText w:val="%4."/>
      <w:lvlJc w:val="left"/>
      <w:pPr>
        <w:ind w:left="2630" w:hanging="360"/>
      </w:pPr>
    </w:lvl>
    <w:lvl w:ilvl="4" w:tplc="0C070019" w:tentative="1">
      <w:start w:val="1"/>
      <w:numFmt w:val="lowerLetter"/>
      <w:lvlText w:val="%5."/>
      <w:lvlJc w:val="left"/>
      <w:pPr>
        <w:ind w:left="3350" w:hanging="360"/>
      </w:pPr>
    </w:lvl>
    <w:lvl w:ilvl="5" w:tplc="0C07001B" w:tentative="1">
      <w:start w:val="1"/>
      <w:numFmt w:val="lowerRoman"/>
      <w:lvlText w:val="%6."/>
      <w:lvlJc w:val="right"/>
      <w:pPr>
        <w:ind w:left="4070" w:hanging="180"/>
      </w:pPr>
    </w:lvl>
    <w:lvl w:ilvl="6" w:tplc="0C07000F" w:tentative="1">
      <w:start w:val="1"/>
      <w:numFmt w:val="decimal"/>
      <w:lvlText w:val="%7."/>
      <w:lvlJc w:val="left"/>
      <w:pPr>
        <w:ind w:left="4790" w:hanging="360"/>
      </w:pPr>
    </w:lvl>
    <w:lvl w:ilvl="7" w:tplc="0C070019" w:tentative="1">
      <w:start w:val="1"/>
      <w:numFmt w:val="lowerLetter"/>
      <w:lvlText w:val="%8."/>
      <w:lvlJc w:val="left"/>
      <w:pPr>
        <w:ind w:left="5510" w:hanging="360"/>
      </w:pPr>
    </w:lvl>
    <w:lvl w:ilvl="8" w:tplc="0C07001B" w:tentative="1">
      <w:start w:val="1"/>
      <w:numFmt w:val="lowerRoman"/>
      <w:lvlText w:val="%9."/>
      <w:lvlJc w:val="right"/>
      <w:pPr>
        <w:ind w:left="6230" w:hanging="180"/>
      </w:pPr>
    </w:lvl>
  </w:abstractNum>
  <w:abstractNum w:abstractNumId="29" w15:restartNumberingAfterBreak="0">
    <w:nsid w:val="4DC00C85"/>
    <w:multiLevelType w:val="hybridMultilevel"/>
    <w:tmpl w:val="6F78DED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4F4B2430"/>
    <w:multiLevelType w:val="hybridMultilevel"/>
    <w:tmpl w:val="64A21B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F6218FA"/>
    <w:multiLevelType w:val="hybridMultilevel"/>
    <w:tmpl w:val="B0D2F46A"/>
    <w:lvl w:ilvl="0" w:tplc="3B0A77EA">
      <w:numFmt w:val="bullet"/>
      <w:lvlText w:val=""/>
      <w:lvlJc w:val="left"/>
      <w:pPr>
        <w:ind w:left="830" w:hanging="361"/>
      </w:pPr>
      <w:rPr>
        <w:rFonts w:ascii="Wingdings" w:eastAsia="Wingdings" w:hAnsi="Wingdings" w:cs="Wingdings" w:hint="default"/>
        <w:w w:val="100"/>
        <w:sz w:val="22"/>
        <w:szCs w:val="22"/>
        <w:lang w:val="en-US" w:eastAsia="en-US" w:bidi="ar-SA"/>
      </w:rPr>
    </w:lvl>
    <w:lvl w:ilvl="1" w:tplc="C21EA220">
      <w:numFmt w:val="bullet"/>
      <w:lvlText w:val="•"/>
      <w:lvlJc w:val="left"/>
      <w:pPr>
        <w:ind w:left="1661" w:hanging="361"/>
      </w:pPr>
      <w:rPr>
        <w:rFonts w:hint="default"/>
        <w:lang w:val="en-US" w:eastAsia="en-US" w:bidi="ar-SA"/>
      </w:rPr>
    </w:lvl>
    <w:lvl w:ilvl="2" w:tplc="540CA450">
      <w:numFmt w:val="bullet"/>
      <w:lvlText w:val="•"/>
      <w:lvlJc w:val="left"/>
      <w:pPr>
        <w:ind w:left="2483" w:hanging="361"/>
      </w:pPr>
      <w:rPr>
        <w:rFonts w:hint="default"/>
        <w:lang w:val="en-US" w:eastAsia="en-US" w:bidi="ar-SA"/>
      </w:rPr>
    </w:lvl>
    <w:lvl w:ilvl="3" w:tplc="28025058">
      <w:numFmt w:val="bullet"/>
      <w:lvlText w:val="•"/>
      <w:lvlJc w:val="left"/>
      <w:pPr>
        <w:ind w:left="3304" w:hanging="361"/>
      </w:pPr>
      <w:rPr>
        <w:rFonts w:hint="default"/>
        <w:lang w:val="en-US" w:eastAsia="en-US" w:bidi="ar-SA"/>
      </w:rPr>
    </w:lvl>
    <w:lvl w:ilvl="4" w:tplc="AE8A4EE0">
      <w:numFmt w:val="bullet"/>
      <w:lvlText w:val="•"/>
      <w:lvlJc w:val="left"/>
      <w:pPr>
        <w:ind w:left="4126" w:hanging="361"/>
      </w:pPr>
      <w:rPr>
        <w:rFonts w:hint="default"/>
        <w:lang w:val="en-US" w:eastAsia="en-US" w:bidi="ar-SA"/>
      </w:rPr>
    </w:lvl>
    <w:lvl w:ilvl="5" w:tplc="5B94961A">
      <w:numFmt w:val="bullet"/>
      <w:lvlText w:val="•"/>
      <w:lvlJc w:val="left"/>
      <w:pPr>
        <w:ind w:left="4948" w:hanging="361"/>
      </w:pPr>
      <w:rPr>
        <w:rFonts w:hint="default"/>
        <w:lang w:val="en-US" w:eastAsia="en-US" w:bidi="ar-SA"/>
      </w:rPr>
    </w:lvl>
    <w:lvl w:ilvl="6" w:tplc="0D4447C2">
      <w:numFmt w:val="bullet"/>
      <w:lvlText w:val="•"/>
      <w:lvlJc w:val="left"/>
      <w:pPr>
        <w:ind w:left="5769" w:hanging="361"/>
      </w:pPr>
      <w:rPr>
        <w:rFonts w:hint="default"/>
        <w:lang w:val="en-US" w:eastAsia="en-US" w:bidi="ar-SA"/>
      </w:rPr>
    </w:lvl>
    <w:lvl w:ilvl="7" w:tplc="452AF2CE">
      <w:numFmt w:val="bullet"/>
      <w:lvlText w:val="•"/>
      <w:lvlJc w:val="left"/>
      <w:pPr>
        <w:ind w:left="6591" w:hanging="361"/>
      </w:pPr>
      <w:rPr>
        <w:rFonts w:hint="default"/>
        <w:lang w:val="en-US" w:eastAsia="en-US" w:bidi="ar-SA"/>
      </w:rPr>
    </w:lvl>
    <w:lvl w:ilvl="8" w:tplc="7F82FF28">
      <w:numFmt w:val="bullet"/>
      <w:lvlText w:val="•"/>
      <w:lvlJc w:val="left"/>
      <w:pPr>
        <w:ind w:left="7412" w:hanging="361"/>
      </w:pPr>
      <w:rPr>
        <w:rFonts w:hint="default"/>
        <w:lang w:val="en-US" w:eastAsia="en-US" w:bidi="ar-SA"/>
      </w:rPr>
    </w:lvl>
  </w:abstractNum>
  <w:abstractNum w:abstractNumId="32" w15:restartNumberingAfterBreak="0">
    <w:nsid w:val="53495F85"/>
    <w:multiLevelType w:val="hybridMultilevel"/>
    <w:tmpl w:val="8EA280D8"/>
    <w:lvl w:ilvl="0" w:tplc="760885EE">
      <w:numFmt w:val="bullet"/>
      <w:lvlText w:val=""/>
      <w:lvlJc w:val="left"/>
      <w:pPr>
        <w:ind w:left="825" w:hanging="361"/>
      </w:pPr>
      <w:rPr>
        <w:rFonts w:ascii="Wingdings" w:eastAsia="Wingdings" w:hAnsi="Wingdings" w:cs="Wingdings" w:hint="default"/>
        <w:w w:val="100"/>
        <w:sz w:val="24"/>
        <w:szCs w:val="24"/>
        <w:lang w:val="en-US" w:eastAsia="en-US" w:bidi="ar-SA"/>
      </w:rPr>
    </w:lvl>
    <w:lvl w:ilvl="1" w:tplc="93D02782">
      <w:numFmt w:val="bullet"/>
      <w:lvlText w:val="•"/>
      <w:lvlJc w:val="left"/>
      <w:pPr>
        <w:ind w:left="1643" w:hanging="361"/>
      </w:pPr>
      <w:rPr>
        <w:rFonts w:hint="default"/>
        <w:lang w:val="en-US" w:eastAsia="en-US" w:bidi="ar-SA"/>
      </w:rPr>
    </w:lvl>
    <w:lvl w:ilvl="2" w:tplc="280E29BE">
      <w:numFmt w:val="bullet"/>
      <w:lvlText w:val="•"/>
      <w:lvlJc w:val="left"/>
      <w:pPr>
        <w:ind w:left="2467" w:hanging="361"/>
      </w:pPr>
      <w:rPr>
        <w:rFonts w:hint="default"/>
        <w:lang w:val="en-US" w:eastAsia="en-US" w:bidi="ar-SA"/>
      </w:rPr>
    </w:lvl>
    <w:lvl w:ilvl="3" w:tplc="E54AFFF8">
      <w:numFmt w:val="bullet"/>
      <w:lvlText w:val="•"/>
      <w:lvlJc w:val="left"/>
      <w:pPr>
        <w:ind w:left="3290" w:hanging="361"/>
      </w:pPr>
      <w:rPr>
        <w:rFonts w:hint="default"/>
        <w:lang w:val="en-US" w:eastAsia="en-US" w:bidi="ar-SA"/>
      </w:rPr>
    </w:lvl>
    <w:lvl w:ilvl="4" w:tplc="724EB09A">
      <w:numFmt w:val="bullet"/>
      <w:lvlText w:val="•"/>
      <w:lvlJc w:val="left"/>
      <w:pPr>
        <w:ind w:left="4114" w:hanging="361"/>
      </w:pPr>
      <w:rPr>
        <w:rFonts w:hint="default"/>
        <w:lang w:val="en-US" w:eastAsia="en-US" w:bidi="ar-SA"/>
      </w:rPr>
    </w:lvl>
    <w:lvl w:ilvl="5" w:tplc="8E024E5A">
      <w:numFmt w:val="bullet"/>
      <w:lvlText w:val="•"/>
      <w:lvlJc w:val="left"/>
      <w:pPr>
        <w:ind w:left="4938" w:hanging="361"/>
      </w:pPr>
      <w:rPr>
        <w:rFonts w:hint="default"/>
        <w:lang w:val="en-US" w:eastAsia="en-US" w:bidi="ar-SA"/>
      </w:rPr>
    </w:lvl>
    <w:lvl w:ilvl="6" w:tplc="56708F0C">
      <w:numFmt w:val="bullet"/>
      <w:lvlText w:val="•"/>
      <w:lvlJc w:val="left"/>
      <w:pPr>
        <w:ind w:left="5761" w:hanging="361"/>
      </w:pPr>
      <w:rPr>
        <w:rFonts w:hint="default"/>
        <w:lang w:val="en-US" w:eastAsia="en-US" w:bidi="ar-SA"/>
      </w:rPr>
    </w:lvl>
    <w:lvl w:ilvl="7" w:tplc="64627BE6">
      <w:numFmt w:val="bullet"/>
      <w:lvlText w:val="•"/>
      <w:lvlJc w:val="left"/>
      <w:pPr>
        <w:ind w:left="6585" w:hanging="361"/>
      </w:pPr>
      <w:rPr>
        <w:rFonts w:hint="default"/>
        <w:lang w:val="en-US" w:eastAsia="en-US" w:bidi="ar-SA"/>
      </w:rPr>
    </w:lvl>
    <w:lvl w:ilvl="8" w:tplc="9B581C32">
      <w:numFmt w:val="bullet"/>
      <w:lvlText w:val="•"/>
      <w:lvlJc w:val="left"/>
      <w:pPr>
        <w:ind w:left="7408" w:hanging="361"/>
      </w:pPr>
      <w:rPr>
        <w:rFonts w:hint="default"/>
        <w:lang w:val="en-US" w:eastAsia="en-US" w:bidi="ar-SA"/>
      </w:rPr>
    </w:lvl>
  </w:abstractNum>
  <w:abstractNum w:abstractNumId="33" w15:restartNumberingAfterBreak="0">
    <w:nsid w:val="54C72FF8"/>
    <w:multiLevelType w:val="hybridMultilevel"/>
    <w:tmpl w:val="0AF6FBC0"/>
    <w:lvl w:ilvl="0" w:tplc="8B244B80">
      <w:numFmt w:val="bullet"/>
      <w:lvlText w:val=""/>
      <w:lvlJc w:val="left"/>
      <w:pPr>
        <w:ind w:left="830" w:hanging="361"/>
      </w:pPr>
      <w:rPr>
        <w:rFonts w:ascii="Wingdings" w:eastAsia="Wingdings" w:hAnsi="Wingdings" w:cs="Wingdings" w:hint="default"/>
        <w:w w:val="100"/>
        <w:sz w:val="22"/>
        <w:szCs w:val="22"/>
        <w:lang w:val="en-US" w:eastAsia="en-US" w:bidi="ar-SA"/>
      </w:rPr>
    </w:lvl>
    <w:lvl w:ilvl="1" w:tplc="C8E23450">
      <w:numFmt w:val="bullet"/>
      <w:lvlText w:val="•"/>
      <w:lvlJc w:val="left"/>
      <w:pPr>
        <w:ind w:left="1661" w:hanging="361"/>
      </w:pPr>
      <w:rPr>
        <w:rFonts w:hint="default"/>
        <w:lang w:val="en-US" w:eastAsia="en-US" w:bidi="ar-SA"/>
      </w:rPr>
    </w:lvl>
    <w:lvl w:ilvl="2" w:tplc="6A7EE95E">
      <w:numFmt w:val="bullet"/>
      <w:lvlText w:val="•"/>
      <w:lvlJc w:val="left"/>
      <w:pPr>
        <w:ind w:left="2483" w:hanging="361"/>
      </w:pPr>
      <w:rPr>
        <w:rFonts w:hint="default"/>
        <w:lang w:val="en-US" w:eastAsia="en-US" w:bidi="ar-SA"/>
      </w:rPr>
    </w:lvl>
    <w:lvl w:ilvl="3" w:tplc="763C67BC">
      <w:numFmt w:val="bullet"/>
      <w:lvlText w:val="•"/>
      <w:lvlJc w:val="left"/>
      <w:pPr>
        <w:ind w:left="3304" w:hanging="361"/>
      </w:pPr>
      <w:rPr>
        <w:rFonts w:hint="default"/>
        <w:lang w:val="en-US" w:eastAsia="en-US" w:bidi="ar-SA"/>
      </w:rPr>
    </w:lvl>
    <w:lvl w:ilvl="4" w:tplc="139CA5E2">
      <w:numFmt w:val="bullet"/>
      <w:lvlText w:val="•"/>
      <w:lvlJc w:val="left"/>
      <w:pPr>
        <w:ind w:left="4126" w:hanging="361"/>
      </w:pPr>
      <w:rPr>
        <w:rFonts w:hint="default"/>
        <w:lang w:val="en-US" w:eastAsia="en-US" w:bidi="ar-SA"/>
      </w:rPr>
    </w:lvl>
    <w:lvl w:ilvl="5" w:tplc="43C66E5E">
      <w:numFmt w:val="bullet"/>
      <w:lvlText w:val="•"/>
      <w:lvlJc w:val="left"/>
      <w:pPr>
        <w:ind w:left="4948" w:hanging="361"/>
      </w:pPr>
      <w:rPr>
        <w:rFonts w:hint="default"/>
        <w:lang w:val="en-US" w:eastAsia="en-US" w:bidi="ar-SA"/>
      </w:rPr>
    </w:lvl>
    <w:lvl w:ilvl="6" w:tplc="A552E50A">
      <w:numFmt w:val="bullet"/>
      <w:lvlText w:val="•"/>
      <w:lvlJc w:val="left"/>
      <w:pPr>
        <w:ind w:left="5769" w:hanging="361"/>
      </w:pPr>
      <w:rPr>
        <w:rFonts w:hint="default"/>
        <w:lang w:val="en-US" w:eastAsia="en-US" w:bidi="ar-SA"/>
      </w:rPr>
    </w:lvl>
    <w:lvl w:ilvl="7" w:tplc="6F28F4AE">
      <w:numFmt w:val="bullet"/>
      <w:lvlText w:val="•"/>
      <w:lvlJc w:val="left"/>
      <w:pPr>
        <w:ind w:left="6591" w:hanging="361"/>
      </w:pPr>
      <w:rPr>
        <w:rFonts w:hint="default"/>
        <w:lang w:val="en-US" w:eastAsia="en-US" w:bidi="ar-SA"/>
      </w:rPr>
    </w:lvl>
    <w:lvl w:ilvl="8" w:tplc="7012F6E6">
      <w:numFmt w:val="bullet"/>
      <w:lvlText w:val="•"/>
      <w:lvlJc w:val="left"/>
      <w:pPr>
        <w:ind w:left="7412" w:hanging="361"/>
      </w:pPr>
      <w:rPr>
        <w:rFonts w:hint="default"/>
        <w:lang w:val="en-US" w:eastAsia="en-US" w:bidi="ar-SA"/>
      </w:rPr>
    </w:lvl>
  </w:abstractNum>
  <w:abstractNum w:abstractNumId="34" w15:restartNumberingAfterBreak="0">
    <w:nsid w:val="54E64EA1"/>
    <w:multiLevelType w:val="hybridMultilevel"/>
    <w:tmpl w:val="6F78DED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554A4E13"/>
    <w:multiLevelType w:val="hybridMultilevel"/>
    <w:tmpl w:val="FF285E5A"/>
    <w:lvl w:ilvl="0" w:tplc="F5102622">
      <w:numFmt w:val="bullet"/>
      <w:lvlText w:val=""/>
      <w:lvlJc w:val="left"/>
      <w:pPr>
        <w:ind w:left="830" w:hanging="361"/>
      </w:pPr>
      <w:rPr>
        <w:rFonts w:ascii="Wingdings" w:eastAsia="Wingdings" w:hAnsi="Wingdings" w:cs="Wingdings" w:hint="default"/>
        <w:w w:val="100"/>
        <w:sz w:val="22"/>
        <w:szCs w:val="22"/>
        <w:lang w:val="en-US" w:eastAsia="en-US" w:bidi="ar-SA"/>
      </w:rPr>
    </w:lvl>
    <w:lvl w:ilvl="1" w:tplc="5F920176">
      <w:numFmt w:val="bullet"/>
      <w:lvlText w:val="•"/>
      <w:lvlJc w:val="left"/>
      <w:pPr>
        <w:ind w:left="1661" w:hanging="361"/>
      </w:pPr>
      <w:rPr>
        <w:rFonts w:hint="default"/>
        <w:lang w:val="en-US" w:eastAsia="en-US" w:bidi="ar-SA"/>
      </w:rPr>
    </w:lvl>
    <w:lvl w:ilvl="2" w:tplc="7C7C2E1A">
      <w:numFmt w:val="bullet"/>
      <w:lvlText w:val="•"/>
      <w:lvlJc w:val="left"/>
      <w:pPr>
        <w:ind w:left="2483" w:hanging="361"/>
      </w:pPr>
      <w:rPr>
        <w:rFonts w:hint="default"/>
        <w:lang w:val="en-US" w:eastAsia="en-US" w:bidi="ar-SA"/>
      </w:rPr>
    </w:lvl>
    <w:lvl w:ilvl="3" w:tplc="E10667B4">
      <w:numFmt w:val="bullet"/>
      <w:lvlText w:val="•"/>
      <w:lvlJc w:val="left"/>
      <w:pPr>
        <w:ind w:left="3304" w:hanging="361"/>
      </w:pPr>
      <w:rPr>
        <w:rFonts w:hint="default"/>
        <w:lang w:val="en-US" w:eastAsia="en-US" w:bidi="ar-SA"/>
      </w:rPr>
    </w:lvl>
    <w:lvl w:ilvl="4" w:tplc="EDE40744">
      <w:numFmt w:val="bullet"/>
      <w:lvlText w:val="•"/>
      <w:lvlJc w:val="left"/>
      <w:pPr>
        <w:ind w:left="4126" w:hanging="361"/>
      </w:pPr>
      <w:rPr>
        <w:rFonts w:hint="default"/>
        <w:lang w:val="en-US" w:eastAsia="en-US" w:bidi="ar-SA"/>
      </w:rPr>
    </w:lvl>
    <w:lvl w:ilvl="5" w:tplc="3968D8D4">
      <w:numFmt w:val="bullet"/>
      <w:lvlText w:val="•"/>
      <w:lvlJc w:val="left"/>
      <w:pPr>
        <w:ind w:left="4948" w:hanging="361"/>
      </w:pPr>
      <w:rPr>
        <w:rFonts w:hint="default"/>
        <w:lang w:val="en-US" w:eastAsia="en-US" w:bidi="ar-SA"/>
      </w:rPr>
    </w:lvl>
    <w:lvl w:ilvl="6" w:tplc="B7303CDA">
      <w:numFmt w:val="bullet"/>
      <w:lvlText w:val="•"/>
      <w:lvlJc w:val="left"/>
      <w:pPr>
        <w:ind w:left="5769" w:hanging="361"/>
      </w:pPr>
      <w:rPr>
        <w:rFonts w:hint="default"/>
        <w:lang w:val="en-US" w:eastAsia="en-US" w:bidi="ar-SA"/>
      </w:rPr>
    </w:lvl>
    <w:lvl w:ilvl="7" w:tplc="E5A0B4D4">
      <w:numFmt w:val="bullet"/>
      <w:lvlText w:val="•"/>
      <w:lvlJc w:val="left"/>
      <w:pPr>
        <w:ind w:left="6591" w:hanging="361"/>
      </w:pPr>
      <w:rPr>
        <w:rFonts w:hint="default"/>
        <w:lang w:val="en-US" w:eastAsia="en-US" w:bidi="ar-SA"/>
      </w:rPr>
    </w:lvl>
    <w:lvl w:ilvl="8" w:tplc="B9B4E6DC">
      <w:numFmt w:val="bullet"/>
      <w:lvlText w:val="•"/>
      <w:lvlJc w:val="left"/>
      <w:pPr>
        <w:ind w:left="7412" w:hanging="361"/>
      </w:pPr>
      <w:rPr>
        <w:rFonts w:hint="default"/>
        <w:lang w:val="en-US" w:eastAsia="en-US" w:bidi="ar-SA"/>
      </w:rPr>
    </w:lvl>
  </w:abstractNum>
  <w:abstractNum w:abstractNumId="36" w15:restartNumberingAfterBreak="0">
    <w:nsid w:val="581C7502"/>
    <w:multiLevelType w:val="hybridMultilevel"/>
    <w:tmpl w:val="5CDCFA2C"/>
    <w:lvl w:ilvl="0" w:tplc="FE44068C">
      <w:numFmt w:val="bullet"/>
      <w:lvlText w:val=""/>
      <w:lvlJc w:val="left"/>
      <w:pPr>
        <w:ind w:left="830" w:hanging="361"/>
      </w:pPr>
      <w:rPr>
        <w:rFonts w:ascii="Wingdings" w:eastAsia="Wingdings" w:hAnsi="Wingdings" w:cs="Wingdings" w:hint="default"/>
        <w:w w:val="100"/>
        <w:sz w:val="24"/>
        <w:szCs w:val="24"/>
        <w:lang w:val="en-US" w:eastAsia="en-US" w:bidi="ar-SA"/>
      </w:rPr>
    </w:lvl>
    <w:lvl w:ilvl="1" w:tplc="9FDE6F36">
      <w:numFmt w:val="bullet"/>
      <w:lvlText w:val="•"/>
      <w:lvlJc w:val="left"/>
      <w:pPr>
        <w:ind w:left="1661" w:hanging="361"/>
      </w:pPr>
      <w:rPr>
        <w:rFonts w:hint="default"/>
        <w:lang w:val="en-US" w:eastAsia="en-US" w:bidi="ar-SA"/>
      </w:rPr>
    </w:lvl>
    <w:lvl w:ilvl="2" w:tplc="0E82CD96">
      <w:numFmt w:val="bullet"/>
      <w:lvlText w:val="•"/>
      <w:lvlJc w:val="left"/>
      <w:pPr>
        <w:ind w:left="2483" w:hanging="361"/>
      </w:pPr>
      <w:rPr>
        <w:rFonts w:hint="default"/>
        <w:lang w:val="en-US" w:eastAsia="en-US" w:bidi="ar-SA"/>
      </w:rPr>
    </w:lvl>
    <w:lvl w:ilvl="3" w:tplc="715064C6">
      <w:numFmt w:val="bullet"/>
      <w:lvlText w:val="•"/>
      <w:lvlJc w:val="left"/>
      <w:pPr>
        <w:ind w:left="3304" w:hanging="361"/>
      </w:pPr>
      <w:rPr>
        <w:rFonts w:hint="default"/>
        <w:lang w:val="en-US" w:eastAsia="en-US" w:bidi="ar-SA"/>
      </w:rPr>
    </w:lvl>
    <w:lvl w:ilvl="4" w:tplc="71A8BD6A">
      <w:numFmt w:val="bullet"/>
      <w:lvlText w:val="•"/>
      <w:lvlJc w:val="left"/>
      <w:pPr>
        <w:ind w:left="4126" w:hanging="361"/>
      </w:pPr>
      <w:rPr>
        <w:rFonts w:hint="default"/>
        <w:lang w:val="en-US" w:eastAsia="en-US" w:bidi="ar-SA"/>
      </w:rPr>
    </w:lvl>
    <w:lvl w:ilvl="5" w:tplc="311453A8">
      <w:numFmt w:val="bullet"/>
      <w:lvlText w:val="•"/>
      <w:lvlJc w:val="left"/>
      <w:pPr>
        <w:ind w:left="4948" w:hanging="361"/>
      </w:pPr>
      <w:rPr>
        <w:rFonts w:hint="default"/>
        <w:lang w:val="en-US" w:eastAsia="en-US" w:bidi="ar-SA"/>
      </w:rPr>
    </w:lvl>
    <w:lvl w:ilvl="6" w:tplc="A96E7164">
      <w:numFmt w:val="bullet"/>
      <w:lvlText w:val="•"/>
      <w:lvlJc w:val="left"/>
      <w:pPr>
        <w:ind w:left="5769" w:hanging="361"/>
      </w:pPr>
      <w:rPr>
        <w:rFonts w:hint="default"/>
        <w:lang w:val="en-US" w:eastAsia="en-US" w:bidi="ar-SA"/>
      </w:rPr>
    </w:lvl>
    <w:lvl w:ilvl="7" w:tplc="953ED934">
      <w:numFmt w:val="bullet"/>
      <w:lvlText w:val="•"/>
      <w:lvlJc w:val="left"/>
      <w:pPr>
        <w:ind w:left="6591" w:hanging="361"/>
      </w:pPr>
      <w:rPr>
        <w:rFonts w:hint="default"/>
        <w:lang w:val="en-US" w:eastAsia="en-US" w:bidi="ar-SA"/>
      </w:rPr>
    </w:lvl>
    <w:lvl w:ilvl="8" w:tplc="54F48646">
      <w:numFmt w:val="bullet"/>
      <w:lvlText w:val="•"/>
      <w:lvlJc w:val="left"/>
      <w:pPr>
        <w:ind w:left="7412" w:hanging="361"/>
      </w:pPr>
      <w:rPr>
        <w:rFonts w:hint="default"/>
        <w:lang w:val="en-US" w:eastAsia="en-US" w:bidi="ar-SA"/>
      </w:rPr>
    </w:lvl>
  </w:abstractNum>
  <w:abstractNum w:abstractNumId="37" w15:restartNumberingAfterBreak="0">
    <w:nsid w:val="59C5159B"/>
    <w:multiLevelType w:val="hybridMultilevel"/>
    <w:tmpl w:val="6F78DED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5C3A71E6"/>
    <w:multiLevelType w:val="hybridMultilevel"/>
    <w:tmpl w:val="A55C3320"/>
    <w:lvl w:ilvl="0" w:tplc="DD2C6BB6">
      <w:numFmt w:val="bullet"/>
      <w:lvlText w:val=""/>
      <w:lvlJc w:val="left"/>
      <w:pPr>
        <w:ind w:left="830" w:hanging="361"/>
      </w:pPr>
      <w:rPr>
        <w:rFonts w:hint="default"/>
        <w:w w:val="100"/>
        <w:lang w:val="en-US" w:eastAsia="en-US" w:bidi="ar-SA"/>
      </w:rPr>
    </w:lvl>
    <w:lvl w:ilvl="1" w:tplc="8578CA24">
      <w:numFmt w:val="bullet"/>
      <w:lvlText w:val="•"/>
      <w:lvlJc w:val="left"/>
      <w:pPr>
        <w:ind w:left="1661" w:hanging="361"/>
      </w:pPr>
      <w:rPr>
        <w:rFonts w:hint="default"/>
        <w:lang w:val="en-US" w:eastAsia="en-US" w:bidi="ar-SA"/>
      </w:rPr>
    </w:lvl>
    <w:lvl w:ilvl="2" w:tplc="75D865D4">
      <w:numFmt w:val="bullet"/>
      <w:lvlText w:val="•"/>
      <w:lvlJc w:val="left"/>
      <w:pPr>
        <w:ind w:left="2483" w:hanging="361"/>
      </w:pPr>
      <w:rPr>
        <w:rFonts w:hint="default"/>
        <w:lang w:val="en-US" w:eastAsia="en-US" w:bidi="ar-SA"/>
      </w:rPr>
    </w:lvl>
    <w:lvl w:ilvl="3" w:tplc="1098E674">
      <w:numFmt w:val="bullet"/>
      <w:lvlText w:val="•"/>
      <w:lvlJc w:val="left"/>
      <w:pPr>
        <w:ind w:left="3304" w:hanging="361"/>
      </w:pPr>
      <w:rPr>
        <w:rFonts w:hint="default"/>
        <w:lang w:val="en-US" w:eastAsia="en-US" w:bidi="ar-SA"/>
      </w:rPr>
    </w:lvl>
    <w:lvl w:ilvl="4" w:tplc="87CC0E00">
      <w:numFmt w:val="bullet"/>
      <w:lvlText w:val="•"/>
      <w:lvlJc w:val="left"/>
      <w:pPr>
        <w:ind w:left="4126" w:hanging="361"/>
      </w:pPr>
      <w:rPr>
        <w:rFonts w:hint="default"/>
        <w:lang w:val="en-US" w:eastAsia="en-US" w:bidi="ar-SA"/>
      </w:rPr>
    </w:lvl>
    <w:lvl w:ilvl="5" w:tplc="887C643A">
      <w:numFmt w:val="bullet"/>
      <w:lvlText w:val="•"/>
      <w:lvlJc w:val="left"/>
      <w:pPr>
        <w:ind w:left="4948" w:hanging="361"/>
      </w:pPr>
      <w:rPr>
        <w:rFonts w:hint="default"/>
        <w:lang w:val="en-US" w:eastAsia="en-US" w:bidi="ar-SA"/>
      </w:rPr>
    </w:lvl>
    <w:lvl w:ilvl="6" w:tplc="5B16B306">
      <w:numFmt w:val="bullet"/>
      <w:lvlText w:val="•"/>
      <w:lvlJc w:val="left"/>
      <w:pPr>
        <w:ind w:left="5769" w:hanging="361"/>
      </w:pPr>
      <w:rPr>
        <w:rFonts w:hint="default"/>
        <w:lang w:val="en-US" w:eastAsia="en-US" w:bidi="ar-SA"/>
      </w:rPr>
    </w:lvl>
    <w:lvl w:ilvl="7" w:tplc="72940DA4">
      <w:numFmt w:val="bullet"/>
      <w:lvlText w:val="•"/>
      <w:lvlJc w:val="left"/>
      <w:pPr>
        <w:ind w:left="6591" w:hanging="361"/>
      </w:pPr>
      <w:rPr>
        <w:rFonts w:hint="default"/>
        <w:lang w:val="en-US" w:eastAsia="en-US" w:bidi="ar-SA"/>
      </w:rPr>
    </w:lvl>
    <w:lvl w:ilvl="8" w:tplc="CB9CC2E4">
      <w:numFmt w:val="bullet"/>
      <w:lvlText w:val="•"/>
      <w:lvlJc w:val="left"/>
      <w:pPr>
        <w:ind w:left="7412" w:hanging="361"/>
      </w:pPr>
      <w:rPr>
        <w:rFonts w:hint="default"/>
        <w:lang w:val="en-US" w:eastAsia="en-US" w:bidi="ar-SA"/>
      </w:rPr>
    </w:lvl>
  </w:abstractNum>
  <w:abstractNum w:abstractNumId="39" w15:restartNumberingAfterBreak="0">
    <w:nsid w:val="5D7B718F"/>
    <w:multiLevelType w:val="hybridMultilevel"/>
    <w:tmpl w:val="6F78DEDA"/>
    <w:lvl w:ilvl="0" w:tplc="0C070015">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0" w15:restartNumberingAfterBreak="0">
    <w:nsid w:val="5D960140"/>
    <w:multiLevelType w:val="hybridMultilevel"/>
    <w:tmpl w:val="6C0A36F6"/>
    <w:lvl w:ilvl="0" w:tplc="07000924">
      <w:numFmt w:val="bullet"/>
      <w:lvlText w:val=""/>
      <w:lvlJc w:val="left"/>
      <w:pPr>
        <w:ind w:left="830" w:hanging="361"/>
      </w:pPr>
      <w:rPr>
        <w:rFonts w:ascii="Wingdings" w:eastAsia="Wingdings" w:hAnsi="Wingdings" w:cs="Wingdings" w:hint="default"/>
        <w:w w:val="100"/>
        <w:sz w:val="22"/>
        <w:szCs w:val="22"/>
        <w:lang w:val="en-US" w:eastAsia="en-US" w:bidi="ar-SA"/>
      </w:rPr>
    </w:lvl>
    <w:lvl w:ilvl="1" w:tplc="0A083C60">
      <w:numFmt w:val="bullet"/>
      <w:lvlText w:val="•"/>
      <w:lvlJc w:val="left"/>
      <w:pPr>
        <w:ind w:left="1661" w:hanging="361"/>
      </w:pPr>
      <w:rPr>
        <w:rFonts w:hint="default"/>
        <w:lang w:val="en-US" w:eastAsia="en-US" w:bidi="ar-SA"/>
      </w:rPr>
    </w:lvl>
    <w:lvl w:ilvl="2" w:tplc="A5D422F0">
      <w:numFmt w:val="bullet"/>
      <w:lvlText w:val="•"/>
      <w:lvlJc w:val="left"/>
      <w:pPr>
        <w:ind w:left="2483" w:hanging="361"/>
      </w:pPr>
      <w:rPr>
        <w:rFonts w:hint="default"/>
        <w:lang w:val="en-US" w:eastAsia="en-US" w:bidi="ar-SA"/>
      </w:rPr>
    </w:lvl>
    <w:lvl w:ilvl="3" w:tplc="9238EC00">
      <w:numFmt w:val="bullet"/>
      <w:lvlText w:val="•"/>
      <w:lvlJc w:val="left"/>
      <w:pPr>
        <w:ind w:left="3304" w:hanging="361"/>
      </w:pPr>
      <w:rPr>
        <w:rFonts w:hint="default"/>
        <w:lang w:val="en-US" w:eastAsia="en-US" w:bidi="ar-SA"/>
      </w:rPr>
    </w:lvl>
    <w:lvl w:ilvl="4" w:tplc="589238B2">
      <w:numFmt w:val="bullet"/>
      <w:lvlText w:val="•"/>
      <w:lvlJc w:val="left"/>
      <w:pPr>
        <w:ind w:left="4126" w:hanging="361"/>
      </w:pPr>
      <w:rPr>
        <w:rFonts w:hint="default"/>
        <w:lang w:val="en-US" w:eastAsia="en-US" w:bidi="ar-SA"/>
      </w:rPr>
    </w:lvl>
    <w:lvl w:ilvl="5" w:tplc="4FC48750">
      <w:numFmt w:val="bullet"/>
      <w:lvlText w:val="•"/>
      <w:lvlJc w:val="left"/>
      <w:pPr>
        <w:ind w:left="4948" w:hanging="361"/>
      </w:pPr>
      <w:rPr>
        <w:rFonts w:hint="default"/>
        <w:lang w:val="en-US" w:eastAsia="en-US" w:bidi="ar-SA"/>
      </w:rPr>
    </w:lvl>
    <w:lvl w:ilvl="6" w:tplc="6BD061F0">
      <w:numFmt w:val="bullet"/>
      <w:lvlText w:val="•"/>
      <w:lvlJc w:val="left"/>
      <w:pPr>
        <w:ind w:left="5769" w:hanging="361"/>
      </w:pPr>
      <w:rPr>
        <w:rFonts w:hint="default"/>
        <w:lang w:val="en-US" w:eastAsia="en-US" w:bidi="ar-SA"/>
      </w:rPr>
    </w:lvl>
    <w:lvl w:ilvl="7" w:tplc="908AA668">
      <w:numFmt w:val="bullet"/>
      <w:lvlText w:val="•"/>
      <w:lvlJc w:val="left"/>
      <w:pPr>
        <w:ind w:left="6591" w:hanging="361"/>
      </w:pPr>
      <w:rPr>
        <w:rFonts w:hint="default"/>
        <w:lang w:val="en-US" w:eastAsia="en-US" w:bidi="ar-SA"/>
      </w:rPr>
    </w:lvl>
    <w:lvl w:ilvl="8" w:tplc="627CA14C">
      <w:numFmt w:val="bullet"/>
      <w:lvlText w:val="•"/>
      <w:lvlJc w:val="left"/>
      <w:pPr>
        <w:ind w:left="7412" w:hanging="361"/>
      </w:pPr>
      <w:rPr>
        <w:rFonts w:hint="default"/>
        <w:lang w:val="en-US" w:eastAsia="en-US" w:bidi="ar-SA"/>
      </w:rPr>
    </w:lvl>
  </w:abstractNum>
  <w:abstractNum w:abstractNumId="41" w15:restartNumberingAfterBreak="0">
    <w:nsid w:val="610F4F2A"/>
    <w:multiLevelType w:val="hybridMultilevel"/>
    <w:tmpl w:val="7FAC8E86"/>
    <w:lvl w:ilvl="0" w:tplc="40B4C1B0">
      <w:numFmt w:val="bullet"/>
      <w:lvlText w:val=""/>
      <w:lvlJc w:val="left"/>
      <w:pPr>
        <w:ind w:left="830" w:hanging="361"/>
      </w:pPr>
      <w:rPr>
        <w:rFonts w:hint="default"/>
        <w:w w:val="100"/>
        <w:lang w:val="en-US" w:eastAsia="en-US" w:bidi="ar-SA"/>
      </w:rPr>
    </w:lvl>
    <w:lvl w:ilvl="1" w:tplc="1C02D962">
      <w:numFmt w:val="bullet"/>
      <w:lvlText w:val="•"/>
      <w:lvlJc w:val="left"/>
      <w:pPr>
        <w:ind w:left="1661" w:hanging="361"/>
      </w:pPr>
      <w:rPr>
        <w:rFonts w:hint="default"/>
        <w:lang w:val="en-US" w:eastAsia="en-US" w:bidi="ar-SA"/>
      </w:rPr>
    </w:lvl>
    <w:lvl w:ilvl="2" w:tplc="1F00CE42">
      <w:numFmt w:val="bullet"/>
      <w:lvlText w:val="•"/>
      <w:lvlJc w:val="left"/>
      <w:pPr>
        <w:ind w:left="2483" w:hanging="361"/>
      </w:pPr>
      <w:rPr>
        <w:rFonts w:hint="default"/>
        <w:lang w:val="en-US" w:eastAsia="en-US" w:bidi="ar-SA"/>
      </w:rPr>
    </w:lvl>
    <w:lvl w:ilvl="3" w:tplc="4F88A02A">
      <w:numFmt w:val="bullet"/>
      <w:lvlText w:val="•"/>
      <w:lvlJc w:val="left"/>
      <w:pPr>
        <w:ind w:left="3304" w:hanging="361"/>
      </w:pPr>
      <w:rPr>
        <w:rFonts w:hint="default"/>
        <w:lang w:val="en-US" w:eastAsia="en-US" w:bidi="ar-SA"/>
      </w:rPr>
    </w:lvl>
    <w:lvl w:ilvl="4" w:tplc="F5C07B90">
      <w:numFmt w:val="bullet"/>
      <w:lvlText w:val="•"/>
      <w:lvlJc w:val="left"/>
      <w:pPr>
        <w:ind w:left="4126" w:hanging="361"/>
      </w:pPr>
      <w:rPr>
        <w:rFonts w:hint="default"/>
        <w:lang w:val="en-US" w:eastAsia="en-US" w:bidi="ar-SA"/>
      </w:rPr>
    </w:lvl>
    <w:lvl w:ilvl="5" w:tplc="C136E3EC">
      <w:numFmt w:val="bullet"/>
      <w:lvlText w:val="•"/>
      <w:lvlJc w:val="left"/>
      <w:pPr>
        <w:ind w:left="4948" w:hanging="361"/>
      </w:pPr>
      <w:rPr>
        <w:rFonts w:hint="default"/>
        <w:lang w:val="en-US" w:eastAsia="en-US" w:bidi="ar-SA"/>
      </w:rPr>
    </w:lvl>
    <w:lvl w:ilvl="6" w:tplc="56BCC214">
      <w:numFmt w:val="bullet"/>
      <w:lvlText w:val="•"/>
      <w:lvlJc w:val="left"/>
      <w:pPr>
        <w:ind w:left="5769" w:hanging="361"/>
      </w:pPr>
      <w:rPr>
        <w:rFonts w:hint="default"/>
        <w:lang w:val="en-US" w:eastAsia="en-US" w:bidi="ar-SA"/>
      </w:rPr>
    </w:lvl>
    <w:lvl w:ilvl="7" w:tplc="271EFEEC">
      <w:numFmt w:val="bullet"/>
      <w:lvlText w:val="•"/>
      <w:lvlJc w:val="left"/>
      <w:pPr>
        <w:ind w:left="6591" w:hanging="361"/>
      </w:pPr>
      <w:rPr>
        <w:rFonts w:hint="default"/>
        <w:lang w:val="en-US" w:eastAsia="en-US" w:bidi="ar-SA"/>
      </w:rPr>
    </w:lvl>
    <w:lvl w:ilvl="8" w:tplc="5F025C54">
      <w:numFmt w:val="bullet"/>
      <w:lvlText w:val="•"/>
      <w:lvlJc w:val="left"/>
      <w:pPr>
        <w:ind w:left="7412" w:hanging="361"/>
      </w:pPr>
      <w:rPr>
        <w:rFonts w:hint="default"/>
        <w:lang w:val="en-US" w:eastAsia="en-US" w:bidi="ar-SA"/>
      </w:rPr>
    </w:lvl>
  </w:abstractNum>
  <w:abstractNum w:abstractNumId="42" w15:restartNumberingAfterBreak="0">
    <w:nsid w:val="62704005"/>
    <w:multiLevelType w:val="hybridMultilevel"/>
    <w:tmpl w:val="5EEAA67C"/>
    <w:lvl w:ilvl="0" w:tplc="64020E00">
      <w:numFmt w:val="bullet"/>
      <w:lvlText w:val=""/>
      <w:lvlJc w:val="left"/>
      <w:pPr>
        <w:ind w:left="830" w:hanging="361"/>
      </w:pPr>
      <w:rPr>
        <w:rFonts w:ascii="Wingdings" w:eastAsia="Wingdings" w:hAnsi="Wingdings" w:cs="Wingdings" w:hint="default"/>
        <w:w w:val="100"/>
        <w:sz w:val="22"/>
        <w:szCs w:val="22"/>
        <w:lang w:val="en-US" w:eastAsia="en-US" w:bidi="ar-SA"/>
      </w:rPr>
    </w:lvl>
    <w:lvl w:ilvl="1" w:tplc="998C1D8C">
      <w:numFmt w:val="bullet"/>
      <w:lvlText w:val="•"/>
      <w:lvlJc w:val="left"/>
      <w:pPr>
        <w:ind w:left="1661" w:hanging="361"/>
      </w:pPr>
      <w:rPr>
        <w:rFonts w:hint="default"/>
        <w:lang w:val="en-US" w:eastAsia="en-US" w:bidi="ar-SA"/>
      </w:rPr>
    </w:lvl>
    <w:lvl w:ilvl="2" w:tplc="F1A60182">
      <w:numFmt w:val="bullet"/>
      <w:lvlText w:val="•"/>
      <w:lvlJc w:val="left"/>
      <w:pPr>
        <w:ind w:left="2483" w:hanging="361"/>
      </w:pPr>
      <w:rPr>
        <w:rFonts w:hint="default"/>
        <w:lang w:val="en-US" w:eastAsia="en-US" w:bidi="ar-SA"/>
      </w:rPr>
    </w:lvl>
    <w:lvl w:ilvl="3" w:tplc="1FB2414C">
      <w:numFmt w:val="bullet"/>
      <w:lvlText w:val="•"/>
      <w:lvlJc w:val="left"/>
      <w:pPr>
        <w:ind w:left="3304" w:hanging="361"/>
      </w:pPr>
      <w:rPr>
        <w:rFonts w:hint="default"/>
        <w:lang w:val="en-US" w:eastAsia="en-US" w:bidi="ar-SA"/>
      </w:rPr>
    </w:lvl>
    <w:lvl w:ilvl="4" w:tplc="5204C0C0">
      <w:numFmt w:val="bullet"/>
      <w:lvlText w:val="•"/>
      <w:lvlJc w:val="left"/>
      <w:pPr>
        <w:ind w:left="4126" w:hanging="361"/>
      </w:pPr>
      <w:rPr>
        <w:rFonts w:hint="default"/>
        <w:lang w:val="en-US" w:eastAsia="en-US" w:bidi="ar-SA"/>
      </w:rPr>
    </w:lvl>
    <w:lvl w:ilvl="5" w:tplc="3D7E929C">
      <w:numFmt w:val="bullet"/>
      <w:lvlText w:val="•"/>
      <w:lvlJc w:val="left"/>
      <w:pPr>
        <w:ind w:left="4948" w:hanging="361"/>
      </w:pPr>
      <w:rPr>
        <w:rFonts w:hint="default"/>
        <w:lang w:val="en-US" w:eastAsia="en-US" w:bidi="ar-SA"/>
      </w:rPr>
    </w:lvl>
    <w:lvl w:ilvl="6" w:tplc="FA90178A">
      <w:numFmt w:val="bullet"/>
      <w:lvlText w:val="•"/>
      <w:lvlJc w:val="left"/>
      <w:pPr>
        <w:ind w:left="5769" w:hanging="361"/>
      </w:pPr>
      <w:rPr>
        <w:rFonts w:hint="default"/>
        <w:lang w:val="en-US" w:eastAsia="en-US" w:bidi="ar-SA"/>
      </w:rPr>
    </w:lvl>
    <w:lvl w:ilvl="7" w:tplc="63F8B53C">
      <w:numFmt w:val="bullet"/>
      <w:lvlText w:val="•"/>
      <w:lvlJc w:val="left"/>
      <w:pPr>
        <w:ind w:left="6591" w:hanging="361"/>
      </w:pPr>
      <w:rPr>
        <w:rFonts w:hint="default"/>
        <w:lang w:val="en-US" w:eastAsia="en-US" w:bidi="ar-SA"/>
      </w:rPr>
    </w:lvl>
    <w:lvl w:ilvl="8" w:tplc="3770418C">
      <w:numFmt w:val="bullet"/>
      <w:lvlText w:val="•"/>
      <w:lvlJc w:val="left"/>
      <w:pPr>
        <w:ind w:left="7412" w:hanging="361"/>
      </w:pPr>
      <w:rPr>
        <w:rFonts w:hint="default"/>
        <w:lang w:val="en-US" w:eastAsia="en-US" w:bidi="ar-SA"/>
      </w:rPr>
    </w:lvl>
  </w:abstractNum>
  <w:abstractNum w:abstractNumId="43" w15:restartNumberingAfterBreak="0">
    <w:nsid w:val="638F229D"/>
    <w:multiLevelType w:val="hybridMultilevel"/>
    <w:tmpl w:val="4650FC1A"/>
    <w:lvl w:ilvl="0" w:tplc="270C4342">
      <w:numFmt w:val="bullet"/>
      <w:lvlText w:val=""/>
      <w:lvlJc w:val="left"/>
      <w:pPr>
        <w:ind w:left="830" w:hanging="361"/>
      </w:pPr>
      <w:rPr>
        <w:rFonts w:hint="default"/>
        <w:w w:val="100"/>
        <w:lang w:val="en-US" w:eastAsia="en-US" w:bidi="ar-SA"/>
      </w:rPr>
    </w:lvl>
    <w:lvl w:ilvl="1" w:tplc="C7B4BE8C">
      <w:numFmt w:val="bullet"/>
      <w:lvlText w:val="•"/>
      <w:lvlJc w:val="left"/>
      <w:pPr>
        <w:ind w:left="1661" w:hanging="361"/>
      </w:pPr>
      <w:rPr>
        <w:rFonts w:hint="default"/>
        <w:lang w:val="en-US" w:eastAsia="en-US" w:bidi="ar-SA"/>
      </w:rPr>
    </w:lvl>
    <w:lvl w:ilvl="2" w:tplc="B34CFA82">
      <w:numFmt w:val="bullet"/>
      <w:lvlText w:val="•"/>
      <w:lvlJc w:val="left"/>
      <w:pPr>
        <w:ind w:left="2483" w:hanging="361"/>
      </w:pPr>
      <w:rPr>
        <w:rFonts w:hint="default"/>
        <w:lang w:val="en-US" w:eastAsia="en-US" w:bidi="ar-SA"/>
      </w:rPr>
    </w:lvl>
    <w:lvl w:ilvl="3" w:tplc="F692F608">
      <w:numFmt w:val="bullet"/>
      <w:lvlText w:val="•"/>
      <w:lvlJc w:val="left"/>
      <w:pPr>
        <w:ind w:left="3304" w:hanging="361"/>
      </w:pPr>
      <w:rPr>
        <w:rFonts w:hint="default"/>
        <w:lang w:val="en-US" w:eastAsia="en-US" w:bidi="ar-SA"/>
      </w:rPr>
    </w:lvl>
    <w:lvl w:ilvl="4" w:tplc="34D2C5F2">
      <w:numFmt w:val="bullet"/>
      <w:lvlText w:val="•"/>
      <w:lvlJc w:val="left"/>
      <w:pPr>
        <w:ind w:left="4126" w:hanging="361"/>
      </w:pPr>
      <w:rPr>
        <w:rFonts w:hint="default"/>
        <w:lang w:val="en-US" w:eastAsia="en-US" w:bidi="ar-SA"/>
      </w:rPr>
    </w:lvl>
    <w:lvl w:ilvl="5" w:tplc="7396E452">
      <w:numFmt w:val="bullet"/>
      <w:lvlText w:val="•"/>
      <w:lvlJc w:val="left"/>
      <w:pPr>
        <w:ind w:left="4948" w:hanging="361"/>
      </w:pPr>
      <w:rPr>
        <w:rFonts w:hint="default"/>
        <w:lang w:val="en-US" w:eastAsia="en-US" w:bidi="ar-SA"/>
      </w:rPr>
    </w:lvl>
    <w:lvl w:ilvl="6" w:tplc="BB0A0D80">
      <w:numFmt w:val="bullet"/>
      <w:lvlText w:val="•"/>
      <w:lvlJc w:val="left"/>
      <w:pPr>
        <w:ind w:left="5769" w:hanging="361"/>
      </w:pPr>
      <w:rPr>
        <w:rFonts w:hint="default"/>
        <w:lang w:val="en-US" w:eastAsia="en-US" w:bidi="ar-SA"/>
      </w:rPr>
    </w:lvl>
    <w:lvl w:ilvl="7" w:tplc="35C2D428">
      <w:numFmt w:val="bullet"/>
      <w:lvlText w:val="•"/>
      <w:lvlJc w:val="left"/>
      <w:pPr>
        <w:ind w:left="6591" w:hanging="361"/>
      </w:pPr>
      <w:rPr>
        <w:rFonts w:hint="default"/>
        <w:lang w:val="en-US" w:eastAsia="en-US" w:bidi="ar-SA"/>
      </w:rPr>
    </w:lvl>
    <w:lvl w:ilvl="8" w:tplc="9B06CEDE">
      <w:numFmt w:val="bullet"/>
      <w:lvlText w:val="•"/>
      <w:lvlJc w:val="left"/>
      <w:pPr>
        <w:ind w:left="7412" w:hanging="361"/>
      </w:pPr>
      <w:rPr>
        <w:rFonts w:hint="default"/>
        <w:lang w:val="en-US" w:eastAsia="en-US" w:bidi="ar-SA"/>
      </w:rPr>
    </w:lvl>
  </w:abstractNum>
  <w:abstractNum w:abstractNumId="44" w15:restartNumberingAfterBreak="0">
    <w:nsid w:val="6FE1640C"/>
    <w:multiLevelType w:val="hybridMultilevel"/>
    <w:tmpl w:val="ECAC1C36"/>
    <w:lvl w:ilvl="0" w:tplc="9EB88FDA">
      <w:numFmt w:val="bullet"/>
      <w:lvlText w:val=""/>
      <w:lvlJc w:val="left"/>
      <w:pPr>
        <w:ind w:left="830" w:hanging="361"/>
      </w:pPr>
      <w:rPr>
        <w:rFonts w:ascii="Wingdings" w:eastAsia="Wingdings" w:hAnsi="Wingdings" w:cs="Wingdings" w:hint="default"/>
        <w:w w:val="100"/>
        <w:sz w:val="22"/>
        <w:szCs w:val="22"/>
        <w:lang w:val="en-US" w:eastAsia="en-US" w:bidi="ar-SA"/>
      </w:rPr>
    </w:lvl>
    <w:lvl w:ilvl="1" w:tplc="03CAB2FA">
      <w:numFmt w:val="bullet"/>
      <w:lvlText w:val="•"/>
      <w:lvlJc w:val="left"/>
      <w:pPr>
        <w:ind w:left="1661" w:hanging="361"/>
      </w:pPr>
      <w:rPr>
        <w:rFonts w:hint="default"/>
        <w:lang w:val="en-US" w:eastAsia="en-US" w:bidi="ar-SA"/>
      </w:rPr>
    </w:lvl>
    <w:lvl w:ilvl="2" w:tplc="94C8270E">
      <w:numFmt w:val="bullet"/>
      <w:lvlText w:val="•"/>
      <w:lvlJc w:val="left"/>
      <w:pPr>
        <w:ind w:left="2483" w:hanging="361"/>
      </w:pPr>
      <w:rPr>
        <w:rFonts w:hint="default"/>
        <w:lang w:val="en-US" w:eastAsia="en-US" w:bidi="ar-SA"/>
      </w:rPr>
    </w:lvl>
    <w:lvl w:ilvl="3" w:tplc="CE367CB4">
      <w:numFmt w:val="bullet"/>
      <w:lvlText w:val="•"/>
      <w:lvlJc w:val="left"/>
      <w:pPr>
        <w:ind w:left="3304" w:hanging="361"/>
      </w:pPr>
      <w:rPr>
        <w:rFonts w:hint="default"/>
        <w:lang w:val="en-US" w:eastAsia="en-US" w:bidi="ar-SA"/>
      </w:rPr>
    </w:lvl>
    <w:lvl w:ilvl="4" w:tplc="A762E504">
      <w:numFmt w:val="bullet"/>
      <w:lvlText w:val="•"/>
      <w:lvlJc w:val="left"/>
      <w:pPr>
        <w:ind w:left="4126" w:hanging="361"/>
      </w:pPr>
      <w:rPr>
        <w:rFonts w:hint="default"/>
        <w:lang w:val="en-US" w:eastAsia="en-US" w:bidi="ar-SA"/>
      </w:rPr>
    </w:lvl>
    <w:lvl w:ilvl="5" w:tplc="67CC8782">
      <w:numFmt w:val="bullet"/>
      <w:lvlText w:val="•"/>
      <w:lvlJc w:val="left"/>
      <w:pPr>
        <w:ind w:left="4948" w:hanging="361"/>
      </w:pPr>
      <w:rPr>
        <w:rFonts w:hint="default"/>
        <w:lang w:val="en-US" w:eastAsia="en-US" w:bidi="ar-SA"/>
      </w:rPr>
    </w:lvl>
    <w:lvl w:ilvl="6" w:tplc="0DE8EFD8">
      <w:numFmt w:val="bullet"/>
      <w:lvlText w:val="•"/>
      <w:lvlJc w:val="left"/>
      <w:pPr>
        <w:ind w:left="5769" w:hanging="361"/>
      </w:pPr>
      <w:rPr>
        <w:rFonts w:hint="default"/>
        <w:lang w:val="en-US" w:eastAsia="en-US" w:bidi="ar-SA"/>
      </w:rPr>
    </w:lvl>
    <w:lvl w:ilvl="7" w:tplc="DD4A1B3C">
      <w:numFmt w:val="bullet"/>
      <w:lvlText w:val="•"/>
      <w:lvlJc w:val="left"/>
      <w:pPr>
        <w:ind w:left="6591" w:hanging="361"/>
      </w:pPr>
      <w:rPr>
        <w:rFonts w:hint="default"/>
        <w:lang w:val="en-US" w:eastAsia="en-US" w:bidi="ar-SA"/>
      </w:rPr>
    </w:lvl>
    <w:lvl w:ilvl="8" w:tplc="11B245C8">
      <w:numFmt w:val="bullet"/>
      <w:lvlText w:val="•"/>
      <w:lvlJc w:val="left"/>
      <w:pPr>
        <w:ind w:left="7412" w:hanging="361"/>
      </w:pPr>
      <w:rPr>
        <w:rFonts w:hint="default"/>
        <w:lang w:val="en-US" w:eastAsia="en-US" w:bidi="ar-SA"/>
      </w:rPr>
    </w:lvl>
  </w:abstractNum>
  <w:abstractNum w:abstractNumId="45" w15:restartNumberingAfterBreak="0">
    <w:nsid w:val="6FEA2480"/>
    <w:multiLevelType w:val="hybridMultilevel"/>
    <w:tmpl w:val="F4863DE0"/>
    <w:lvl w:ilvl="0" w:tplc="050A9DB0">
      <w:numFmt w:val="bullet"/>
      <w:lvlText w:val=""/>
      <w:lvlJc w:val="left"/>
      <w:pPr>
        <w:ind w:left="830" w:hanging="361"/>
      </w:pPr>
      <w:rPr>
        <w:rFonts w:ascii="Wingdings" w:eastAsia="Wingdings" w:hAnsi="Wingdings" w:cs="Wingdings" w:hint="default"/>
        <w:w w:val="100"/>
        <w:sz w:val="22"/>
        <w:szCs w:val="22"/>
        <w:lang w:val="en-US" w:eastAsia="en-US" w:bidi="ar-SA"/>
      </w:rPr>
    </w:lvl>
    <w:lvl w:ilvl="1" w:tplc="00FE4AFC">
      <w:numFmt w:val="bullet"/>
      <w:lvlText w:val="•"/>
      <w:lvlJc w:val="left"/>
      <w:pPr>
        <w:ind w:left="1661" w:hanging="361"/>
      </w:pPr>
      <w:rPr>
        <w:rFonts w:hint="default"/>
        <w:lang w:val="en-US" w:eastAsia="en-US" w:bidi="ar-SA"/>
      </w:rPr>
    </w:lvl>
    <w:lvl w:ilvl="2" w:tplc="1A884B8E">
      <w:numFmt w:val="bullet"/>
      <w:lvlText w:val="•"/>
      <w:lvlJc w:val="left"/>
      <w:pPr>
        <w:ind w:left="2483" w:hanging="361"/>
      </w:pPr>
      <w:rPr>
        <w:rFonts w:hint="default"/>
        <w:lang w:val="en-US" w:eastAsia="en-US" w:bidi="ar-SA"/>
      </w:rPr>
    </w:lvl>
    <w:lvl w:ilvl="3" w:tplc="1D664FEA">
      <w:numFmt w:val="bullet"/>
      <w:lvlText w:val="•"/>
      <w:lvlJc w:val="left"/>
      <w:pPr>
        <w:ind w:left="3304" w:hanging="361"/>
      </w:pPr>
      <w:rPr>
        <w:rFonts w:hint="default"/>
        <w:lang w:val="en-US" w:eastAsia="en-US" w:bidi="ar-SA"/>
      </w:rPr>
    </w:lvl>
    <w:lvl w:ilvl="4" w:tplc="14324A78">
      <w:numFmt w:val="bullet"/>
      <w:lvlText w:val="•"/>
      <w:lvlJc w:val="left"/>
      <w:pPr>
        <w:ind w:left="4126" w:hanging="361"/>
      </w:pPr>
      <w:rPr>
        <w:rFonts w:hint="default"/>
        <w:lang w:val="en-US" w:eastAsia="en-US" w:bidi="ar-SA"/>
      </w:rPr>
    </w:lvl>
    <w:lvl w:ilvl="5" w:tplc="2EC22FF8">
      <w:numFmt w:val="bullet"/>
      <w:lvlText w:val="•"/>
      <w:lvlJc w:val="left"/>
      <w:pPr>
        <w:ind w:left="4948" w:hanging="361"/>
      </w:pPr>
      <w:rPr>
        <w:rFonts w:hint="default"/>
        <w:lang w:val="en-US" w:eastAsia="en-US" w:bidi="ar-SA"/>
      </w:rPr>
    </w:lvl>
    <w:lvl w:ilvl="6" w:tplc="A09269F0">
      <w:numFmt w:val="bullet"/>
      <w:lvlText w:val="•"/>
      <w:lvlJc w:val="left"/>
      <w:pPr>
        <w:ind w:left="5769" w:hanging="361"/>
      </w:pPr>
      <w:rPr>
        <w:rFonts w:hint="default"/>
        <w:lang w:val="en-US" w:eastAsia="en-US" w:bidi="ar-SA"/>
      </w:rPr>
    </w:lvl>
    <w:lvl w:ilvl="7" w:tplc="A4E46000">
      <w:numFmt w:val="bullet"/>
      <w:lvlText w:val="•"/>
      <w:lvlJc w:val="left"/>
      <w:pPr>
        <w:ind w:left="6591" w:hanging="361"/>
      </w:pPr>
      <w:rPr>
        <w:rFonts w:hint="default"/>
        <w:lang w:val="en-US" w:eastAsia="en-US" w:bidi="ar-SA"/>
      </w:rPr>
    </w:lvl>
    <w:lvl w:ilvl="8" w:tplc="6CD81548">
      <w:numFmt w:val="bullet"/>
      <w:lvlText w:val="•"/>
      <w:lvlJc w:val="left"/>
      <w:pPr>
        <w:ind w:left="7412" w:hanging="361"/>
      </w:pPr>
      <w:rPr>
        <w:rFonts w:hint="default"/>
        <w:lang w:val="en-US" w:eastAsia="en-US" w:bidi="ar-SA"/>
      </w:rPr>
    </w:lvl>
  </w:abstractNum>
  <w:abstractNum w:abstractNumId="46" w15:restartNumberingAfterBreak="0">
    <w:nsid w:val="7A1F4796"/>
    <w:multiLevelType w:val="hybridMultilevel"/>
    <w:tmpl w:val="F56CF150"/>
    <w:lvl w:ilvl="0" w:tplc="103E86CE">
      <w:numFmt w:val="bullet"/>
      <w:lvlText w:val=""/>
      <w:lvlJc w:val="left"/>
      <w:pPr>
        <w:ind w:left="830" w:hanging="361"/>
      </w:pPr>
      <w:rPr>
        <w:rFonts w:ascii="Wingdings" w:eastAsia="Wingdings" w:hAnsi="Wingdings" w:cs="Wingdings" w:hint="default"/>
        <w:w w:val="100"/>
        <w:sz w:val="22"/>
        <w:szCs w:val="22"/>
        <w:lang w:val="en-US" w:eastAsia="en-US" w:bidi="ar-SA"/>
      </w:rPr>
    </w:lvl>
    <w:lvl w:ilvl="1" w:tplc="31969826">
      <w:numFmt w:val="bullet"/>
      <w:lvlText w:val="•"/>
      <w:lvlJc w:val="left"/>
      <w:pPr>
        <w:ind w:left="1661" w:hanging="361"/>
      </w:pPr>
      <w:rPr>
        <w:rFonts w:hint="default"/>
        <w:lang w:val="en-US" w:eastAsia="en-US" w:bidi="ar-SA"/>
      </w:rPr>
    </w:lvl>
    <w:lvl w:ilvl="2" w:tplc="88E8C962">
      <w:numFmt w:val="bullet"/>
      <w:lvlText w:val="•"/>
      <w:lvlJc w:val="left"/>
      <w:pPr>
        <w:ind w:left="2483" w:hanging="361"/>
      </w:pPr>
      <w:rPr>
        <w:rFonts w:hint="default"/>
        <w:lang w:val="en-US" w:eastAsia="en-US" w:bidi="ar-SA"/>
      </w:rPr>
    </w:lvl>
    <w:lvl w:ilvl="3" w:tplc="4DF4DB32">
      <w:numFmt w:val="bullet"/>
      <w:lvlText w:val="•"/>
      <w:lvlJc w:val="left"/>
      <w:pPr>
        <w:ind w:left="3304" w:hanging="361"/>
      </w:pPr>
      <w:rPr>
        <w:rFonts w:hint="default"/>
        <w:lang w:val="en-US" w:eastAsia="en-US" w:bidi="ar-SA"/>
      </w:rPr>
    </w:lvl>
    <w:lvl w:ilvl="4" w:tplc="95CADE5E">
      <w:numFmt w:val="bullet"/>
      <w:lvlText w:val="•"/>
      <w:lvlJc w:val="left"/>
      <w:pPr>
        <w:ind w:left="4126" w:hanging="361"/>
      </w:pPr>
      <w:rPr>
        <w:rFonts w:hint="default"/>
        <w:lang w:val="en-US" w:eastAsia="en-US" w:bidi="ar-SA"/>
      </w:rPr>
    </w:lvl>
    <w:lvl w:ilvl="5" w:tplc="574C830C">
      <w:numFmt w:val="bullet"/>
      <w:lvlText w:val="•"/>
      <w:lvlJc w:val="left"/>
      <w:pPr>
        <w:ind w:left="4948" w:hanging="361"/>
      </w:pPr>
      <w:rPr>
        <w:rFonts w:hint="default"/>
        <w:lang w:val="en-US" w:eastAsia="en-US" w:bidi="ar-SA"/>
      </w:rPr>
    </w:lvl>
    <w:lvl w:ilvl="6" w:tplc="08EA32FE">
      <w:numFmt w:val="bullet"/>
      <w:lvlText w:val="•"/>
      <w:lvlJc w:val="left"/>
      <w:pPr>
        <w:ind w:left="5769" w:hanging="361"/>
      </w:pPr>
      <w:rPr>
        <w:rFonts w:hint="default"/>
        <w:lang w:val="en-US" w:eastAsia="en-US" w:bidi="ar-SA"/>
      </w:rPr>
    </w:lvl>
    <w:lvl w:ilvl="7" w:tplc="9E8017BE">
      <w:numFmt w:val="bullet"/>
      <w:lvlText w:val="•"/>
      <w:lvlJc w:val="left"/>
      <w:pPr>
        <w:ind w:left="6591" w:hanging="361"/>
      </w:pPr>
      <w:rPr>
        <w:rFonts w:hint="default"/>
        <w:lang w:val="en-US" w:eastAsia="en-US" w:bidi="ar-SA"/>
      </w:rPr>
    </w:lvl>
    <w:lvl w:ilvl="8" w:tplc="2EA8312A">
      <w:numFmt w:val="bullet"/>
      <w:lvlText w:val="•"/>
      <w:lvlJc w:val="left"/>
      <w:pPr>
        <w:ind w:left="7412" w:hanging="361"/>
      </w:pPr>
      <w:rPr>
        <w:rFonts w:hint="default"/>
        <w:lang w:val="en-US" w:eastAsia="en-US" w:bidi="ar-SA"/>
      </w:rPr>
    </w:lvl>
  </w:abstractNum>
  <w:abstractNum w:abstractNumId="47" w15:restartNumberingAfterBreak="0">
    <w:nsid w:val="7C9A701F"/>
    <w:multiLevelType w:val="hybridMultilevel"/>
    <w:tmpl w:val="6F78DED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7D782CBD"/>
    <w:multiLevelType w:val="hybridMultilevel"/>
    <w:tmpl w:val="6F78DED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010379065">
    <w:abstractNumId w:val="0"/>
  </w:num>
  <w:num w:numId="2" w16cid:durableId="1745449326">
    <w:abstractNumId w:val="35"/>
  </w:num>
  <w:num w:numId="3" w16cid:durableId="27797044">
    <w:abstractNumId w:val="12"/>
  </w:num>
  <w:num w:numId="4" w16cid:durableId="2139954345">
    <w:abstractNumId w:val="11"/>
  </w:num>
  <w:num w:numId="5" w16cid:durableId="1535801707">
    <w:abstractNumId w:val="8"/>
  </w:num>
  <w:num w:numId="6" w16cid:durableId="841972424">
    <w:abstractNumId w:val="27"/>
  </w:num>
  <w:num w:numId="7" w16cid:durableId="1371800376">
    <w:abstractNumId w:val="20"/>
  </w:num>
  <w:num w:numId="8" w16cid:durableId="1453741797">
    <w:abstractNumId w:val="46"/>
  </w:num>
  <w:num w:numId="9" w16cid:durableId="17707144">
    <w:abstractNumId w:val="44"/>
  </w:num>
  <w:num w:numId="10" w16cid:durableId="1428694954">
    <w:abstractNumId w:val="33"/>
  </w:num>
  <w:num w:numId="11" w16cid:durableId="999239504">
    <w:abstractNumId w:val="38"/>
  </w:num>
  <w:num w:numId="12" w16cid:durableId="1060792397">
    <w:abstractNumId w:val="2"/>
  </w:num>
  <w:num w:numId="13" w16cid:durableId="1648629609">
    <w:abstractNumId w:val="25"/>
  </w:num>
  <w:num w:numId="14" w16cid:durableId="26566980">
    <w:abstractNumId w:val="24"/>
  </w:num>
  <w:num w:numId="15" w16cid:durableId="1241793080">
    <w:abstractNumId w:val="22"/>
  </w:num>
  <w:num w:numId="16" w16cid:durableId="1587154109">
    <w:abstractNumId w:val="32"/>
  </w:num>
  <w:num w:numId="17" w16cid:durableId="1789271944">
    <w:abstractNumId w:val="5"/>
  </w:num>
  <w:num w:numId="18" w16cid:durableId="570194216">
    <w:abstractNumId w:val="13"/>
  </w:num>
  <w:num w:numId="19" w16cid:durableId="1269002073">
    <w:abstractNumId w:val="36"/>
  </w:num>
  <w:num w:numId="20" w16cid:durableId="999501072">
    <w:abstractNumId w:val="41"/>
  </w:num>
  <w:num w:numId="21" w16cid:durableId="1828545652">
    <w:abstractNumId w:val="10"/>
  </w:num>
  <w:num w:numId="22" w16cid:durableId="725419156">
    <w:abstractNumId w:val="43"/>
  </w:num>
  <w:num w:numId="23" w16cid:durableId="1961647918">
    <w:abstractNumId w:val="23"/>
  </w:num>
  <w:num w:numId="24" w16cid:durableId="1630745000">
    <w:abstractNumId w:val="31"/>
  </w:num>
  <w:num w:numId="25" w16cid:durableId="1384252527">
    <w:abstractNumId w:val="14"/>
  </w:num>
  <w:num w:numId="26" w16cid:durableId="1581787736">
    <w:abstractNumId w:val="6"/>
  </w:num>
  <w:num w:numId="27" w16cid:durableId="486440613">
    <w:abstractNumId w:val="45"/>
  </w:num>
  <w:num w:numId="28" w16cid:durableId="540746370">
    <w:abstractNumId w:val="21"/>
  </w:num>
  <w:num w:numId="29" w16cid:durableId="1226406196">
    <w:abstractNumId w:val="17"/>
  </w:num>
  <w:num w:numId="30" w16cid:durableId="1347173794">
    <w:abstractNumId w:val="26"/>
  </w:num>
  <w:num w:numId="31" w16cid:durableId="1705903437">
    <w:abstractNumId w:val="40"/>
  </w:num>
  <w:num w:numId="32" w16cid:durableId="1150244385">
    <w:abstractNumId w:val="42"/>
  </w:num>
  <w:num w:numId="33" w16cid:durableId="459538967">
    <w:abstractNumId w:val="16"/>
  </w:num>
  <w:num w:numId="34" w16cid:durableId="841971514">
    <w:abstractNumId w:val="3"/>
  </w:num>
  <w:num w:numId="35" w16cid:durableId="1240285835">
    <w:abstractNumId w:val="15"/>
  </w:num>
  <w:num w:numId="36" w16cid:durableId="568808457">
    <w:abstractNumId w:val="7"/>
  </w:num>
  <w:num w:numId="37" w16cid:durableId="325861463">
    <w:abstractNumId w:val="1"/>
  </w:num>
  <w:num w:numId="38" w16cid:durableId="1791318426">
    <w:abstractNumId w:val="39"/>
  </w:num>
  <w:num w:numId="39" w16cid:durableId="1679884417">
    <w:abstractNumId w:val="28"/>
  </w:num>
  <w:num w:numId="40" w16cid:durableId="745223772">
    <w:abstractNumId w:val="9"/>
  </w:num>
  <w:num w:numId="41" w16cid:durableId="1938252706">
    <w:abstractNumId w:val="30"/>
  </w:num>
  <w:num w:numId="42" w16cid:durableId="2131197871">
    <w:abstractNumId w:val="19"/>
  </w:num>
  <w:num w:numId="43" w16cid:durableId="377439984">
    <w:abstractNumId w:val="47"/>
  </w:num>
  <w:num w:numId="44" w16cid:durableId="1928687114">
    <w:abstractNumId w:val="29"/>
  </w:num>
  <w:num w:numId="45" w16cid:durableId="66075276">
    <w:abstractNumId w:val="37"/>
  </w:num>
  <w:num w:numId="46" w16cid:durableId="860045160">
    <w:abstractNumId w:val="34"/>
  </w:num>
  <w:num w:numId="47" w16cid:durableId="57480135">
    <w:abstractNumId w:val="48"/>
  </w:num>
  <w:num w:numId="48" w16cid:durableId="570047729">
    <w:abstractNumId w:val="18"/>
  </w:num>
  <w:num w:numId="49" w16cid:durableId="10691097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B777E"/>
    <w:rsid w:val="000128C1"/>
    <w:rsid w:val="0002771D"/>
    <w:rsid w:val="00034602"/>
    <w:rsid w:val="000351FA"/>
    <w:rsid w:val="000636A7"/>
    <w:rsid w:val="00074645"/>
    <w:rsid w:val="00076A41"/>
    <w:rsid w:val="0008129B"/>
    <w:rsid w:val="00083990"/>
    <w:rsid w:val="000858DA"/>
    <w:rsid w:val="00090DDF"/>
    <w:rsid w:val="00092F6D"/>
    <w:rsid w:val="000A3522"/>
    <w:rsid w:val="000D0006"/>
    <w:rsid w:val="000E204E"/>
    <w:rsid w:val="000E5FB9"/>
    <w:rsid w:val="00117379"/>
    <w:rsid w:val="0012585D"/>
    <w:rsid w:val="001347CC"/>
    <w:rsid w:val="00144288"/>
    <w:rsid w:val="00155AAB"/>
    <w:rsid w:val="00167133"/>
    <w:rsid w:val="00180DD8"/>
    <w:rsid w:val="00190627"/>
    <w:rsid w:val="00194DA9"/>
    <w:rsid w:val="00196764"/>
    <w:rsid w:val="001A4607"/>
    <w:rsid w:val="001C3710"/>
    <w:rsid w:val="001E2ABE"/>
    <w:rsid w:val="00200295"/>
    <w:rsid w:val="0020438D"/>
    <w:rsid w:val="00224328"/>
    <w:rsid w:val="002439BF"/>
    <w:rsid w:val="002470D6"/>
    <w:rsid w:val="00252B98"/>
    <w:rsid w:val="00260980"/>
    <w:rsid w:val="00262C5D"/>
    <w:rsid w:val="002630EA"/>
    <w:rsid w:val="00264B1B"/>
    <w:rsid w:val="00273AD5"/>
    <w:rsid w:val="00275EFC"/>
    <w:rsid w:val="0027794E"/>
    <w:rsid w:val="002850BF"/>
    <w:rsid w:val="00291B23"/>
    <w:rsid w:val="002A1C85"/>
    <w:rsid w:val="002A5707"/>
    <w:rsid w:val="002A6988"/>
    <w:rsid w:val="002B1D4D"/>
    <w:rsid w:val="002D1A47"/>
    <w:rsid w:val="002D73DA"/>
    <w:rsid w:val="002E44BC"/>
    <w:rsid w:val="002F336D"/>
    <w:rsid w:val="002F42D9"/>
    <w:rsid w:val="0030525F"/>
    <w:rsid w:val="00313602"/>
    <w:rsid w:val="003155B2"/>
    <w:rsid w:val="00316BFF"/>
    <w:rsid w:val="0031761E"/>
    <w:rsid w:val="00334FD8"/>
    <w:rsid w:val="00354DE8"/>
    <w:rsid w:val="00376EFB"/>
    <w:rsid w:val="003B0522"/>
    <w:rsid w:val="003B777E"/>
    <w:rsid w:val="003C05D9"/>
    <w:rsid w:val="004079F9"/>
    <w:rsid w:val="004141C0"/>
    <w:rsid w:val="00415228"/>
    <w:rsid w:val="00420A47"/>
    <w:rsid w:val="004212C9"/>
    <w:rsid w:val="004541EB"/>
    <w:rsid w:val="004547A8"/>
    <w:rsid w:val="00456108"/>
    <w:rsid w:val="004731B3"/>
    <w:rsid w:val="004C0032"/>
    <w:rsid w:val="004D0DD6"/>
    <w:rsid w:val="004F594F"/>
    <w:rsid w:val="005065DB"/>
    <w:rsid w:val="00510594"/>
    <w:rsid w:val="005215E7"/>
    <w:rsid w:val="00522880"/>
    <w:rsid w:val="005232D5"/>
    <w:rsid w:val="00575805"/>
    <w:rsid w:val="00581D82"/>
    <w:rsid w:val="00585CB2"/>
    <w:rsid w:val="005A733C"/>
    <w:rsid w:val="005B3170"/>
    <w:rsid w:val="005D0755"/>
    <w:rsid w:val="005D0EEB"/>
    <w:rsid w:val="005D5663"/>
    <w:rsid w:val="005F1575"/>
    <w:rsid w:val="00607567"/>
    <w:rsid w:val="006126D0"/>
    <w:rsid w:val="00622B7F"/>
    <w:rsid w:val="00654B0D"/>
    <w:rsid w:val="00664547"/>
    <w:rsid w:val="006A3BDE"/>
    <w:rsid w:val="006E0F2F"/>
    <w:rsid w:val="006E3650"/>
    <w:rsid w:val="006E5E8E"/>
    <w:rsid w:val="006F11A1"/>
    <w:rsid w:val="00721D8F"/>
    <w:rsid w:val="0074798E"/>
    <w:rsid w:val="00753B4E"/>
    <w:rsid w:val="00754633"/>
    <w:rsid w:val="00755AAA"/>
    <w:rsid w:val="00767B55"/>
    <w:rsid w:val="00793D14"/>
    <w:rsid w:val="0079769F"/>
    <w:rsid w:val="007B7100"/>
    <w:rsid w:val="007C2BC3"/>
    <w:rsid w:val="007D1501"/>
    <w:rsid w:val="007E0FC8"/>
    <w:rsid w:val="007E1022"/>
    <w:rsid w:val="007E5810"/>
    <w:rsid w:val="007F0DEF"/>
    <w:rsid w:val="00812887"/>
    <w:rsid w:val="00814963"/>
    <w:rsid w:val="00826A6F"/>
    <w:rsid w:val="00826B74"/>
    <w:rsid w:val="00844E95"/>
    <w:rsid w:val="00855CFB"/>
    <w:rsid w:val="0087796A"/>
    <w:rsid w:val="008915F0"/>
    <w:rsid w:val="008D32C6"/>
    <w:rsid w:val="008E7590"/>
    <w:rsid w:val="0090586E"/>
    <w:rsid w:val="00906982"/>
    <w:rsid w:val="00910D94"/>
    <w:rsid w:val="0091571B"/>
    <w:rsid w:val="00936FD1"/>
    <w:rsid w:val="00964005"/>
    <w:rsid w:val="009642E0"/>
    <w:rsid w:val="00984B39"/>
    <w:rsid w:val="009920A7"/>
    <w:rsid w:val="009920AB"/>
    <w:rsid w:val="00995528"/>
    <w:rsid w:val="009B5839"/>
    <w:rsid w:val="009F5552"/>
    <w:rsid w:val="00A2007B"/>
    <w:rsid w:val="00A26A37"/>
    <w:rsid w:val="00A27B70"/>
    <w:rsid w:val="00A37477"/>
    <w:rsid w:val="00A423BE"/>
    <w:rsid w:val="00A714A2"/>
    <w:rsid w:val="00AC3C8F"/>
    <w:rsid w:val="00AE26E1"/>
    <w:rsid w:val="00AF0312"/>
    <w:rsid w:val="00B073E4"/>
    <w:rsid w:val="00B16751"/>
    <w:rsid w:val="00B26778"/>
    <w:rsid w:val="00B32D33"/>
    <w:rsid w:val="00B4767C"/>
    <w:rsid w:val="00B520A8"/>
    <w:rsid w:val="00B716EE"/>
    <w:rsid w:val="00BA3AB9"/>
    <w:rsid w:val="00BC3576"/>
    <w:rsid w:val="00BC408D"/>
    <w:rsid w:val="00BC4DE4"/>
    <w:rsid w:val="00BD09A6"/>
    <w:rsid w:val="00BE3A20"/>
    <w:rsid w:val="00C055E8"/>
    <w:rsid w:val="00C5135A"/>
    <w:rsid w:val="00C570E6"/>
    <w:rsid w:val="00C57E0E"/>
    <w:rsid w:val="00C63B6C"/>
    <w:rsid w:val="00C73858"/>
    <w:rsid w:val="00C77C75"/>
    <w:rsid w:val="00C977CE"/>
    <w:rsid w:val="00CA4B18"/>
    <w:rsid w:val="00CD384E"/>
    <w:rsid w:val="00CE3E5E"/>
    <w:rsid w:val="00CF2EC6"/>
    <w:rsid w:val="00D60CB6"/>
    <w:rsid w:val="00D66811"/>
    <w:rsid w:val="00D871DC"/>
    <w:rsid w:val="00DC0EA1"/>
    <w:rsid w:val="00DD04E7"/>
    <w:rsid w:val="00E10F8E"/>
    <w:rsid w:val="00E4440F"/>
    <w:rsid w:val="00E47FB6"/>
    <w:rsid w:val="00E51BE7"/>
    <w:rsid w:val="00E52591"/>
    <w:rsid w:val="00E93915"/>
    <w:rsid w:val="00E968F4"/>
    <w:rsid w:val="00EA071B"/>
    <w:rsid w:val="00EA2B54"/>
    <w:rsid w:val="00EA5596"/>
    <w:rsid w:val="00EB4A75"/>
    <w:rsid w:val="00EC32C6"/>
    <w:rsid w:val="00ED2EDD"/>
    <w:rsid w:val="00EF71FE"/>
    <w:rsid w:val="00F075C1"/>
    <w:rsid w:val="00F17AFB"/>
    <w:rsid w:val="00F27988"/>
    <w:rsid w:val="00F30880"/>
    <w:rsid w:val="00F3144F"/>
    <w:rsid w:val="00F5410A"/>
    <w:rsid w:val="00F612D4"/>
    <w:rsid w:val="00F76136"/>
    <w:rsid w:val="00F95277"/>
    <w:rsid w:val="00FA63B1"/>
    <w:rsid w:val="00FB4C76"/>
    <w:rsid w:val="00FE615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018C77"/>
  <w15:docId w15:val="{239C7185-5DB8-41EA-BFCF-097B9E665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0F2F"/>
    <w:rPr>
      <w:rFonts w:ascii="Arial MT" w:eastAsia="Arial MT" w:hAnsi="Arial MT" w:cs="Arial MT"/>
      <w:lang w:val="en-GB"/>
    </w:rPr>
  </w:style>
  <w:style w:type="paragraph" w:styleId="Heading1">
    <w:name w:val="heading 1"/>
    <w:basedOn w:val="Normal"/>
    <w:link w:val="Heading1Char"/>
    <w:uiPriority w:val="9"/>
    <w:qFormat/>
    <w:pPr>
      <w:spacing w:before="85"/>
      <w:ind w:left="1416"/>
      <w:outlineLvl w:val="0"/>
    </w:pPr>
    <w:rPr>
      <w:rFonts w:ascii="Arial" w:eastAsia="Arial" w:hAnsi="Arial" w:cs="Arial"/>
      <w:b/>
      <w:bCs/>
      <w:sz w:val="40"/>
      <w:szCs w:val="40"/>
    </w:rPr>
  </w:style>
  <w:style w:type="paragraph" w:styleId="Heading2">
    <w:name w:val="heading 2"/>
    <w:basedOn w:val="Normal"/>
    <w:next w:val="Normal"/>
    <w:link w:val="Heading2Char"/>
    <w:uiPriority w:val="9"/>
    <w:unhideWhenUsed/>
    <w:qFormat/>
    <w:rsid w:val="000E5FB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OC1">
    <w:name w:val="toc 1"/>
    <w:basedOn w:val="Normal"/>
    <w:uiPriority w:val="39"/>
    <w:qFormat/>
    <w:pPr>
      <w:spacing w:before="100"/>
      <w:ind w:left="1416"/>
    </w:pPr>
    <w:rPr>
      <w:rFonts w:ascii="Calibri" w:eastAsia="Calibri" w:hAnsi="Calibri" w:cs="Calibri"/>
      <w:b/>
      <w:bCs/>
      <w:sz w:val="24"/>
      <w:szCs w:val="24"/>
    </w:rPr>
  </w:style>
  <w:style w:type="paragraph" w:styleId="TOC2">
    <w:name w:val="toc 2"/>
    <w:basedOn w:val="Normal"/>
    <w:uiPriority w:val="39"/>
    <w:qFormat/>
    <w:pPr>
      <w:spacing w:before="101"/>
      <w:ind w:left="2122"/>
    </w:pPr>
    <w:rPr>
      <w:rFonts w:ascii="Calibri" w:eastAsia="Calibri" w:hAnsi="Calibri" w:cs="Calibri"/>
      <w:sz w:val="24"/>
      <w:szCs w:val="24"/>
    </w:rPr>
  </w:style>
  <w:style w:type="paragraph" w:styleId="BodyText">
    <w:name w:val="Body Text"/>
    <w:basedOn w:val="Normal"/>
    <w:link w:val="BodyTextChar"/>
    <w:uiPriority w:val="1"/>
    <w:qFormat/>
    <w:rPr>
      <w:rFonts w:ascii="Arial" w:eastAsia="Arial" w:hAnsi="Arial" w:cs="Arial"/>
      <w:b/>
      <w:bCs/>
      <w:sz w:val="24"/>
      <w:szCs w:val="24"/>
    </w:rPr>
  </w:style>
  <w:style w:type="paragraph" w:styleId="ListParagraph">
    <w:name w:val="List Paragraph"/>
    <w:aliases w:val="Fiche List Paragraph,OBC Bullet,List Paragraph Char Char Char,Colorful List - Accent 11,List Paragraph11,2,Bullet St"/>
    <w:basedOn w:val="Normal"/>
    <w:link w:val="ListParagraphChar"/>
    <w:uiPriority w:val="34"/>
    <w:qFormat/>
  </w:style>
  <w:style w:type="paragraph" w:customStyle="1" w:styleId="TableParagraph">
    <w:name w:val="Table Paragraph"/>
    <w:basedOn w:val="Normal"/>
    <w:uiPriority w:val="1"/>
    <w:qFormat/>
    <w:pPr>
      <w:ind w:left="110"/>
    </w:pPr>
  </w:style>
  <w:style w:type="paragraph" w:styleId="Header">
    <w:name w:val="header"/>
    <w:basedOn w:val="Normal"/>
    <w:link w:val="HeaderChar"/>
    <w:uiPriority w:val="99"/>
    <w:unhideWhenUsed/>
    <w:rsid w:val="00B520A8"/>
    <w:pPr>
      <w:tabs>
        <w:tab w:val="center" w:pos="4536"/>
        <w:tab w:val="right" w:pos="9072"/>
      </w:tabs>
    </w:pPr>
  </w:style>
  <w:style w:type="character" w:customStyle="1" w:styleId="HeaderChar">
    <w:name w:val="Header Char"/>
    <w:basedOn w:val="DefaultParagraphFont"/>
    <w:link w:val="Header"/>
    <w:uiPriority w:val="99"/>
    <w:rsid w:val="00B520A8"/>
    <w:rPr>
      <w:rFonts w:ascii="Arial MT" w:eastAsia="Arial MT" w:hAnsi="Arial MT" w:cs="Arial MT"/>
    </w:rPr>
  </w:style>
  <w:style w:type="paragraph" w:styleId="Footer">
    <w:name w:val="footer"/>
    <w:basedOn w:val="Normal"/>
    <w:link w:val="FooterChar"/>
    <w:uiPriority w:val="99"/>
    <w:unhideWhenUsed/>
    <w:rsid w:val="00B520A8"/>
    <w:pPr>
      <w:tabs>
        <w:tab w:val="center" w:pos="4536"/>
        <w:tab w:val="right" w:pos="9072"/>
      </w:tabs>
    </w:pPr>
  </w:style>
  <w:style w:type="character" w:customStyle="1" w:styleId="FooterChar">
    <w:name w:val="Footer Char"/>
    <w:basedOn w:val="DefaultParagraphFont"/>
    <w:link w:val="Footer"/>
    <w:uiPriority w:val="99"/>
    <w:rsid w:val="00B520A8"/>
    <w:rPr>
      <w:rFonts w:ascii="Arial MT" w:eastAsia="Arial MT" w:hAnsi="Arial MT" w:cs="Arial MT"/>
    </w:rPr>
  </w:style>
  <w:style w:type="character" w:styleId="Hyperlink">
    <w:name w:val="Hyperlink"/>
    <w:basedOn w:val="DefaultParagraphFont"/>
    <w:uiPriority w:val="99"/>
    <w:unhideWhenUsed/>
    <w:rsid w:val="00B520A8"/>
    <w:rPr>
      <w:color w:val="0000FF" w:themeColor="hyperlink"/>
      <w:u w:val="single"/>
    </w:rPr>
  </w:style>
  <w:style w:type="character" w:styleId="UnresolvedMention">
    <w:name w:val="Unresolved Mention"/>
    <w:basedOn w:val="DefaultParagraphFont"/>
    <w:uiPriority w:val="99"/>
    <w:semiHidden/>
    <w:unhideWhenUsed/>
    <w:rsid w:val="00B520A8"/>
    <w:rPr>
      <w:color w:val="605E5C"/>
      <w:shd w:val="clear" w:color="auto" w:fill="E1DFDD"/>
    </w:rPr>
  </w:style>
  <w:style w:type="character" w:customStyle="1" w:styleId="BodyTextChar">
    <w:name w:val="Body Text Char"/>
    <w:basedOn w:val="DefaultParagraphFont"/>
    <w:link w:val="BodyText"/>
    <w:uiPriority w:val="1"/>
    <w:rsid w:val="002439BF"/>
    <w:rPr>
      <w:rFonts w:ascii="Arial" w:eastAsia="Arial" w:hAnsi="Arial" w:cs="Arial"/>
      <w:b/>
      <w:bCs/>
      <w:sz w:val="24"/>
      <w:szCs w:val="24"/>
    </w:rPr>
  </w:style>
  <w:style w:type="character" w:customStyle="1" w:styleId="Heading2Char">
    <w:name w:val="Heading 2 Char"/>
    <w:basedOn w:val="DefaultParagraphFont"/>
    <w:link w:val="Heading2"/>
    <w:uiPriority w:val="9"/>
    <w:rsid w:val="000E5FB9"/>
    <w:rPr>
      <w:rFonts w:asciiTheme="majorHAnsi" w:eastAsiaTheme="majorEastAsia" w:hAnsiTheme="majorHAnsi" w:cstheme="majorBidi"/>
      <w:color w:val="365F91" w:themeColor="accent1" w:themeShade="BF"/>
      <w:sz w:val="26"/>
      <w:szCs w:val="26"/>
    </w:rPr>
  </w:style>
  <w:style w:type="paragraph" w:styleId="TOCHeading">
    <w:name w:val="TOC Heading"/>
    <w:basedOn w:val="Heading1"/>
    <w:next w:val="Normal"/>
    <w:uiPriority w:val="39"/>
    <w:unhideWhenUsed/>
    <w:qFormat/>
    <w:rsid w:val="005F1575"/>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de-AT" w:eastAsia="de-AT"/>
    </w:rPr>
  </w:style>
  <w:style w:type="character" w:customStyle="1" w:styleId="Heading1Char">
    <w:name w:val="Heading 1 Char"/>
    <w:basedOn w:val="DefaultParagraphFont"/>
    <w:link w:val="Heading1"/>
    <w:uiPriority w:val="9"/>
    <w:rsid w:val="008D32C6"/>
    <w:rPr>
      <w:rFonts w:ascii="Arial" w:eastAsia="Arial" w:hAnsi="Arial" w:cs="Arial"/>
      <w:b/>
      <w:bCs/>
      <w:sz w:val="40"/>
      <w:szCs w:val="40"/>
    </w:rPr>
  </w:style>
  <w:style w:type="character" w:customStyle="1" w:styleId="ListParagraphChar">
    <w:name w:val="List Paragraph Char"/>
    <w:aliases w:val="Fiche List Paragraph Char,OBC Bullet Char,List Paragraph Char Char Char Char,Colorful List - Accent 11 Char,List Paragraph11 Char,2 Char,Bullet St Char"/>
    <w:link w:val="ListParagraph"/>
    <w:uiPriority w:val="34"/>
    <w:qFormat/>
    <w:locked/>
    <w:rsid w:val="00083990"/>
    <w:rPr>
      <w:rFonts w:ascii="Arial MT" w:eastAsia="Arial MT" w:hAnsi="Arial MT" w:cs="Arial MT"/>
    </w:rPr>
  </w:style>
  <w:style w:type="character" w:styleId="CommentReference">
    <w:name w:val="annotation reference"/>
    <w:basedOn w:val="DefaultParagraphFont"/>
    <w:uiPriority w:val="99"/>
    <w:semiHidden/>
    <w:unhideWhenUsed/>
    <w:rsid w:val="00092F6D"/>
    <w:rPr>
      <w:sz w:val="16"/>
      <w:szCs w:val="16"/>
    </w:rPr>
  </w:style>
  <w:style w:type="paragraph" w:styleId="CommentText">
    <w:name w:val="annotation text"/>
    <w:basedOn w:val="Normal"/>
    <w:link w:val="CommentTextChar"/>
    <w:uiPriority w:val="99"/>
    <w:semiHidden/>
    <w:unhideWhenUsed/>
    <w:rsid w:val="00092F6D"/>
    <w:rPr>
      <w:sz w:val="20"/>
      <w:szCs w:val="20"/>
    </w:rPr>
  </w:style>
  <w:style w:type="character" w:customStyle="1" w:styleId="CommentTextChar">
    <w:name w:val="Comment Text Char"/>
    <w:basedOn w:val="DefaultParagraphFont"/>
    <w:link w:val="CommentText"/>
    <w:uiPriority w:val="99"/>
    <w:semiHidden/>
    <w:rsid w:val="00092F6D"/>
    <w:rPr>
      <w:rFonts w:ascii="Arial MT" w:eastAsia="Arial MT" w:hAnsi="Arial MT" w:cs="Arial MT"/>
      <w:sz w:val="20"/>
      <w:szCs w:val="20"/>
      <w:lang w:val="en-GB"/>
    </w:rPr>
  </w:style>
  <w:style w:type="paragraph" w:styleId="CommentSubject">
    <w:name w:val="annotation subject"/>
    <w:basedOn w:val="CommentText"/>
    <w:next w:val="CommentText"/>
    <w:link w:val="CommentSubjectChar"/>
    <w:uiPriority w:val="99"/>
    <w:semiHidden/>
    <w:unhideWhenUsed/>
    <w:rsid w:val="00092F6D"/>
    <w:rPr>
      <w:b/>
      <w:bCs/>
    </w:rPr>
  </w:style>
  <w:style w:type="character" w:customStyle="1" w:styleId="CommentSubjectChar">
    <w:name w:val="Comment Subject Char"/>
    <w:basedOn w:val="CommentTextChar"/>
    <w:link w:val="CommentSubject"/>
    <w:uiPriority w:val="99"/>
    <w:semiHidden/>
    <w:rsid w:val="00092F6D"/>
    <w:rPr>
      <w:rFonts w:ascii="Arial MT" w:eastAsia="Arial MT" w:hAnsi="Arial MT" w:cs="Arial MT"/>
      <w:b/>
      <w:bCs/>
      <w:sz w:val="20"/>
      <w:szCs w:val="20"/>
      <w:lang w:val="en-GB"/>
    </w:rPr>
  </w:style>
  <w:style w:type="character" w:customStyle="1" w:styleId="cf01">
    <w:name w:val="cf01"/>
    <w:basedOn w:val="DefaultParagraphFont"/>
    <w:rsid w:val="00D871DC"/>
    <w:rPr>
      <w:rFonts w:ascii="Segoe UI" w:hAnsi="Segoe UI" w:cs="Segoe UI" w:hint="default"/>
      <w:sz w:val="18"/>
      <w:szCs w:val="18"/>
    </w:rPr>
  </w:style>
  <w:style w:type="paragraph" w:styleId="NoSpacing">
    <w:name w:val="No Spacing"/>
    <w:link w:val="NoSpacingChar"/>
    <w:uiPriority w:val="1"/>
    <w:qFormat/>
    <w:rsid w:val="004F594F"/>
    <w:pPr>
      <w:widowControl/>
      <w:autoSpaceDE/>
      <w:autoSpaceDN/>
    </w:pPr>
    <w:rPr>
      <w:rFonts w:eastAsiaTheme="minorEastAsia"/>
      <w:lang w:val="de-AT" w:eastAsia="de-AT"/>
    </w:rPr>
  </w:style>
  <w:style w:type="character" w:customStyle="1" w:styleId="NoSpacingChar">
    <w:name w:val="No Spacing Char"/>
    <w:basedOn w:val="DefaultParagraphFont"/>
    <w:link w:val="NoSpacing"/>
    <w:uiPriority w:val="1"/>
    <w:rsid w:val="004F594F"/>
    <w:rPr>
      <w:rFonts w:eastAsiaTheme="minorEastAsia"/>
      <w:lang w:val="de-AT" w:eastAsia="de-AT"/>
    </w:rPr>
  </w:style>
  <w:style w:type="paragraph" w:styleId="FootnoteText">
    <w:name w:val="footnote text"/>
    <w:basedOn w:val="Normal"/>
    <w:link w:val="FootnoteTextChar"/>
    <w:uiPriority w:val="99"/>
    <w:semiHidden/>
    <w:unhideWhenUsed/>
    <w:rsid w:val="000128C1"/>
    <w:rPr>
      <w:sz w:val="20"/>
      <w:szCs w:val="20"/>
    </w:rPr>
  </w:style>
  <w:style w:type="character" w:customStyle="1" w:styleId="FootnoteTextChar">
    <w:name w:val="Footnote Text Char"/>
    <w:basedOn w:val="DefaultParagraphFont"/>
    <w:link w:val="FootnoteText"/>
    <w:uiPriority w:val="99"/>
    <w:semiHidden/>
    <w:rsid w:val="000128C1"/>
    <w:rPr>
      <w:rFonts w:ascii="Arial MT" w:eastAsia="Arial MT" w:hAnsi="Arial MT" w:cs="Arial MT"/>
      <w:sz w:val="20"/>
      <w:szCs w:val="20"/>
      <w:lang w:val="en-GB"/>
    </w:rPr>
  </w:style>
  <w:style w:type="character" w:styleId="FootnoteReference">
    <w:name w:val="footnote reference"/>
    <w:basedOn w:val="DefaultParagraphFont"/>
    <w:uiPriority w:val="99"/>
    <w:semiHidden/>
    <w:unhideWhenUsed/>
    <w:rsid w:val="000128C1"/>
    <w:rPr>
      <w:vertAlign w:val="superscript"/>
    </w:rPr>
  </w:style>
  <w:style w:type="character" w:styleId="FollowedHyperlink">
    <w:name w:val="FollowedHyperlink"/>
    <w:basedOn w:val="DefaultParagraphFont"/>
    <w:uiPriority w:val="99"/>
    <w:semiHidden/>
    <w:unhideWhenUsed/>
    <w:rsid w:val="006E0F2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footer3.xml.rels><?xml version="1.0" encoding="UTF-8" standalone="yes"?>
<Relationships xmlns="http://schemas.openxmlformats.org/package/2006/relationships"><Relationship Id="rId2" Type="http://schemas.openxmlformats.org/officeDocument/2006/relationships/hyperlink" Target="mailto:jeremias.jobst@voewg.at" TargetMode="External"/><Relationship Id="rId1" Type="http://schemas.openxmlformats.org/officeDocument/2006/relationships/hyperlink" Target="mailto:jeremias.jobst@voewg.at"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mailto:jeremias.jobst@voewg.at" TargetMode="External"/></Relationships>
</file>

<file path=word/_rels/footer5.xml.rels><?xml version="1.0" encoding="UTF-8" standalone="yes"?>
<Relationships xmlns="http://schemas.openxmlformats.org/package/2006/relationships"><Relationship Id="rId2" Type="http://schemas.openxmlformats.org/officeDocument/2006/relationships/hyperlink" Target="mailto:jeremias.jobst@voewg.at" TargetMode="External"/><Relationship Id="rId1" Type="http://schemas.openxmlformats.org/officeDocument/2006/relationships/hyperlink" Target="mailto:jeremias.jobst@voewg.at"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mailto:jeremias.jobst@voewg.at" TargetMode="External"/></Relationships>
</file>

<file path=word/_rels/footer7.xml.rels><?xml version="1.0" encoding="UTF-8" standalone="yes"?>
<Relationships xmlns="http://schemas.openxmlformats.org/package/2006/relationships"><Relationship Id="rId2" Type="http://schemas.openxmlformats.org/officeDocument/2006/relationships/hyperlink" Target="mailto:jeremias.jobst@voewg.at" TargetMode="External"/><Relationship Id="rId1" Type="http://schemas.openxmlformats.org/officeDocument/2006/relationships/hyperlink" Target="mailto:jeremias.jobst@voewg.at"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mailto:jeremias.jobst@voewg.at" TargetMode="External"/></Relationships>
</file>

<file path=word/_rels/footer9.xml.rels><?xml version="1.0" encoding="UTF-8" standalone="yes"?>
<Relationships xmlns="http://schemas.openxmlformats.org/package/2006/relationships"><Relationship Id="rId1" Type="http://schemas.openxmlformats.org/officeDocument/2006/relationships/hyperlink" Target="mailto:jeremias.jobst@voewg.at"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voewg.eu.junglemailpages.com/link/?c=1378884b-2b72-46af-b4c6-83920b966d0f&amp;j=020d5351-1e57-456f-b1a3-04694064f617&amp;l=fc938d08-f2fd-4d20-80ea-f71993bd54c0&amp;e=765ddf88-7513-4853-acc3-8e07fd58961c&amp;p=1" TargetMode="External"/><Relationship Id="rId3" Type="http://schemas.openxmlformats.org/officeDocument/2006/relationships/hyperlink" Target="https://www.wirtschaftsdienst.eu/pdf-download/jahr/2015/heft/5/beitrag/die-oesterreichische-infrastrukturgesellschaft-%20%20%20%20asfinag-" TargetMode="External"/><Relationship Id="rId7" Type="http://schemas.openxmlformats.org/officeDocument/2006/relationships/hyperlink" Target="http://eur-lex.europa.eu/legal-%20%20%20content/DE/TXT/PDF/?uri=CELEX:32003H0361&amp;from=EN" TargetMode="External"/><Relationship Id="rId2" Type="http://schemas.openxmlformats.org/officeDocument/2006/relationships/hyperlink" Target="tps://www.esm.europa.eu/articles-and-op-eds/developing-eu" TargetMode="External"/><Relationship Id="rId1" Type="http://schemas.openxmlformats.org/officeDocument/2006/relationships/hyperlink" Target="https://taxation-customs.ec.europa.eu/carbon-border-%20adjustment-mechanism_en" TargetMode="External"/><Relationship Id="rId6" Type="http://schemas.openxmlformats.org/officeDocument/2006/relationships/hyperlink" Target="https://ec.europa.eu/commission/presscorner/api/files/document/print/en/ip_24_943/IP_24_943_EN.pdf" TargetMode="External"/><Relationship Id="rId5" Type="http://schemas.openxmlformats.org/officeDocument/2006/relationships/hyperlink" Target="https://ec.europa.eu/eurostat/documents/3859598/5925693/KS-02-13-269-%20%20%20%20%20%20EN.PDF.pdf/44cd9d01-bc64-40e5-bd40-%20%20%20%20%20d17df0c69334?t=1414781932000" TargetMode="External"/><Relationship Id="rId4" Type="http://schemas.openxmlformats.org/officeDocument/2006/relationships/hyperlink" Target="https://ec.europa.eu/eurostat/documents/3859598/5925693/KS-02-13-269-%20%20%20EN.PDF.pdf/44cd9d01-bc64-40e5-bd40-%20%20%20d17df0c69334?t=1414781932000"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6.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jpeg"/></Relationships>
</file>

<file path=word/_rels/header7.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jpeg"/></Relationships>
</file>

<file path=word/_rels/header9.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558817-B349-4A9A-8FDB-FA6A92927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12634</Words>
  <Characters>79596</Characters>
  <Application>Microsoft Office Word</Application>
  <DocSecurity>0</DocSecurity>
  <Lines>663</Lines>
  <Paragraphs>184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Lilli Fida</dc:creator>
  <cp:keywords>, docId:0DEB3C111284271F71C3808802860311</cp:keywords>
  <cp:lastModifiedBy>Maximilian Buchsteiner</cp:lastModifiedBy>
  <cp:revision>124</cp:revision>
  <cp:lastPrinted>2024-06-27T13:39:00Z</cp:lastPrinted>
  <dcterms:created xsi:type="dcterms:W3CDTF">2024-05-16T09:08:00Z</dcterms:created>
  <dcterms:modified xsi:type="dcterms:W3CDTF">2024-07-01T14:07:00Z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2024-05-16T00:00:00Z</vt:filetime>
  </property>
  <property fmtid="{D5CDD505-2E9C-101B-9397-08002B2CF9AE}" pid="3" name="Creator">
    <vt:lpwstr>Microsoft® Word 2016</vt:lpwstr>
  </property>
  <property fmtid="{D5CDD505-2E9C-101B-9397-08002B2CF9AE}" pid="4" name="LastSaved">
    <vt:filetime>2024-05-16T00:00:00Z</vt:filetime>
  </property>
</Properties>
</file>