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footer13.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4.xml" ContentType="application/vnd.openxmlformats-officedocument.wordprocessingml.footer+xml"/>
  <Override PartName="/word/header18.xml" ContentType="application/vnd.openxmlformats-officedocument.wordprocessingml.header+xml"/>
  <Override PartName="/word/footer15.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6.xml" ContentType="application/vnd.openxmlformats-officedocument.wordprocessingml.footer+xml"/>
  <Override PartName="/word/header21.xml" ContentType="application/vnd.openxmlformats-officedocument.wordprocessingml.header+xml"/>
  <Override PartName="/word/footer17.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18.xml" ContentType="application/vnd.openxmlformats-officedocument.wordprocessingml.footer+xml"/>
  <Override PartName="/word/header24.xml" ContentType="application/vnd.openxmlformats-officedocument.wordprocessingml.header+xml"/>
  <Override PartName="/word/footer19.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0.xml" ContentType="application/vnd.openxmlformats-officedocument.wordprocessingml.footer+xml"/>
  <Override PartName="/word/header27.xml" ContentType="application/vnd.openxmlformats-officedocument.wordprocessingml.header+xml"/>
  <Override PartName="/word/footer21.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2.xml" ContentType="application/vnd.openxmlformats-officedocument.wordprocessingml.footer+xml"/>
  <Override PartName="/word/header30.xml" ContentType="application/vnd.openxmlformats-officedocument.wordprocessingml.header+xml"/>
  <Override PartName="/word/footer23.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24.xml" ContentType="application/vnd.openxmlformats-officedocument.wordprocessingml.footer+xml"/>
  <Override PartName="/word/header33.xml" ContentType="application/vnd.openxmlformats-officedocument.wordprocessingml.header+xml"/>
  <Override PartName="/word/footer25.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26.xml" ContentType="application/vnd.openxmlformats-officedocument.wordprocessingml.footer+xml"/>
  <Override PartName="/word/header37.xml" ContentType="application/vnd.openxmlformats-officedocument.wordprocessingml.header+xml"/>
  <Override PartName="/word/footer27.xml" ContentType="application/vnd.openxmlformats-officedocument.wordprocessingml.footer+xml"/>
  <Override PartName="/word/header38.xml" ContentType="application/vnd.openxmlformats-officedocument.wordprocessingml.header+xml"/>
  <Override PartName="/word/footer28.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E00B7E" w14:textId="77777777" w:rsidR="00623AF8" w:rsidRDefault="00623AF8" w:rsidP="00623AF8">
      <w:pPr>
        <w:rPr>
          <w:rFonts w:ascii="Aptos" w:hAnsi="Aptos" w:cstheme="minorHAnsi"/>
          <w:b/>
          <w:bCs/>
          <w:spacing w:val="20"/>
          <w:sz w:val="22"/>
          <w:szCs w:val="22"/>
        </w:rPr>
      </w:pPr>
    </w:p>
    <w:p w14:paraId="6F25C3AD" w14:textId="77777777" w:rsidR="00623AF8" w:rsidRDefault="00623AF8" w:rsidP="00623AF8">
      <w:pPr>
        <w:rPr>
          <w:rFonts w:ascii="Aptos" w:hAnsi="Aptos" w:cstheme="minorHAnsi"/>
          <w:b/>
          <w:bCs/>
          <w:spacing w:val="20"/>
          <w:sz w:val="22"/>
          <w:szCs w:val="22"/>
        </w:rPr>
      </w:pPr>
    </w:p>
    <w:p w14:paraId="16D0BB10" w14:textId="77777777" w:rsidR="00623AF8" w:rsidRDefault="00623AF8" w:rsidP="00623AF8">
      <w:pPr>
        <w:rPr>
          <w:rFonts w:ascii="Aptos" w:hAnsi="Aptos" w:cstheme="minorHAnsi"/>
          <w:b/>
          <w:bCs/>
          <w:spacing w:val="20"/>
          <w:sz w:val="22"/>
          <w:szCs w:val="22"/>
        </w:rPr>
      </w:pPr>
    </w:p>
    <w:p w14:paraId="60A507FD" w14:textId="77777777" w:rsidR="00623AF8" w:rsidRDefault="00623AF8" w:rsidP="00623AF8">
      <w:pPr>
        <w:rPr>
          <w:rFonts w:ascii="Aptos" w:hAnsi="Aptos" w:cstheme="minorHAnsi"/>
          <w:b/>
          <w:bCs/>
          <w:spacing w:val="20"/>
          <w:sz w:val="22"/>
          <w:szCs w:val="22"/>
        </w:rPr>
      </w:pPr>
    </w:p>
    <w:p w14:paraId="36305113" w14:textId="77777777" w:rsidR="00623AF8" w:rsidRDefault="00623AF8" w:rsidP="00623AF8">
      <w:pPr>
        <w:rPr>
          <w:rFonts w:ascii="Aptos" w:hAnsi="Aptos" w:cstheme="minorHAnsi"/>
          <w:b/>
          <w:bCs/>
          <w:spacing w:val="20"/>
          <w:sz w:val="22"/>
          <w:szCs w:val="22"/>
        </w:rPr>
      </w:pPr>
    </w:p>
    <w:p w14:paraId="76A30969" w14:textId="77777777" w:rsidR="00623AF8" w:rsidRDefault="00623AF8" w:rsidP="00623AF8">
      <w:pPr>
        <w:rPr>
          <w:rFonts w:ascii="Aptos" w:hAnsi="Aptos" w:cstheme="minorHAnsi"/>
          <w:b/>
          <w:bCs/>
          <w:spacing w:val="20"/>
          <w:sz w:val="22"/>
          <w:szCs w:val="22"/>
        </w:rPr>
      </w:pPr>
    </w:p>
    <w:p w14:paraId="67ACF43B" w14:textId="77777777" w:rsidR="00623AF8" w:rsidRDefault="00623AF8" w:rsidP="00623AF8">
      <w:pPr>
        <w:rPr>
          <w:rFonts w:ascii="Aptos" w:hAnsi="Aptos" w:cstheme="minorHAnsi"/>
          <w:b/>
          <w:bCs/>
          <w:spacing w:val="20"/>
          <w:sz w:val="22"/>
          <w:szCs w:val="22"/>
        </w:rPr>
      </w:pPr>
    </w:p>
    <w:p w14:paraId="71227BA2" w14:textId="77777777" w:rsidR="00623AF8" w:rsidRDefault="00623AF8" w:rsidP="00623AF8">
      <w:pPr>
        <w:rPr>
          <w:rFonts w:ascii="Aptos" w:hAnsi="Aptos" w:cstheme="minorHAnsi"/>
          <w:b/>
          <w:bCs/>
          <w:spacing w:val="20"/>
          <w:sz w:val="22"/>
          <w:szCs w:val="22"/>
        </w:rPr>
      </w:pPr>
    </w:p>
    <w:p w14:paraId="52EDEDE3" w14:textId="77777777" w:rsidR="00623AF8" w:rsidRDefault="00623AF8" w:rsidP="00623AF8">
      <w:pPr>
        <w:rPr>
          <w:rFonts w:ascii="Aptos" w:hAnsi="Aptos" w:cstheme="minorHAnsi"/>
          <w:b/>
          <w:bCs/>
          <w:spacing w:val="20"/>
          <w:sz w:val="22"/>
          <w:szCs w:val="22"/>
        </w:rPr>
      </w:pPr>
    </w:p>
    <w:p w14:paraId="0CCBF702" w14:textId="77777777" w:rsidR="00623AF8" w:rsidRDefault="00623AF8" w:rsidP="00623AF8">
      <w:pPr>
        <w:rPr>
          <w:rFonts w:ascii="Aptos" w:hAnsi="Aptos" w:cstheme="minorHAnsi"/>
          <w:b/>
          <w:bCs/>
          <w:spacing w:val="20"/>
          <w:sz w:val="22"/>
          <w:szCs w:val="22"/>
        </w:rPr>
      </w:pPr>
    </w:p>
    <w:p w14:paraId="07CFBD87" w14:textId="77777777" w:rsidR="00623AF8" w:rsidRDefault="00623AF8" w:rsidP="00623AF8">
      <w:pPr>
        <w:rPr>
          <w:rFonts w:ascii="Aptos" w:hAnsi="Aptos" w:cstheme="minorHAnsi"/>
          <w:b/>
          <w:bCs/>
          <w:spacing w:val="20"/>
          <w:sz w:val="22"/>
          <w:szCs w:val="22"/>
        </w:rPr>
      </w:pPr>
    </w:p>
    <w:p w14:paraId="47A6A78E" w14:textId="77777777" w:rsidR="00623AF8" w:rsidRDefault="00623AF8" w:rsidP="00623AF8">
      <w:pPr>
        <w:rPr>
          <w:rFonts w:ascii="Aptos" w:hAnsi="Aptos" w:cstheme="minorHAnsi"/>
          <w:b/>
          <w:bCs/>
          <w:spacing w:val="20"/>
          <w:sz w:val="22"/>
          <w:szCs w:val="22"/>
        </w:rPr>
      </w:pPr>
    </w:p>
    <w:p w14:paraId="5F76BF50" w14:textId="77777777" w:rsidR="00623AF8" w:rsidRDefault="00623AF8" w:rsidP="00623AF8">
      <w:pPr>
        <w:rPr>
          <w:rFonts w:ascii="Aptos" w:hAnsi="Aptos" w:cstheme="minorHAnsi"/>
          <w:b/>
          <w:bCs/>
          <w:spacing w:val="20"/>
          <w:sz w:val="22"/>
          <w:szCs w:val="22"/>
        </w:rPr>
      </w:pPr>
    </w:p>
    <w:p w14:paraId="699639E6" w14:textId="77777777" w:rsidR="00623AF8" w:rsidRDefault="00623AF8" w:rsidP="00623AF8">
      <w:pPr>
        <w:rPr>
          <w:rFonts w:ascii="Aptos" w:hAnsi="Aptos" w:cstheme="minorHAnsi"/>
          <w:b/>
          <w:bCs/>
          <w:spacing w:val="20"/>
          <w:sz w:val="22"/>
          <w:szCs w:val="22"/>
        </w:rPr>
      </w:pPr>
    </w:p>
    <w:p w14:paraId="43382497" w14:textId="77777777" w:rsidR="00623AF8" w:rsidRDefault="00623AF8" w:rsidP="00623AF8">
      <w:pPr>
        <w:rPr>
          <w:rFonts w:ascii="Aptos" w:hAnsi="Aptos" w:cstheme="minorHAnsi"/>
          <w:b/>
          <w:bCs/>
          <w:spacing w:val="20"/>
          <w:sz w:val="22"/>
          <w:szCs w:val="22"/>
        </w:rPr>
      </w:pPr>
    </w:p>
    <w:p w14:paraId="5BE08E3E" w14:textId="77777777" w:rsidR="00623AF8" w:rsidRDefault="00623AF8" w:rsidP="00623AF8">
      <w:pPr>
        <w:rPr>
          <w:rFonts w:ascii="Aptos" w:hAnsi="Aptos" w:cstheme="minorHAnsi"/>
          <w:b/>
          <w:bCs/>
          <w:spacing w:val="20"/>
          <w:sz w:val="22"/>
          <w:szCs w:val="22"/>
        </w:rPr>
      </w:pPr>
    </w:p>
    <w:p w14:paraId="50BDD51C" w14:textId="77777777" w:rsidR="00623AF8" w:rsidRDefault="00623AF8" w:rsidP="00623AF8">
      <w:pPr>
        <w:rPr>
          <w:rFonts w:ascii="Aptos" w:hAnsi="Aptos" w:cstheme="minorHAnsi"/>
          <w:b/>
          <w:bCs/>
          <w:spacing w:val="20"/>
          <w:sz w:val="22"/>
          <w:szCs w:val="22"/>
        </w:rPr>
      </w:pPr>
    </w:p>
    <w:p w14:paraId="1DA5854A" w14:textId="77777777" w:rsidR="00623AF8" w:rsidRDefault="00623AF8" w:rsidP="00623AF8">
      <w:pPr>
        <w:rPr>
          <w:rFonts w:ascii="Aptos" w:hAnsi="Aptos" w:cstheme="minorHAnsi"/>
          <w:b/>
          <w:bCs/>
          <w:spacing w:val="20"/>
          <w:sz w:val="22"/>
          <w:szCs w:val="22"/>
        </w:rPr>
      </w:pPr>
    </w:p>
    <w:p w14:paraId="71F733DB" w14:textId="77777777" w:rsidR="00623AF8" w:rsidRPr="004178A4" w:rsidRDefault="00623AF8" w:rsidP="00623AF8">
      <w:pPr>
        <w:jc w:val="center"/>
        <w:rPr>
          <w:rFonts w:ascii="Aptos" w:hAnsi="Aptos" w:cstheme="minorHAnsi"/>
          <w:b/>
          <w:bCs/>
          <w:color w:val="C00000"/>
          <w:spacing w:val="20"/>
          <w:sz w:val="40"/>
          <w:szCs w:val="40"/>
        </w:rPr>
      </w:pPr>
      <w:r>
        <w:rPr>
          <w:rFonts w:ascii="Aptos" w:hAnsi="Aptos" w:cstheme="minorHAnsi"/>
          <w:b/>
          <w:bCs/>
          <w:color w:val="DC2A1B"/>
          <w:spacing w:val="60"/>
          <w:sz w:val="40"/>
          <w:szCs w:val="40"/>
        </w:rPr>
        <w:t>Vorbereitung für die</w:t>
      </w:r>
    </w:p>
    <w:p w14:paraId="338D5FCE" w14:textId="77777777" w:rsidR="00623AF8" w:rsidRPr="00660A69" w:rsidRDefault="00623AF8" w:rsidP="00623AF8">
      <w:pPr>
        <w:spacing w:before="120"/>
        <w:jc w:val="center"/>
        <w:rPr>
          <w:rFonts w:ascii="Aptos" w:hAnsi="Aptos"/>
          <w:sz w:val="40"/>
          <w:szCs w:val="40"/>
        </w:rPr>
      </w:pPr>
      <w:r w:rsidRPr="00660A69">
        <w:rPr>
          <w:rFonts w:ascii="Aptos" w:hAnsi="Aptos" w:cstheme="minorHAnsi"/>
          <w:b/>
          <w:bCs/>
          <w:color w:val="DC2A1B"/>
          <w:spacing w:val="60"/>
          <w:sz w:val="40"/>
          <w:szCs w:val="40"/>
        </w:rPr>
        <w:t>Hearings der designierten EU-Kommissare nach den EU-Wahlen im Herbst 2024</w:t>
      </w:r>
      <w:r>
        <w:rPr>
          <w:rFonts w:ascii="Aptos" w:hAnsi="Aptos" w:cstheme="minorHAnsi"/>
          <w:b/>
          <w:bCs/>
          <w:color w:val="DC2A1B"/>
          <w:spacing w:val="60"/>
          <w:sz w:val="40"/>
          <w:szCs w:val="40"/>
        </w:rPr>
        <w:t xml:space="preserve">   </w:t>
      </w:r>
    </w:p>
    <w:p w14:paraId="51A1366E" w14:textId="77777777" w:rsidR="00623AF8" w:rsidRDefault="00623AF8" w:rsidP="00623AF8">
      <w:pPr>
        <w:jc w:val="center"/>
        <w:rPr>
          <w:sz w:val="40"/>
          <w:szCs w:val="40"/>
        </w:rPr>
      </w:pPr>
    </w:p>
    <w:p w14:paraId="30B1F693" w14:textId="77777777" w:rsidR="00623AF8" w:rsidRDefault="00623AF8" w:rsidP="00623AF8">
      <w:pPr>
        <w:jc w:val="center"/>
        <w:rPr>
          <w:sz w:val="40"/>
          <w:szCs w:val="40"/>
        </w:rPr>
      </w:pPr>
    </w:p>
    <w:p w14:paraId="364D2C5C" w14:textId="77777777" w:rsidR="00623AF8" w:rsidRDefault="00623AF8" w:rsidP="00623AF8">
      <w:pPr>
        <w:jc w:val="center"/>
        <w:rPr>
          <w:sz w:val="40"/>
          <w:szCs w:val="40"/>
        </w:rPr>
      </w:pPr>
    </w:p>
    <w:p w14:paraId="49AB9FC9" w14:textId="77777777" w:rsidR="00623AF8" w:rsidRDefault="00623AF8" w:rsidP="00623AF8">
      <w:pPr>
        <w:jc w:val="center"/>
        <w:rPr>
          <w:sz w:val="40"/>
          <w:szCs w:val="40"/>
        </w:rPr>
      </w:pPr>
    </w:p>
    <w:p w14:paraId="581DBE1B" w14:textId="77777777" w:rsidR="00623AF8" w:rsidRDefault="00623AF8" w:rsidP="00623AF8">
      <w:pPr>
        <w:jc w:val="center"/>
        <w:rPr>
          <w:sz w:val="40"/>
          <w:szCs w:val="40"/>
        </w:rPr>
      </w:pPr>
    </w:p>
    <w:p w14:paraId="0812F4B8" w14:textId="77777777" w:rsidR="00623AF8" w:rsidRDefault="00623AF8" w:rsidP="00623AF8">
      <w:pPr>
        <w:jc w:val="center"/>
        <w:rPr>
          <w:sz w:val="40"/>
          <w:szCs w:val="40"/>
        </w:rPr>
      </w:pPr>
    </w:p>
    <w:p w14:paraId="5A42E154" w14:textId="77777777" w:rsidR="00623AF8" w:rsidRDefault="00623AF8" w:rsidP="00623AF8">
      <w:pPr>
        <w:jc w:val="center"/>
        <w:rPr>
          <w:sz w:val="40"/>
          <w:szCs w:val="40"/>
        </w:rPr>
      </w:pPr>
    </w:p>
    <w:p w14:paraId="52CB2CFB" w14:textId="77777777" w:rsidR="00623AF8" w:rsidRDefault="00623AF8" w:rsidP="00623AF8">
      <w:pPr>
        <w:jc w:val="center"/>
        <w:rPr>
          <w:sz w:val="40"/>
          <w:szCs w:val="40"/>
        </w:rPr>
      </w:pPr>
    </w:p>
    <w:p w14:paraId="57896E60" w14:textId="77777777" w:rsidR="00623AF8" w:rsidRDefault="00623AF8" w:rsidP="00623AF8">
      <w:pPr>
        <w:jc w:val="center"/>
        <w:rPr>
          <w:sz w:val="40"/>
          <w:szCs w:val="40"/>
        </w:rPr>
      </w:pPr>
    </w:p>
    <w:p w14:paraId="4E5C46DF" w14:textId="77777777" w:rsidR="00623AF8" w:rsidRDefault="00623AF8" w:rsidP="00623AF8">
      <w:pPr>
        <w:jc w:val="center"/>
        <w:rPr>
          <w:sz w:val="40"/>
          <w:szCs w:val="40"/>
        </w:rPr>
      </w:pPr>
    </w:p>
    <w:p w14:paraId="4517A55D" w14:textId="77777777" w:rsidR="00623AF8" w:rsidRDefault="00623AF8" w:rsidP="00623AF8">
      <w:pPr>
        <w:jc w:val="center"/>
        <w:rPr>
          <w:sz w:val="40"/>
          <w:szCs w:val="40"/>
        </w:rPr>
      </w:pPr>
    </w:p>
    <w:p w14:paraId="372FBE26" w14:textId="77777777" w:rsidR="00623AF8" w:rsidRDefault="00623AF8" w:rsidP="00623AF8">
      <w:pPr>
        <w:rPr>
          <w:sz w:val="40"/>
          <w:szCs w:val="40"/>
        </w:rPr>
      </w:pPr>
    </w:p>
    <w:p w14:paraId="3D9E77B8" w14:textId="77777777" w:rsidR="00623AF8" w:rsidRPr="00660A69" w:rsidRDefault="00623AF8" w:rsidP="00623AF8">
      <w:pPr>
        <w:rPr>
          <w:rFonts w:cstheme="minorHAnsi"/>
          <w:b/>
          <w:bCs/>
          <w:color w:val="A6A6A6" w:themeColor="background1" w:themeShade="A6"/>
          <w:spacing w:val="20"/>
          <w:sz w:val="28"/>
          <w:szCs w:val="28"/>
        </w:rPr>
      </w:pPr>
    </w:p>
    <w:sdt>
      <w:sdtPr>
        <w:rPr>
          <w:rFonts w:asciiTheme="minorHAnsi" w:eastAsiaTheme="minorHAnsi" w:hAnsiTheme="minorHAnsi" w:cstheme="minorBidi"/>
          <w:color w:val="auto"/>
          <w:sz w:val="24"/>
          <w:szCs w:val="24"/>
          <w:lang w:val="de-DE" w:eastAsia="en-US"/>
        </w:rPr>
        <w:id w:val="884758631"/>
        <w:docPartObj>
          <w:docPartGallery w:val="Table of Contents"/>
          <w:docPartUnique/>
        </w:docPartObj>
      </w:sdtPr>
      <w:sdtEndPr/>
      <w:sdtContent>
        <w:sdt>
          <w:sdtPr>
            <w:rPr>
              <w:rFonts w:asciiTheme="minorHAnsi" w:eastAsiaTheme="minorHAnsi" w:hAnsiTheme="minorHAnsi" w:cstheme="minorBidi"/>
              <w:color w:val="auto"/>
              <w:sz w:val="24"/>
              <w:szCs w:val="24"/>
              <w:lang w:val="de-DE" w:eastAsia="en-US"/>
            </w:rPr>
            <w:id w:val="311604905"/>
            <w:docPartObj>
              <w:docPartGallery w:val="Table of Contents"/>
              <w:docPartUnique/>
            </w:docPartObj>
          </w:sdtPr>
          <w:sdtEndPr/>
          <w:sdtContent>
            <w:p w14:paraId="0363A55D" w14:textId="77777777" w:rsidR="00623AF8" w:rsidRDefault="00623AF8" w:rsidP="00623AF8">
              <w:pPr>
                <w:pStyle w:val="Inhaltsverzeichnisberschrift"/>
                <w:rPr>
                  <w:rFonts w:ascii="Aptos" w:hAnsi="Aptos" w:cstheme="minorHAnsi"/>
                  <w:b/>
                  <w:bCs/>
                  <w:color w:val="DC2A1B"/>
                  <w:spacing w:val="60"/>
                  <w:lang w:eastAsia="en-US"/>
                </w:rPr>
              </w:pPr>
              <w:r w:rsidRPr="003D504F">
                <w:rPr>
                  <w:rFonts w:ascii="Aptos" w:hAnsi="Aptos" w:cstheme="minorHAnsi"/>
                  <w:b/>
                  <w:bCs/>
                  <w:color w:val="DC2A1B"/>
                  <w:spacing w:val="60"/>
                  <w:lang w:eastAsia="en-US"/>
                </w:rPr>
                <w:t>Inhaltsverzeichnis</w:t>
              </w:r>
            </w:p>
            <w:p w14:paraId="20CB9A42" w14:textId="77777777" w:rsidR="00623AF8" w:rsidRPr="00C21CA5" w:rsidRDefault="00623AF8" w:rsidP="00623AF8">
              <w:pPr>
                <w:pStyle w:val="Verzeichnis1"/>
                <w:tabs>
                  <w:tab w:val="right" w:leader="dot" w:pos="9060"/>
                </w:tabs>
                <w:rPr>
                  <w:rFonts w:ascii="Aptos" w:eastAsia="DengXian Light" w:hAnsi="Aptos" w:cstheme="minorHAnsi"/>
                  <w:noProof/>
                </w:rPr>
              </w:pPr>
            </w:p>
            <w:p w14:paraId="3DE995AB" w14:textId="77777777" w:rsidR="00623AF8" w:rsidRPr="00EE4D6F" w:rsidRDefault="00623AF8" w:rsidP="00623AF8">
              <w:pPr>
                <w:pStyle w:val="Verzeichnis1"/>
                <w:tabs>
                  <w:tab w:val="right" w:leader="dot" w:pos="9060"/>
                </w:tabs>
                <w:rPr>
                  <w:rFonts w:eastAsiaTheme="minorEastAsia"/>
                  <w:noProof/>
                  <w:kern w:val="2"/>
                  <w:sz w:val="28"/>
                  <w:szCs w:val="28"/>
                  <w:lang w:eastAsia="de-AT"/>
                  <w14:ligatures w14:val="standardContextual"/>
                </w:rPr>
              </w:pPr>
              <w:r w:rsidRPr="00FF2EF3">
                <w:rPr>
                  <w:rFonts w:ascii="Aptos" w:eastAsia="DengXian Light" w:hAnsi="Aptos" w:cstheme="minorHAnsi"/>
                  <w:noProof/>
                </w:rPr>
                <w:fldChar w:fldCharType="begin"/>
              </w:r>
              <w:r w:rsidRPr="00FF2EF3">
                <w:rPr>
                  <w:rFonts w:ascii="Aptos" w:eastAsia="DengXian Light" w:hAnsi="Aptos" w:cstheme="minorHAnsi"/>
                  <w:noProof/>
                </w:rPr>
                <w:instrText xml:space="preserve"> TOC \o "1-3" \h \z \u </w:instrText>
              </w:r>
              <w:r w:rsidRPr="00FF2EF3">
                <w:rPr>
                  <w:rFonts w:ascii="Aptos" w:eastAsia="DengXian Light" w:hAnsi="Aptos" w:cstheme="minorHAnsi"/>
                  <w:noProof/>
                </w:rPr>
                <w:fldChar w:fldCharType="separate"/>
              </w:r>
              <w:hyperlink w:anchor="_Toc170983620" w:history="1">
                <w:r w:rsidRPr="0083382F">
                  <w:rPr>
                    <w:rStyle w:val="Hyperlink"/>
                    <w:rFonts w:ascii="Aptos" w:hAnsi="Aptos"/>
                    <w:noProof/>
                    <w:color w:val="FF0000"/>
                    <w:sz w:val="28"/>
                    <w:szCs w:val="28"/>
                  </w:rPr>
                  <w:t>Kreislaufwirtschaft</w:t>
                </w:r>
                <w:r w:rsidRPr="00EE4D6F">
                  <w:rPr>
                    <w:noProof/>
                    <w:webHidden/>
                    <w:sz w:val="28"/>
                    <w:szCs w:val="28"/>
                  </w:rPr>
                  <w:tab/>
                </w:r>
                <w:r w:rsidRPr="00EE4D6F">
                  <w:rPr>
                    <w:noProof/>
                    <w:webHidden/>
                    <w:sz w:val="28"/>
                    <w:szCs w:val="28"/>
                  </w:rPr>
                  <w:fldChar w:fldCharType="begin"/>
                </w:r>
                <w:r w:rsidRPr="00EE4D6F">
                  <w:rPr>
                    <w:noProof/>
                    <w:webHidden/>
                    <w:sz w:val="28"/>
                    <w:szCs w:val="28"/>
                  </w:rPr>
                  <w:instrText xml:space="preserve"> PAGEREF _Toc170983620 \h </w:instrText>
                </w:r>
                <w:r w:rsidRPr="00EE4D6F">
                  <w:rPr>
                    <w:noProof/>
                    <w:webHidden/>
                    <w:sz w:val="28"/>
                    <w:szCs w:val="28"/>
                  </w:rPr>
                </w:r>
                <w:r w:rsidRPr="00EE4D6F">
                  <w:rPr>
                    <w:noProof/>
                    <w:webHidden/>
                    <w:sz w:val="28"/>
                    <w:szCs w:val="28"/>
                  </w:rPr>
                  <w:fldChar w:fldCharType="separate"/>
                </w:r>
                <w:r>
                  <w:rPr>
                    <w:noProof/>
                    <w:webHidden/>
                    <w:sz w:val="28"/>
                    <w:szCs w:val="28"/>
                  </w:rPr>
                  <w:t>10</w:t>
                </w:r>
                <w:r w:rsidRPr="00EE4D6F">
                  <w:rPr>
                    <w:noProof/>
                    <w:webHidden/>
                    <w:sz w:val="28"/>
                    <w:szCs w:val="28"/>
                  </w:rPr>
                  <w:fldChar w:fldCharType="end"/>
                </w:r>
              </w:hyperlink>
            </w:p>
            <w:p w14:paraId="451F83B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21" w:history="1">
                <w:r w:rsidR="00623AF8" w:rsidRPr="002E0E33">
                  <w:rPr>
                    <w:rStyle w:val="Hyperlink"/>
                    <w:rFonts w:ascii="Aptos" w:eastAsiaTheme="majorEastAsia" w:hAnsi="Aptos" w:cstheme="majorBidi"/>
                    <w:noProof/>
                    <w:lang w:val="en-GB"/>
                  </w:rPr>
                  <w:t>Marktüberschwemmung durch Drittland-Produkte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_Toc170983621 \h </w:instrText>
                </w:r>
                <w:r w:rsidR="00623AF8" w:rsidRPr="002E0E33">
                  <w:rPr>
                    <w:noProof/>
                    <w:webHidden/>
                  </w:rPr>
                </w:r>
                <w:r w:rsidR="00623AF8" w:rsidRPr="002E0E33">
                  <w:rPr>
                    <w:noProof/>
                    <w:webHidden/>
                  </w:rPr>
                  <w:fldChar w:fldCharType="separate"/>
                </w:r>
                <w:r w:rsidR="00623AF8">
                  <w:rPr>
                    <w:noProof/>
                    <w:webHidden/>
                  </w:rPr>
                  <w:t>10</w:t>
                </w:r>
                <w:r w:rsidR="00623AF8" w:rsidRPr="002E0E33">
                  <w:rPr>
                    <w:noProof/>
                    <w:webHidden/>
                  </w:rPr>
                  <w:fldChar w:fldCharType="end"/>
                </w:r>
              </w:hyperlink>
            </w:p>
            <w:p w14:paraId="650D892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22" w:history="1">
                <w:r w:rsidR="00623AF8" w:rsidRPr="002E0E33">
                  <w:rPr>
                    <w:rStyle w:val="Hyperlink"/>
                    <w:rFonts w:ascii="Aptos" w:eastAsiaTheme="majorEastAsia" w:hAnsi="Aptos" w:cstheme="majorBidi"/>
                    <w:noProof/>
                  </w:rPr>
                  <w:t>Abfalltourismus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_Toc170983622 \h </w:instrText>
                </w:r>
                <w:r w:rsidR="00623AF8" w:rsidRPr="002E0E33">
                  <w:rPr>
                    <w:noProof/>
                    <w:webHidden/>
                  </w:rPr>
                </w:r>
                <w:r w:rsidR="00623AF8" w:rsidRPr="002E0E33">
                  <w:rPr>
                    <w:noProof/>
                    <w:webHidden/>
                  </w:rPr>
                  <w:fldChar w:fldCharType="separate"/>
                </w:r>
                <w:r w:rsidR="00623AF8">
                  <w:rPr>
                    <w:noProof/>
                    <w:webHidden/>
                  </w:rPr>
                  <w:t>11</w:t>
                </w:r>
                <w:r w:rsidR="00623AF8" w:rsidRPr="002E0E33">
                  <w:rPr>
                    <w:noProof/>
                    <w:webHidden/>
                  </w:rPr>
                  <w:fldChar w:fldCharType="end"/>
                </w:r>
              </w:hyperlink>
            </w:p>
            <w:p w14:paraId="53529BE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23" w:history="1">
                <w:r w:rsidR="00623AF8" w:rsidRPr="002E0E33">
                  <w:rPr>
                    <w:rStyle w:val="Hyperlink"/>
                    <w:rFonts w:ascii="Aptos" w:eastAsiaTheme="majorEastAsia" w:hAnsi="Aptos" w:cstheme="majorBidi"/>
                    <w:noProof/>
                  </w:rPr>
                  <w:t>Abwanderung der Industrie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_Toc170983623 \h </w:instrText>
                </w:r>
                <w:r w:rsidR="00623AF8" w:rsidRPr="002E0E33">
                  <w:rPr>
                    <w:noProof/>
                    <w:webHidden/>
                  </w:rPr>
                </w:r>
                <w:r w:rsidR="00623AF8" w:rsidRPr="002E0E33">
                  <w:rPr>
                    <w:noProof/>
                    <w:webHidden/>
                  </w:rPr>
                  <w:fldChar w:fldCharType="separate"/>
                </w:r>
                <w:r w:rsidR="00623AF8">
                  <w:rPr>
                    <w:noProof/>
                    <w:webHidden/>
                  </w:rPr>
                  <w:t>12</w:t>
                </w:r>
                <w:r w:rsidR="00623AF8" w:rsidRPr="002E0E33">
                  <w:rPr>
                    <w:noProof/>
                    <w:webHidden/>
                  </w:rPr>
                  <w:fldChar w:fldCharType="end"/>
                </w:r>
              </w:hyperlink>
            </w:p>
            <w:p w14:paraId="2334538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24" w:history="1">
                <w:r w:rsidR="00623AF8" w:rsidRPr="002E0E33">
                  <w:rPr>
                    <w:rStyle w:val="Hyperlink"/>
                    <w:rFonts w:ascii="Aptos" w:eastAsiaTheme="majorEastAsia" w:hAnsi="Aptos" w:cstheme="majorBidi"/>
                    <w:noProof/>
                  </w:rPr>
                  <w:t>Umsetzung des Deponieverbotes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_Toc170983624 \h </w:instrText>
                </w:r>
                <w:r w:rsidR="00623AF8" w:rsidRPr="002E0E33">
                  <w:rPr>
                    <w:noProof/>
                    <w:webHidden/>
                  </w:rPr>
                </w:r>
                <w:r w:rsidR="00623AF8" w:rsidRPr="002E0E33">
                  <w:rPr>
                    <w:noProof/>
                    <w:webHidden/>
                  </w:rPr>
                  <w:fldChar w:fldCharType="separate"/>
                </w:r>
                <w:r w:rsidR="00623AF8">
                  <w:rPr>
                    <w:noProof/>
                    <w:webHidden/>
                  </w:rPr>
                  <w:t>13</w:t>
                </w:r>
                <w:r w:rsidR="00623AF8" w:rsidRPr="002E0E33">
                  <w:rPr>
                    <w:noProof/>
                    <w:webHidden/>
                  </w:rPr>
                  <w:fldChar w:fldCharType="end"/>
                </w:r>
              </w:hyperlink>
            </w:p>
            <w:p w14:paraId="2975FF2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25" w:history="1">
                <w:r w:rsidR="00623AF8" w:rsidRPr="002E0E33">
                  <w:rPr>
                    <w:rStyle w:val="Hyperlink"/>
                    <w:rFonts w:ascii="Aptos" w:eastAsiaTheme="majorEastAsia" w:hAnsi="Aptos" w:cstheme="majorBidi"/>
                    <w:noProof/>
                  </w:rPr>
                  <w:t>Batteriepfand</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_Toc170983625 \h </w:instrText>
                </w:r>
                <w:r w:rsidR="00623AF8" w:rsidRPr="002E0E33">
                  <w:rPr>
                    <w:noProof/>
                    <w:webHidden/>
                  </w:rPr>
                </w:r>
                <w:r w:rsidR="00623AF8" w:rsidRPr="002E0E33">
                  <w:rPr>
                    <w:noProof/>
                    <w:webHidden/>
                  </w:rPr>
                  <w:fldChar w:fldCharType="separate"/>
                </w:r>
                <w:r w:rsidR="00623AF8">
                  <w:rPr>
                    <w:noProof/>
                    <w:webHidden/>
                  </w:rPr>
                  <w:t>14</w:t>
                </w:r>
                <w:r w:rsidR="00623AF8" w:rsidRPr="002E0E33">
                  <w:rPr>
                    <w:noProof/>
                    <w:webHidden/>
                  </w:rPr>
                  <w:fldChar w:fldCharType="end"/>
                </w:r>
              </w:hyperlink>
            </w:p>
            <w:p w14:paraId="2ECA0DC0"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26" w:history="1">
                <w:r w:rsidR="00623AF8" w:rsidRPr="002E0E33">
                  <w:rPr>
                    <w:rStyle w:val="Hyperlink"/>
                    <w:rFonts w:ascii="Aptos" w:eastAsiaTheme="majorEastAsia" w:hAnsi="Aptos" w:cstheme="majorBidi"/>
                    <w:noProof/>
                  </w:rPr>
                  <w:t>Rohstoffsicherheit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_Toc170983626 \h </w:instrText>
                </w:r>
                <w:r w:rsidR="00623AF8" w:rsidRPr="002E0E33">
                  <w:rPr>
                    <w:noProof/>
                    <w:webHidden/>
                  </w:rPr>
                </w:r>
                <w:r w:rsidR="00623AF8" w:rsidRPr="002E0E33">
                  <w:rPr>
                    <w:noProof/>
                    <w:webHidden/>
                  </w:rPr>
                  <w:fldChar w:fldCharType="separate"/>
                </w:r>
                <w:r w:rsidR="00623AF8">
                  <w:rPr>
                    <w:noProof/>
                    <w:webHidden/>
                  </w:rPr>
                  <w:t>15</w:t>
                </w:r>
                <w:r w:rsidR="00623AF8" w:rsidRPr="002E0E33">
                  <w:rPr>
                    <w:noProof/>
                    <w:webHidden/>
                  </w:rPr>
                  <w:fldChar w:fldCharType="end"/>
                </w:r>
              </w:hyperlink>
            </w:p>
            <w:p w14:paraId="187E5A6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27" w:history="1">
                <w:r w:rsidR="00623AF8" w:rsidRPr="002E0E33">
                  <w:rPr>
                    <w:rStyle w:val="Hyperlink"/>
                    <w:rFonts w:ascii="Aptos" w:eastAsiaTheme="majorEastAsia" w:hAnsi="Aptos" w:cstheme="majorBidi"/>
                    <w:noProof/>
                  </w:rPr>
                  <w:t>Verbrennungsrückstände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_Toc170983627 \h </w:instrText>
                </w:r>
                <w:r w:rsidR="00623AF8" w:rsidRPr="002E0E33">
                  <w:rPr>
                    <w:noProof/>
                    <w:webHidden/>
                  </w:rPr>
                </w:r>
                <w:r w:rsidR="00623AF8" w:rsidRPr="002E0E33">
                  <w:rPr>
                    <w:noProof/>
                    <w:webHidden/>
                  </w:rPr>
                  <w:fldChar w:fldCharType="separate"/>
                </w:r>
                <w:r w:rsidR="00623AF8">
                  <w:rPr>
                    <w:noProof/>
                    <w:webHidden/>
                  </w:rPr>
                  <w:t>16</w:t>
                </w:r>
                <w:r w:rsidR="00623AF8" w:rsidRPr="002E0E33">
                  <w:rPr>
                    <w:noProof/>
                    <w:webHidden/>
                  </w:rPr>
                  <w:fldChar w:fldCharType="end"/>
                </w:r>
              </w:hyperlink>
            </w:p>
            <w:p w14:paraId="425E676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28" w:history="1">
                <w:r w:rsidR="00623AF8" w:rsidRPr="002E0E33">
                  <w:rPr>
                    <w:rStyle w:val="Hyperlink"/>
                    <w:rFonts w:ascii="Aptos" w:eastAsiaTheme="majorEastAsia" w:hAnsi="Aptos" w:cstheme="majorBidi"/>
                    <w:noProof/>
                  </w:rPr>
                  <w:t>Recyclingtechnologien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_Toc170983628 \h </w:instrText>
                </w:r>
                <w:r w:rsidR="00623AF8" w:rsidRPr="002E0E33">
                  <w:rPr>
                    <w:noProof/>
                    <w:webHidden/>
                  </w:rPr>
                </w:r>
                <w:r w:rsidR="00623AF8" w:rsidRPr="002E0E33">
                  <w:rPr>
                    <w:noProof/>
                    <w:webHidden/>
                  </w:rPr>
                  <w:fldChar w:fldCharType="separate"/>
                </w:r>
                <w:r w:rsidR="00623AF8">
                  <w:rPr>
                    <w:noProof/>
                    <w:webHidden/>
                  </w:rPr>
                  <w:t>17</w:t>
                </w:r>
                <w:r w:rsidR="00623AF8" w:rsidRPr="002E0E33">
                  <w:rPr>
                    <w:noProof/>
                    <w:webHidden/>
                  </w:rPr>
                  <w:fldChar w:fldCharType="end"/>
                </w:r>
              </w:hyperlink>
            </w:p>
            <w:p w14:paraId="3AB283C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29" w:history="1">
                <w:r w:rsidR="00623AF8" w:rsidRPr="002E0E33">
                  <w:rPr>
                    <w:rStyle w:val="Hyperlink"/>
                    <w:rFonts w:ascii="Aptos" w:eastAsiaTheme="majorEastAsia" w:hAnsi="Aptos" w:cstheme="majorBidi"/>
                    <w:noProof/>
                  </w:rPr>
                  <w:t>Sortierkapazitäten für Textilien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_Toc170983629 \h </w:instrText>
                </w:r>
                <w:r w:rsidR="00623AF8" w:rsidRPr="002E0E33">
                  <w:rPr>
                    <w:noProof/>
                    <w:webHidden/>
                  </w:rPr>
                </w:r>
                <w:r w:rsidR="00623AF8" w:rsidRPr="002E0E33">
                  <w:rPr>
                    <w:noProof/>
                    <w:webHidden/>
                  </w:rPr>
                  <w:fldChar w:fldCharType="separate"/>
                </w:r>
                <w:r w:rsidR="00623AF8">
                  <w:rPr>
                    <w:noProof/>
                    <w:webHidden/>
                  </w:rPr>
                  <w:t>18</w:t>
                </w:r>
                <w:r w:rsidR="00623AF8" w:rsidRPr="002E0E33">
                  <w:rPr>
                    <w:noProof/>
                    <w:webHidden/>
                  </w:rPr>
                  <w:fldChar w:fldCharType="end"/>
                </w:r>
              </w:hyperlink>
            </w:p>
            <w:p w14:paraId="6D77736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30" w:history="1">
                <w:r w:rsidR="00623AF8" w:rsidRPr="002E0E33">
                  <w:rPr>
                    <w:rStyle w:val="Hyperlink"/>
                    <w:rFonts w:ascii="Aptos" w:eastAsiaTheme="majorEastAsia" w:hAnsi="Aptos" w:cstheme="majorBidi"/>
                    <w:noProof/>
                  </w:rPr>
                  <w:t>Klärschlamm</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_Toc170983630 \h </w:instrText>
                </w:r>
                <w:r w:rsidR="00623AF8" w:rsidRPr="002E0E33">
                  <w:rPr>
                    <w:noProof/>
                    <w:webHidden/>
                  </w:rPr>
                </w:r>
                <w:r w:rsidR="00623AF8" w:rsidRPr="002E0E33">
                  <w:rPr>
                    <w:noProof/>
                    <w:webHidden/>
                  </w:rPr>
                  <w:fldChar w:fldCharType="separate"/>
                </w:r>
                <w:r w:rsidR="00623AF8">
                  <w:rPr>
                    <w:noProof/>
                    <w:webHidden/>
                  </w:rPr>
                  <w:t>19</w:t>
                </w:r>
                <w:r w:rsidR="00623AF8" w:rsidRPr="002E0E33">
                  <w:rPr>
                    <w:noProof/>
                    <w:webHidden/>
                  </w:rPr>
                  <w:fldChar w:fldCharType="end"/>
                </w:r>
              </w:hyperlink>
            </w:p>
            <w:p w14:paraId="1A9393D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31" w:history="1">
                <w:r w:rsidR="00623AF8" w:rsidRPr="002E0E33">
                  <w:rPr>
                    <w:rStyle w:val="Hyperlink"/>
                    <w:rFonts w:ascii="Aptos" w:eastAsiaTheme="majorEastAsia" w:hAnsi="Aptos" w:cstheme="majorBidi"/>
                    <w:noProof/>
                  </w:rPr>
                  <w:t>Biobasierte Düngemittel</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_Toc170983631 \h </w:instrText>
                </w:r>
                <w:r w:rsidR="00623AF8" w:rsidRPr="002E0E33">
                  <w:rPr>
                    <w:noProof/>
                    <w:webHidden/>
                  </w:rPr>
                </w:r>
                <w:r w:rsidR="00623AF8" w:rsidRPr="002E0E33">
                  <w:rPr>
                    <w:noProof/>
                    <w:webHidden/>
                  </w:rPr>
                  <w:fldChar w:fldCharType="separate"/>
                </w:r>
                <w:r w:rsidR="00623AF8">
                  <w:rPr>
                    <w:noProof/>
                    <w:webHidden/>
                  </w:rPr>
                  <w:t>20</w:t>
                </w:r>
                <w:r w:rsidR="00623AF8" w:rsidRPr="002E0E33">
                  <w:rPr>
                    <w:noProof/>
                    <w:webHidden/>
                  </w:rPr>
                  <w:fldChar w:fldCharType="end"/>
                </w:r>
              </w:hyperlink>
            </w:p>
            <w:p w14:paraId="2A9B22A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32" w:history="1">
                <w:r w:rsidR="00623AF8" w:rsidRPr="002E0E33">
                  <w:rPr>
                    <w:rStyle w:val="Hyperlink"/>
                    <w:rFonts w:ascii="Aptos" w:eastAsiaTheme="majorEastAsia" w:hAnsi="Aptos" w:cstheme="majorBidi"/>
                    <w:noProof/>
                  </w:rPr>
                  <w:t>Vorsorge im Umweltschutz</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_Toc170983632 \h </w:instrText>
                </w:r>
                <w:r w:rsidR="00623AF8" w:rsidRPr="002E0E33">
                  <w:rPr>
                    <w:noProof/>
                    <w:webHidden/>
                  </w:rPr>
                </w:r>
                <w:r w:rsidR="00623AF8" w:rsidRPr="002E0E33">
                  <w:rPr>
                    <w:noProof/>
                    <w:webHidden/>
                  </w:rPr>
                  <w:fldChar w:fldCharType="separate"/>
                </w:r>
                <w:r w:rsidR="00623AF8">
                  <w:rPr>
                    <w:noProof/>
                    <w:webHidden/>
                  </w:rPr>
                  <w:t>21</w:t>
                </w:r>
                <w:r w:rsidR="00623AF8" w:rsidRPr="002E0E33">
                  <w:rPr>
                    <w:noProof/>
                    <w:webHidden/>
                  </w:rPr>
                  <w:fldChar w:fldCharType="end"/>
                </w:r>
              </w:hyperlink>
            </w:p>
            <w:p w14:paraId="1C8C429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33" w:history="1">
                <w:r w:rsidR="00623AF8" w:rsidRPr="002E0E33">
                  <w:rPr>
                    <w:rStyle w:val="Hyperlink"/>
                    <w:rFonts w:ascii="Aptos" w:eastAsiaTheme="majorEastAsia" w:hAnsi="Aptos" w:cstheme="majorBidi"/>
                    <w:noProof/>
                  </w:rPr>
                  <w:t>Ökodesignrichtlinie – Digitaler Produktpass (DPP)</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_Toc170983633 \h </w:instrText>
                </w:r>
                <w:r w:rsidR="00623AF8" w:rsidRPr="002E0E33">
                  <w:rPr>
                    <w:noProof/>
                    <w:webHidden/>
                  </w:rPr>
                </w:r>
                <w:r w:rsidR="00623AF8" w:rsidRPr="002E0E33">
                  <w:rPr>
                    <w:noProof/>
                    <w:webHidden/>
                  </w:rPr>
                  <w:fldChar w:fldCharType="separate"/>
                </w:r>
                <w:r w:rsidR="00623AF8">
                  <w:rPr>
                    <w:noProof/>
                    <w:webHidden/>
                  </w:rPr>
                  <w:t>22</w:t>
                </w:r>
                <w:r w:rsidR="00623AF8" w:rsidRPr="002E0E33">
                  <w:rPr>
                    <w:noProof/>
                    <w:webHidden/>
                  </w:rPr>
                  <w:fldChar w:fldCharType="end"/>
                </w:r>
              </w:hyperlink>
            </w:p>
            <w:p w14:paraId="4BE2AAD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34" w:history="1">
                <w:r w:rsidR="00623AF8" w:rsidRPr="002E0E33">
                  <w:rPr>
                    <w:rStyle w:val="Hyperlink"/>
                    <w:rFonts w:ascii="Aptos" w:eastAsiaTheme="majorEastAsia" w:hAnsi="Aptos" w:cstheme="majorBidi"/>
                    <w:noProof/>
                  </w:rPr>
                  <w:t>Ökodesignrichtlinie – Schutzvorkehrungen für Einsatzkräfte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_Toc170983634 \h </w:instrText>
                </w:r>
                <w:r w:rsidR="00623AF8" w:rsidRPr="002E0E33">
                  <w:rPr>
                    <w:noProof/>
                    <w:webHidden/>
                  </w:rPr>
                </w:r>
                <w:r w:rsidR="00623AF8" w:rsidRPr="002E0E33">
                  <w:rPr>
                    <w:noProof/>
                    <w:webHidden/>
                  </w:rPr>
                  <w:fldChar w:fldCharType="separate"/>
                </w:r>
                <w:r w:rsidR="00623AF8">
                  <w:rPr>
                    <w:noProof/>
                    <w:webHidden/>
                  </w:rPr>
                  <w:t>23</w:t>
                </w:r>
                <w:r w:rsidR="00623AF8" w:rsidRPr="002E0E33">
                  <w:rPr>
                    <w:noProof/>
                    <w:webHidden/>
                  </w:rPr>
                  <w:fldChar w:fldCharType="end"/>
                </w:r>
              </w:hyperlink>
            </w:p>
            <w:p w14:paraId="51C0BEB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35" w:history="1">
                <w:r w:rsidR="00623AF8" w:rsidRPr="002E0E33">
                  <w:rPr>
                    <w:rStyle w:val="Hyperlink"/>
                    <w:rFonts w:ascii="Aptos" w:eastAsiaTheme="majorEastAsia" w:hAnsi="Aptos" w:cstheme="majorBidi"/>
                    <w:noProof/>
                  </w:rPr>
                  <w:t>Zertifizierung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_Toc170983635 \h </w:instrText>
                </w:r>
                <w:r w:rsidR="00623AF8" w:rsidRPr="002E0E33">
                  <w:rPr>
                    <w:noProof/>
                    <w:webHidden/>
                  </w:rPr>
                </w:r>
                <w:r w:rsidR="00623AF8" w:rsidRPr="002E0E33">
                  <w:rPr>
                    <w:noProof/>
                    <w:webHidden/>
                  </w:rPr>
                  <w:fldChar w:fldCharType="separate"/>
                </w:r>
                <w:r w:rsidR="00623AF8">
                  <w:rPr>
                    <w:noProof/>
                    <w:webHidden/>
                  </w:rPr>
                  <w:t>24</w:t>
                </w:r>
                <w:r w:rsidR="00623AF8" w:rsidRPr="002E0E33">
                  <w:rPr>
                    <w:noProof/>
                    <w:webHidden/>
                  </w:rPr>
                  <w:fldChar w:fldCharType="end"/>
                </w:r>
              </w:hyperlink>
            </w:p>
            <w:p w14:paraId="6A62412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36" w:history="1">
                <w:r w:rsidR="00623AF8" w:rsidRPr="002E0E33">
                  <w:rPr>
                    <w:rStyle w:val="Hyperlink"/>
                    <w:rFonts w:ascii="Aptos" w:eastAsiaTheme="majorEastAsia" w:hAnsi="Aptos" w:cstheme="majorBidi"/>
                    <w:noProof/>
                  </w:rPr>
                  <w:t>Bioökonomie – Kaskadische Nutzung organischer Abfälle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_Toc170983636 \h </w:instrText>
                </w:r>
                <w:r w:rsidR="00623AF8" w:rsidRPr="002E0E33">
                  <w:rPr>
                    <w:noProof/>
                    <w:webHidden/>
                  </w:rPr>
                </w:r>
                <w:r w:rsidR="00623AF8" w:rsidRPr="002E0E33">
                  <w:rPr>
                    <w:noProof/>
                    <w:webHidden/>
                  </w:rPr>
                  <w:fldChar w:fldCharType="separate"/>
                </w:r>
                <w:r w:rsidR="00623AF8">
                  <w:rPr>
                    <w:noProof/>
                    <w:webHidden/>
                  </w:rPr>
                  <w:t>25</w:t>
                </w:r>
                <w:r w:rsidR="00623AF8" w:rsidRPr="002E0E33">
                  <w:rPr>
                    <w:noProof/>
                    <w:webHidden/>
                  </w:rPr>
                  <w:fldChar w:fldCharType="end"/>
                </w:r>
              </w:hyperlink>
            </w:p>
            <w:p w14:paraId="566B90D3"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37" w:history="1">
                <w:r w:rsidR="00623AF8" w:rsidRPr="002E0E33">
                  <w:rPr>
                    <w:rStyle w:val="Hyperlink"/>
                    <w:rFonts w:ascii="Aptos" w:eastAsiaTheme="majorEastAsia" w:hAnsi="Aptos" w:cstheme="majorBidi"/>
                    <w:noProof/>
                  </w:rPr>
                  <w:t>Kohlenstoffabscheidung- Nutzung- und Speicherung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_Toc170983637 \h </w:instrText>
                </w:r>
                <w:r w:rsidR="00623AF8" w:rsidRPr="002E0E33">
                  <w:rPr>
                    <w:noProof/>
                    <w:webHidden/>
                  </w:rPr>
                </w:r>
                <w:r w:rsidR="00623AF8" w:rsidRPr="002E0E33">
                  <w:rPr>
                    <w:noProof/>
                    <w:webHidden/>
                  </w:rPr>
                  <w:fldChar w:fldCharType="separate"/>
                </w:r>
                <w:r w:rsidR="00623AF8">
                  <w:rPr>
                    <w:noProof/>
                    <w:webHidden/>
                  </w:rPr>
                  <w:t>26</w:t>
                </w:r>
                <w:r w:rsidR="00623AF8" w:rsidRPr="002E0E33">
                  <w:rPr>
                    <w:noProof/>
                    <w:webHidden/>
                  </w:rPr>
                  <w:fldChar w:fldCharType="end"/>
                </w:r>
              </w:hyperlink>
            </w:p>
            <w:p w14:paraId="779FC5F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38" w:history="1">
                <w:r w:rsidR="00623AF8" w:rsidRPr="002E0E33">
                  <w:rPr>
                    <w:rStyle w:val="Hyperlink"/>
                    <w:rFonts w:ascii="Aptos" w:eastAsiaTheme="majorEastAsia" w:hAnsi="Aptos" w:cstheme="majorBidi"/>
                    <w:noProof/>
                  </w:rPr>
                  <w:t>Recht auf Reparatur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_Toc170983638 \h </w:instrText>
                </w:r>
                <w:r w:rsidR="00623AF8" w:rsidRPr="002E0E33">
                  <w:rPr>
                    <w:noProof/>
                    <w:webHidden/>
                  </w:rPr>
                </w:r>
                <w:r w:rsidR="00623AF8" w:rsidRPr="002E0E33">
                  <w:rPr>
                    <w:noProof/>
                    <w:webHidden/>
                  </w:rPr>
                  <w:fldChar w:fldCharType="separate"/>
                </w:r>
                <w:r w:rsidR="00623AF8">
                  <w:rPr>
                    <w:noProof/>
                    <w:webHidden/>
                  </w:rPr>
                  <w:t>27</w:t>
                </w:r>
                <w:r w:rsidR="00623AF8" w:rsidRPr="002E0E33">
                  <w:rPr>
                    <w:noProof/>
                    <w:webHidden/>
                  </w:rPr>
                  <w:fldChar w:fldCharType="end"/>
                </w:r>
              </w:hyperlink>
            </w:p>
            <w:p w14:paraId="47799FD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39" w:history="1">
                <w:r w:rsidR="00623AF8" w:rsidRPr="002E0E33">
                  <w:rPr>
                    <w:rStyle w:val="Hyperlink"/>
                    <w:rFonts w:ascii="Aptos" w:eastAsiaTheme="majorEastAsia" w:hAnsi="Aptos" w:cstheme="majorBidi"/>
                    <w:noProof/>
                  </w:rPr>
                  <w:t>Emissionshandelsystem ETS – thermische Verwertung und Deponien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_Toc170983639 \h </w:instrText>
                </w:r>
                <w:r w:rsidR="00623AF8" w:rsidRPr="002E0E33">
                  <w:rPr>
                    <w:noProof/>
                    <w:webHidden/>
                  </w:rPr>
                </w:r>
                <w:r w:rsidR="00623AF8" w:rsidRPr="002E0E33">
                  <w:rPr>
                    <w:noProof/>
                    <w:webHidden/>
                  </w:rPr>
                  <w:fldChar w:fldCharType="separate"/>
                </w:r>
                <w:r w:rsidR="00623AF8">
                  <w:rPr>
                    <w:noProof/>
                    <w:webHidden/>
                  </w:rPr>
                  <w:t>28</w:t>
                </w:r>
                <w:r w:rsidR="00623AF8" w:rsidRPr="002E0E33">
                  <w:rPr>
                    <w:noProof/>
                    <w:webHidden/>
                  </w:rPr>
                  <w:fldChar w:fldCharType="end"/>
                </w:r>
              </w:hyperlink>
            </w:p>
            <w:p w14:paraId="1FF5ED8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40" w:history="1">
                <w:r w:rsidR="00623AF8" w:rsidRPr="002E0E33">
                  <w:rPr>
                    <w:rStyle w:val="Hyperlink"/>
                    <w:rFonts w:ascii="Aptos" w:eastAsiaTheme="majorEastAsia" w:hAnsi="Aptos" w:cstheme="majorBidi"/>
                    <w:noProof/>
                  </w:rPr>
                  <w:t>Vergaberecht in Richtung ESG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_Toc170983640 \h </w:instrText>
                </w:r>
                <w:r w:rsidR="00623AF8" w:rsidRPr="002E0E33">
                  <w:rPr>
                    <w:noProof/>
                    <w:webHidden/>
                  </w:rPr>
                </w:r>
                <w:r w:rsidR="00623AF8" w:rsidRPr="002E0E33">
                  <w:rPr>
                    <w:noProof/>
                    <w:webHidden/>
                  </w:rPr>
                  <w:fldChar w:fldCharType="separate"/>
                </w:r>
                <w:r w:rsidR="00623AF8">
                  <w:rPr>
                    <w:noProof/>
                    <w:webHidden/>
                  </w:rPr>
                  <w:t>29</w:t>
                </w:r>
                <w:r w:rsidR="00623AF8" w:rsidRPr="002E0E33">
                  <w:rPr>
                    <w:noProof/>
                    <w:webHidden/>
                  </w:rPr>
                  <w:fldChar w:fldCharType="end"/>
                </w:r>
              </w:hyperlink>
            </w:p>
            <w:p w14:paraId="38A5EF2B" w14:textId="77777777" w:rsidR="00623AF8" w:rsidRDefault="00AC460E" w:rsidP="00623AF8">
              <w:pPr>
                <w:pStyle w:val="Verzeichnis1"/>
                <w:tabs>
                  <w:tab w:val="right" w:leader="dot" w:pos="9060"/>
                </w:tabs>
                <w:rPr>
                  <w:rStyle w:val="Hyperlink"/>
                  <w:noProof/>
                </w:rPr>
              </w:pPr>
              <w:hyperlink w:anchor="_Toc170983641" w:history="1">
                <w:r w:rsidR="00623AF8" w:rsidRPr="002E0E33">
                  <w:rPr>
                    <w:rStyle w:val="Hyperlink"/>
                    <w:rFonts w:ascii="Aptos" w:eastAsiaTheme="majorEastAsia" w:hAnsi="Aptos" w:cstheme="majorBidi"/>
                    <w:noProof/>
                  </w:rPr>
                  <w:t>Resiliente Abfallwirtschaft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_Toc170983641 \h </w:instrText>
                </w:r>
                <w:r w:rsidR="00623AF8" w:rsidRPr="002E0E33">
                  <w:rPr>
                    <w:noProof/>
                    <w:webHidden/>
                  </w:rPr>
                </w:r>
                <w:r w:rsidR="00623AF8" w:rsidRPr="002E0E33">
                  <w:rPr>
                    <w:noProof/>
                    <w:webHidden/>
                  </w:rPr>
                  <w:fldChar w:fldCharType="separate"/>
                </w:r>
                <w:r w:rsidR="00623AF8">
                  <w:rPr>
                    <w:noProof/>
                    <w:webHidden/>
                  </w:rPr>
                  <w:t>30</w:t>
                </w:r>
                <w:r w:rsidR="00623AF8" w:rsidRPr="002E0E33">
                  <w:rPr>
                    <w:noProof/>
                    <w:webHidden/>
                  </w:rPr>
                  <w:fldChar w:fldCharType="end"/>
                </w:r>
              </w:hyperlink>
            </w:p>
            <w:p w14:paraId="50D51505" w14:textId="77777777" w:rsidR="00623AF8" w:rsidRPr="00640AC0" w:rsidRDefault="00623AF8" w:rsidP="00623AF8">
              <w:pPr>
                <w:rPr>
                  <w:noProof/>
                </w:rPr>
              </w:pPr>
            </w:p>
            <w:p w14:paraId="199436D6" w14:textId="77777777" w:rsidR="00623AF8" w:rsidRPr="0083382F" w:rsidRDefault="00AC460E" w:rsidP="00623AF8">
              <w:pPr>
                <w:pStyle w:val="Verzeichnis1"/>
                <w:tabs>
                  <w:tab w:val="right" w:leader="dot" w:pos="9060"/>
                </w:tabs>
                <w:rPr>
                  <w:rFonts w:eastAsiaTheme="minorEastAsia"/>
                  <w:noProof/>
                  <w:color w:val="FF0000"/>
                  <w:kern w:val="2"/>
                  <w:sz w:val="28"/>
                  <w:szCs w:val="28"/>
                  <w:lang w:eastAsia="de-AT"/>
                  <w14:ligatures w14:val="standardContextual"/>
                </w:rPr>
              </w:pPr>
              <w:hyperlink w:anchor="_Toc170983642" w:history="1">
                <w:r w:rsidR="00623AF8" w:rsidRPr="0083382F">
                  <w:rPr>
                    <w:rStyle w:val="Hyperlink"/>
                    <w:rFonts w:ascii="Aptos" w:hAnsi="Aptos"/>
                    <w:noProof/>
                    <w:color w:val="FF0000"/>
                    <w:sz w:val="28"/>
                    <w:szCs w:val="28"/>
                  </w:rPr>
                  <w:t xml:space="preserve"> Wasser</w:t>
                </w:r>
                <w:r w:rsidR="00623AF8">
                  <w:rPr>
                    <w:rStyle w:val="Hyperlink"/>
                    <w:rFonts w:ascii="Aptos" w:hAnsi="Aptos"/>
                    <w:noProof/>
                    <w:color w:val="FF0000"/>
                    <w:sz w:val="28"/>
                    <w:szCs w:val="28"/>
                  </w:rPr>
                  <w:t>politik</w:t>
                </w:r>
                <w:r w:rsidR="00623AF8" w:rsidRPr="0083382F">
                  <w:rPr>
                    <w:noProof/>
                    <w:webHidden/>
                    <w:sz w:val="28"/>
                    <w:szCs w:val="28"/>
                  </w:rPr>
                  <w:tab/>
                </w:r>
                <w:r w:rsidR="00623AF8" w:rsidRPr="0083382F">
                  <w:rPr>
                    <w:noProof/>
                    <w:webHidden/>
                    <w:sz w:val="28"/>
                    <w:szCs w:val="28"/>
                  </w:rPr>
                  <w:fldChar w:fldCharType="begin"/>
                </w:r>
                <w:r w:rsidR="00623AF8" w:rsidRPr="0083382F">
                  <w:rPr>
                    <w:noProof/>
                    <w:webHidden/>
                    <w:sz w:val="28"/>
                    <w:szCs w:val="28"/>
                  </w:rPr>
                  <w:instrText xml:space="preserve"> PAGEREF _Toc170983642 \h </w:instrText>
                </w:r>
                <w:r w:rsidR="00623AF8" w:rsidRPr="0083382F">
                  <w:rPr>
                    <w:noProof/>
                    <w:webHidden/>
                    <w:sz w:val="28"/>
                    <w:szCs w:val="28"/>
                  </w:rPr>
                </w:r>
                <w:r w:rsidR="00623AF8" w:rsidRPr="0083382F">
                  <w:rPr>
                    <w:noProof/>
                    <w:webHidden/>
                    <w:sz w:val="28"/>
                    <w:szCs w:val="28"/>
                  </w:rPr>
                  <w:fldChar w:fldCharType="separate"/>
                </w:r>
                <w:r w:rsidR="00623AF8">
                  <w:rPr>
                    <w:noProof/>
                    <w:webHidden/>
                    <w:sz w:val="28"/>
                    <w:szCs w:val="28"/>
                  </w:rPr>
                  <w:t>31</w:t>
                </w:r>
                <w:r w:rsidR="00623AF8" w:rsidRPr="0083382F">
                  <w:rPr>
                    <w:noProof/>
                    <w:webHidden/>
                    <w:sz w:val="28"/>
                    <w:szCs w:val="28"/>
                  </w:rPr>
                  <w:fldChar w:fldCharType="end"/>
                </w:r>
              </w:hyperlink>
            </w:p>
            <w:p w14:paraId="6608774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43" w:history="1">
                <w:r w:rsidR="00623AF8" w:rsidRPr="002E0E33">
                  <w:rPr>
                    <w:rStyle w:val="Hyperlink"/>
                    <w:rFonts w:ascii="Aptos" w:hAnsi="Aptos"/>
                    <w:noProof/>
                  </w:rPr>
                  <w:t>Europäischer Blue Deal – Bekenntnis &amp; Umsetzung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_Toc170983643 \h </w:instrText>
                </w:r>
                <w:r w:rsidR="00623AF8" w:rsidRPr="002E0E33">
                  <w:rPr>
                    <w:noProof/>
                    <w:webHidden/>
                  </w:rPr>
                </w:r>
                <w:r w:rsidR="00623AF8" w:rsidRPr="002E0E33">
                  <w:rPr>
                    <w:noProof/>
                    <w:webHidden/>
                  </w:rPr>
                  <w:fldChar w:fldCharType="separate"/>
                </w:r>
                <w:r w:rsidR="00623AF8">
                  <w:rPr>
                    <w:noProof/>
                    <w:webHidden/>
                  </w:rPr>
                  <w:t>31</w:t>
                </w:r>
                <w:r w:rsidR="00623AF8" w:rsidRPr="002E0E33">
                  <w:rPr>
                    <w:noProof/>
                    <w:webHidden/>
                  </w:rPr>
                  <w:fldChar w:fldCharType="end"/>
                </w:r>
              </w:hyperlink>
            </w:p>
            <w:p w14:paraId="6DD58A5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44" w:history="1">
                <w:r w:rsidR="00623AF8" w:rsidRPr="002E0E33">
                  <w:rPr>
                    <w:rStyle w:val="Hyperlink"/>
                    <w:rFonts w:ascii="Aptos" w:hAnsi="Aptos"/>
                    <w:noProof/>
                  </w:rPr>
                  <w:t>Europäischer Blue Deal – Vorrang für Nutzung für den menschlichen Gebrauch</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_Toc170983644 \h </w:instrText>
                </w:r>
                <w:r w:rsidR="00623AF8" w:rsidRPr="002E0E33">
                  <w:rPr>
                    <w:noProof/>
                    <w:webHidden/>
                  </w:rPr>
                </w:r>
                <w:r w:rsidR="00623AF8" w:rsidRPr="002E0E33">
                  <w:rPr>
                    <w:noProof/>
                    <w:webHidden/>
                  </w:rPr>
                  <w:fldChar w:fldCharType="separate"/>
                </w:r>
                <w:r w:rsidR="00623AF8">
                  <w:rPr>
                    <w:noProof/>
                    <w:webHidden/>
                  </w:rPr>
                  <w:t>32</w:t>
                </w:r>
                <w:r w:rsidR="00623AF8" w:rsidRPr="002E0E33">
                  <w:rPr>
                    <w:noProof/>
                    <w:webHidden/>
                  </w:rPr>
                  <w:fldChar w:fldCharType="end"/>
                </w:r>
              </w:hyperlink>
            </w:p>
            <w:p w14:paraId="3429A68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45" w:history="1">
                <w:r w:rsidR="00623AF8" w:rsidRPr="002E0E33">
                  <w:rPr>
                    <w:rStyle w:val="Hyperlink"/>
                    <w:rFonts w:ascii="Aptos" w:hAnsi="Aptos"/>
                    <w:noProof/>
                  </w:rPr>
                  <w:t>Europäischer Blue Deal – Wasser-Resilienz-Initiative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_Toc170983645 \h </w:instrText>
                </w:r>
                <w:r w:rsidR="00623AF8" w:rsidRPr="002E0E33">
                  <w:rPr>
                    <w:noProof/>
                    <w:webHidden/>
                  </w:rPr>
                </w:r>
                <w:r w:rsidR="00623AF8" w:rsidRPr="002E0E33">
                  <w:rPr>
                    <w:noProof/>
                    <w:webHidden/>
                  </w:rPr>
                  <w:fldChar w:fldCharType="separate"/>
                </w:r>
                <w:r w:rsidR="00623AF8">
                  <w:rPr>
                    <w:noProof/>
                    <w:webHidden/>
                  </w:rPr>
                  <w:t>33</w:t>
                </w:r>
                <w:r w:rsidR="00623AF8" w:rsidRPr="002E0E33">
                  <w:rPr>
                    <w:noProof/>
                    <w:webHidden/>
                  </w:rPr>
                  <w:fldChar w:fldCharType="end"/>
                </w:r>
              </w:hyperlink>
            </w:p>
            <w:p w14:paraId="3CE6E21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46" w:history="1">
                <w:r w:rsidR="00623AF8" w:rsidRPr="002E0E33">
                  <w:rPr>
                    <w:rStyle w:val="Hyperlink"/>
                    <w:rFonts w:ascii="Aptos" w:hAnsi="Aptos"/>
                    <w:noProof/>
                  </w:rPr>
                  <w:t>Verursacherprinzip – Koppelung EPR-Systeme an Investitionszyklen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_Toc170983646 \h </w:instrText>
                </w:r>
                <w:r w:rsidR="00623AF8" w:rsidRPr="002E0E33">
                  <w:rPr>
                    <w:noProof/>
                    <w:webHidden/>
                  </w:rPr>
                </w:r>
                <w:r w:rsidR="00623AF8" w:rsidRPr="002E0E33">
                  <w:rPr>
                    <w:noProof/>
                    <w:webHidden/>
                  </w:rPr>
                  <w:fldChar w:fldCharType="separate"/>
                </w:r>
                <w:r w:rsidR="00623AF8">
                  <w:rPr>
                    <w:noProof/>
                    <w:webHidden/>
                  </w:rPr>
                  <w:t>34</w:t>
                </w:r>
                <w:r w:rsidR="00623AF8" w:rsidRPr="002E0E33">
                  <w:rPr>
                    <w:noProof/>
                    <w:webHidden/>
                  </w:rPr>
                  <w:fldChar w:fldCharType="end"/>
                </w:r>
              </w:hyperlink>
            </w:p>
            <w:p w14:paraId="007D2E2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47" w:history="1">
                <w:r w:rsidR="00623AF8" w:rsidRPr="002E0E33">
                  <w:rPr>
                    <w:rStyle w:val="Hyperlink"/>
                    <w:rFonts w:ascii="Aptos" w:hAnsi="Aptos"/>
                    <w:noProof/>
                  </w:rPr>
                  <w:t>Verursacherprinzip – vollständige und wirksame Umsetzung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_Toc170983647 \h </w:instrText>
                </w:r>
                <w:r w:rsidR="00623AF8" w:rsidRPr="002E0E33">
                  <w:rPr>
                    <w:noProof/>
                    <w:webHidden/>
                  </w:rPr>
                </w:r>
                <w:r w:rsidR="00623AF8" w:rsidRPr="002E0E33">
                  <w:rPr>
                    <w:noProof/>
                    <w:webHidden/>
                  </w:rPr>
                  <w:fldChar w:fldCharType="separate"/>
                </w:r>
                <w:r w:rsidR="00623AF8">
                  <w:rPr>
                    <w:noProof/>
                    <w:webHidden/>
                  </w:rPr>
                  <w:t>35</w:t>
                </w:r>
                <w:r w:rsidR="00623AF8" w:rsidRPr="002E0E33">
                  <w:rPr>
                    <w:noProof/>
                    <w:webHidden/>
                  </w:rPr>
                  <w:fldChar w:fldCharType="end"/>
                </w:r>
              </w:hyperlink>
            </w:p>
            <w:p w14:paraId="5D6164A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48" w:history="1">
                <w:r w:rsidR="00623AF8" w:rsidRPr="002E0E33">
                  <w:rPr>
                    <w:rStyle w:val="Hyperlink"/>
                    <w:rFonts w:ascii="Aptos" w:hAnsi="Aptos"/>
                    <w:noProof/>
                  </w:rPr>
                  <w:t>Nexus Wasser &amp; Biodiversität/Ökologie – Nutzungskonflikte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_Toc170983648 \h </w:instrText>
                </w:r>
                <w:r w:rsidR="00623AF8" w:rsidRPr="002E0E33">
                  <w:rPr>
                    <w:noProof/>
                    <w:webHidden/>
                  </w:rPr>
                </w:r>
                <w:r w:rsidR="00623AF8" w:rsidRPr="002E0E33">
                  <w:rPr>
                    <w:noProof/>
                    <w:webHidden/>
                  </w:rPr>
                  <w:fldChar w:fldCharType="separate"/>
                </w:r>
                <w:r w:rsidR="00623AF8">
                  <w:rPr>
                    <w:noProof/>
                    <w:webHidden/>
                  </w:rPr>
                  <w:t>36</w:t>
                </w:r>
                <w:r w:rsidR="00623AF8" w:rsidRPr="002E0E33">
                  <w:rPr>
                    <w:noProof/>
                    <w:webHidden/>
                  </w:rPr>
                  <w:fldChar w:fldCharType="end"/>
                </w:r>
              </w:hyperlink>
            </w:p>
            <w:p w14:paraId="7C5FB24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49" w:history="1">
                <w:r w:rsidR="00623AF8" w:rsidRPr="002E0E33">
                  <w:rPr>
                    <w:rStyle w:val="Hyperlink"/>
                    <w:rFonts w:ascii="Aptos" w:hAnsi="Aptos"/>
                    <w:noProof/>
                  </w:rPr>
                  <w:t>Nexus Wasser &amp; Energie – Nutzungskonflikte Wasserstoffproduktion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_Toc170983649 \h </w:instrText>
                </w:r>
                <w:r w:rsidR="00623AF8" w:rsidRPr="002E0E33">
                  <w:rPr>
                    <w:noProof/>
                    <w:webHidden/>
                  </w:rPr>
                </w:r>
                <w:r w:rsidR="00623AF8" w:rsidRPr="002E0E33">
                  <w:rPr>
                    <w:noProof/>
                    <w:webHidden/>
                  </w:rPr>
                  <w:fldChar w:fldCharType="separate"/>
                </w:r>
                <w:r w:rsidR="00623AF8">
                  <w:rPr>
                    <w:noProof/>
                    <w:webHidden/>
                  </w:rPr>
                  <w:t>37</w:t>
                </w:r>
                <w:r w:rsidR="00623AF8" w:rsidRPr="002E0E33">
                  <w:rPr>
                    <w:noProof/>
                    <w:webHidden/>
                  </w:rPr>
                  <w:fldChar w:fldCharType="end"/>
                </w:r>
              </w:hyperlink>
            </w:p>
            <w:p w14:paraId="7E48833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50" w:history="1">
                <w:r w:rsidR="00623AF8" w:rsidRPr="002E0E33">
                  <w:rPr>
                    <w:rStyle w:val="Hyperlink"/>
                    <w:rFonts w:ascii="Aptos" w:hAnsi="Aptos"/>
                    <w:noProof/>
                  </w:rPr>
                  <w:t>Konzessionsrichtlinie – Ausnahme Wassersektor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_Toc170983650 \h </w:instrText>
                </w:r>
                <w:r w:rsidR="00623AF8" w:rsidRPr="002E0E33">
                  <w:rPr>
                    <w:noProof/>
                    <w:webHidden/>
                  </w:rPr>
                </w:r>
                <w:r w:rsidR="00623AF8" w:rsidRPr="002E0E33">
                  <w:rPr>
                    <w:noProof/>
                    <w:webHidden/>
                  </w:rPr>
                  <w:fldChar w:fldCharType="separate"/>
                </w:r>
                <w:r w:rsidR="00623AF8">
                  <w:rPr>
                    <w:noProof/>
                    <w:webHidden/>
                  </w:rPr>
                  <w:t>38</w:t>
                </w:r>
                <w:r w:rsidR="00623AF8" w:rsidRPr="002E0E33">
                  <w:rPr>
                    <w:noProof/>
                    <w:webHidden/>
                  </w:rPr>
                  <w:fldChar w:fldCharType="end"/>
                </w:r>
              </w:hyperlink>
            </w:p>
            <w:p w14:paraId="3EDF0BB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51" w:history="1">
                <w:r w:rsidR="00623AF8" w:rsidRPr="002E0E33">
                  <w:rPr>
                    <w:rStyle w:val="Hyperlink"/>
                    <w:rFonts w:ascii="Aptos" w:hAnsi="Aptos"/>
                    <w:noProof/>
                  </w:rPr>
                  <w:t>Überarbeitung der Klärschlamm-Richtlinie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_Toc170983651 \h </w:instrText>
                </w:r>
                <w:r w:rsidR="00623AF8" w:rsidRPr="002E0E33">
                  <w:rPr>
                    <w:noProof/>
                    <w:webHidden/>
                  </w:rPr>
                </w:r>
                <w:r w:rsidR="00623AF8" w:rsidRPr="002E0E33">
                  <w:rPr>
                    <w:noProof/>
                    <w:webHidden/>
                  </w:rPr>
                  <w:fldChar w:fldCharType="separate"/>
                </w:r>
                <w:r w:rsidR="00623AF8">
                  <w:rPr>
                    <w:noProof/>
                    <w:webHidden/>
                  </w:rPr>
                  <w:t>39</w:t>
                </w:r>
                <w:r w:rsidR="00623AF8" w:rsidRPr="002E0E33">
                  <w:rPr>
                    <w:noProof/>
                    <w:webHidden/>
                  </w:rPr>
                  <w:fldChar w:fldCharType="end"/>
                </w:r>
              </w:hyperlink>
            </w:p>
            <w:p w14:paraId="0DD1DFA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52" w:history="1">
                <w:r w:rsidR="00623AF8" w:rsidRPr="002E0E33">
                  <w:rPr>
                    <w:rStyle w:val="Hyperlink"/>
                    <w:rFonts w:ascii="Aptos" w:hAnsi="Aptos"/>
                    <w:noProof/>
                  </w:rPr>
                  <w:t>Zukunft der Wasserrahmen-Richtlinie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_Toc170983652 \h </w:instrText>
                </w:r>
                <w:r w:rsidR="00623AF8" w:rsidRPr="002E0E33">
                  <w:rPr>
                    <w:noProof/>
                    <w:webHidden/>
                  </w:rPr>
                </w:r>
                <w:r w:rsidR="00623AF8" w:rsidRPr="002E0E33">
                  <w:rPr>
                    <w:noProof/>
                    <w:webHidden/>
                  </w:rPr>
                  <w:fldChar w:fldCharType="separate"/>
                </w:r>
                <w:r w:rsidR="00623AF8">
                  <w:rPr>
                    <w:noProof/>
                    <w:webHidden/>
                  </w:rPr>
                  <w:t>40</w:t>
                </w:r>
                <w:r w:rsidR="00623AF8" w:rsidRPr="002E0E33">
                  <w:rPr>
                    <w:noProof/>
                    <w:webHidden/>
                  </w:rPr>
                  <w:fldChar w:fldCharType="end"/>
                </w:r>
              </w:hyperlink>
            </w:p>
            <w:p w14:paraId="477EA20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53" w:history="1">
                <w:r w:rsidR="00623AF8" w:rsidRPr="002E0E33">
                  <w:rPr>
                    <w:rStyle w:val="Hyperlink"/>
                    <w:rFonts w:ascii="Aptos" w:hAnsi="Aptos"/>
                    <w:noProof/>
                  </w:rPr>
                  <w:t>Kohlenstoffabscheidung, -nutzung &amp; -speicherung – Risiken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_Toc170983653 \h </w:instrText>
                </w:r>
                <w:r w:rsidR="00623AF8" w:rsidRPr="002E0E33">
                  <w:rPr>
                    <w:noProof/>
                    <w:webHidden/>
                  </w:rPr>
                </w:r>
                <w:r w:rsidR="00623AF8" w:rsidRPr="002E0E33">
                  <w:rPr>
                    <w:noProof/>
                    <w:webHidden/>
                  </w:rPr>
                  <w:fldChar w:fldCharType="separate"/>
                </w:r>
                <w:r w:rsidR="00623AF8">
                  <w:rPr>
                    <w:noProof/>
                    <w:webHidden/>
                  </w:rPr>
                  <w:t>41</w:t>
                </w:r>
                <w:r w:rsidR="00623AF8" w:rsidRPr="002E0E33">
                  <w:rPr>
                    <w:noProof/>
                    <w:webHidden/>
                  </w:rPr>
                  <w:fldChar w:fldCharType="end"/>
                </w:r>
              </w:hyperlink>
            </w:p>
            <w:p w14:paraId="601B9B0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54" w:history="1">
                <w:r w:rsidR="00623AF8" w:rsidRPr="002E0E33">
                  <w:rPr>
                    <w:rStyle w:val="Hyperlink"/>
                    <w:rFonts w:ascii="Aptos" w:hAnsi="Aptos"/>
                    <w:noProof/>
                  </w:rPr>
                  <w:t>Schadstoffe – Source Control und Vorsorgeprinzip statt End-of-Pipe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_Toc170983654 \h </w:instrText>
                </w:r>
                <w:r w:rsidR="00623AF8" w:rsidRPr="002E0E33">
                  <w:rPr>
                    <w:noProof/>
                    <w:webHidden/>
                  </w:rPr>
                </w:r>
                <w:r w:rsidR="00623AF8" w:rsidRPr="002E0E33">
                  <w:rPr>
                    <w:noProof/>
                    <w:webHidden/>
                  </w:rPr>
                  <w:fldChar w:fldCharType="separate"/>
                </w:r>
                <w:r w:rsidR="00623AF8">
                  <w:rPr>
                    <w:noProof/>
                    <w:webHidden/>
                  </w:rPr>
                  <w:t>42</w:t>
                </w:r>
                <w:r w:rsidR="00623AF8" w:rsidRPr="002E0E33">
                  <w:rPr>
                    <w:noProof/>
                    <w:webHidden/>
                  </w:rPr>
                  <w:fldChar w:fldCharType="end"/>
                </w:r>
              </w:hyperlink>
            </w:p>
            <w:p w14:paraId="1E1707E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55" w:history="1">
                <w:r w:rsidR="00623AF8" w:rsidRPr="002E0E33">
                  <w:rPr>
                    <w:rStyle w:val="Hyperlink"/>
                    <w:rFonts w:ascii="Aptos" w:hAnsi="Aptos"/>
                    <w:noProof/>
                  </w:rPr>
                  <w:t>Forcierung ökologischer Landwirtschaftsformen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_Toc170983655 \h </w:instrText>
                </w:r>
                <w:r w:rsidR="00623AF8" w:rsidRPr="002E0E33">
                  <w:rPr>
                    <w:noProof/>
                    <w:webHidden/>
                  </w:rPr>
                </w:r>
                <w:r w:rsidR="00623AF8" w:rsidRPr="002E0E33">
                  <w:rPr>
                    <w:noProof/>
                    <w:webHidden/>
                  </w:rPr>
                  <w:fldChar w:fldCharType="separate"/>
                </w:r>
                <w:r w:rsidR="00623AF8">
                  <w:rPr>
                    <w:noProof/>
                    <w:webHidden/>
                  </w:rPr>
                  <w:t>43</w:t>
                </w:r>
                <w:r w:rsidR="00623AF8" w:rsidRPr="002E0E33">
                  <w:rPr>
                    <w:noProof/>
                    <w:webHidden/>
                  </w:rPr>
                  <w:fldChar w:fldCharType="end"/>
                </w:r>
              </w:hyperlink>
            </w:p>
            <w:p w14:paraId="7496F0C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56" w:history="1">
                <w:r w:rsidR="00623AF8" w:rsidRPr="002E0E33">
                  <w:rPr>
                    <w:rStyle w:val="Hyperlink"/>
                    <w:rFonts w:ascii="Aptos" w:hAnsi="Aptos"/>
                    <w:noProof/>
                  </w:rPr>
                  <w:t>Reduktion von Leitungsverlusten – Qualitätsmanagement &amp; Benchmarks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_Toc170983656 \h </w:instrText>
                </w:r>
                <w:r w:rsidR="00623AF8" w:rsidRPr="002E0E33">
                  <w:rPr>
                    <w:noProof/>
                    <w:webHidden/>
                  </w:rPr>
                </w:r>
                <w:r w:rsidR="00623AF8" w:rsidRPr="002E0E33">
                  <w:rPr>
                    <w:noProof/>
                    <w:webHidden/>
                  </w:rPr>
                  <w:fldChar w:fldCharType="separate"/>
                </w:r>
                <w:r w:rsidR="00623AF8">
                  <w:rPr>
                    <w:noProof/>
                    <w:webHidden/>
                  </w:rPr>
                  <w:t>44</w:t>
                </w:r>
                <w:r w:rsidR="00623AF8" w:rsidRPr="002E0E33">
                  <w:rPr>
                    <w:noProof/>
                    <w:webHidden/>
                  </w:rPr>
                  <w:fldChar w:fldCharType="end"/>
                </w:r>
              </w:hyperlink>
            </w:p>
            <w:p w14:paraId="5D9FBD2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57" w:history="1">
                <w:r w:rsidR="00623AF8" w:rsidRPr="002E0E33">
                  <w:rPr>
                    <w:rStyle w:val="Hyperlink"/>
                    <w:rFonts w:ascii="Aptos" w:hAnsi="Aptos"/>
                    <w:noProof/>
                  </w:rPr>
                  <w:t>Reduktion von Leitungsverlusten – nachhaltige Investitionen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_Toc170983657 \h </w:instrText>
                </w:r>
                <w:r w:rsidR="00623AF8" w:rsidRPr="002E0E33">
                  <w:rPr>
                    <w:noProof/>
                    <w:webHidden/>
                  </w:rPr>
                </w:r>
                <w:r w:rsidR="00623AF8" w:rsidRPr="002E0E33">
                  <w:rPr>
                    <w:noProof/>
                    <w:webHidden/>
                  </w:rPr>
                  <w:fldChar w:fldCharType="separate"/>
                </w:r>
                <w:r w:rsidR="00623AF8">
                  <w:rPr>
                    <w:noProof/>
                    <w:webHidden/>
                  </w:rPr>
                  <w:t>45</w:t>
                </w:r>
                <w:r w:rsidR="00623AF8" w:rsidRPr="002E0E33">
                  <w:rPr>
                    <w:noProof/>
                    <w:webHidden/>
                  </w:rPr>
                  <w:fldChar w:fldCharType="end"/>
                </w:r>
              </w:hyperlink>
            </w:p>
            <w:p w14:paraId="5429AB9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58" w:history="1">
                <w:r w:rsidR="00623AF8" w:rsidRPr="002E0E33">
                  <w:rPr>
                    <w:rStyle w:val="Hyperlink"/>
                    <w:rFonts w:ascii="Aptos" w:hAnsi="Aptos"/>
                    <w:noProof/>
                  </w:rPr>
                  <w:t>Massiver Investitionsbedarf für Klimawende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_Toc170983658 \h </w:instrText>
                </w:r>
                <w:r w:rsidR="00623AF8" w:rsidRPr="002E0E33">
                  <w:rPr>
                    <w:noProof/>
                    <w:webHidden/>
                  </w:rPr>
                </w:r>
                <w:r w:rsidR="00623AF8" w:rsidRPr="002E0E33">
                  <w:rPr>
                    <w:noProof/>
                    <w:webHidden/>
                  </w:rPr>
                  <w:fldChar w:fldCharType="separate"/>
                </w:r>
                <w:r w:rsidR="00623AF8">
                  <w:rPr>
                    <w:noProof/>
                    <w:webHidden/>
                  </w:rPr>
                  <w:t>46</w:t>
                </w:r>
                <w:r w:rsidR="00623AF8" w:rsidRPr="002E0E33">
                  <w:rPr>
                    <w:noProof/>
                    <w:webHidden/>
                  </w:rPr>
                  <w:fldChar w:fldCharType="end"/>
                </w:r>
              </w:hyperlink>
            </w:p>
            <w:p w14:paraId="5DA8687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59" w:history="1">
                <w:r w:rsidR="00623AF8" w:rsidRPr="002E0E33">
                  <w:rPr>
                    <w:rStyle w:val="Hyperlink"/>
                    <w:rFonts w:ascii="Aptos" w:hAnsi="Aptos"/>
                    <w:noProof/>
                  </w:rPr>
                  <w:t>Transparenz vs. Schutz kritischer Infrastruktur - Wassersektor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_Toc170983659 \h </w:instrText>
                </w:r>
                <w:r w:rsidR="00623AF8" w:rsidRPr="002E0E33">
                  <w:rPr>
                    <w:noProof/>
                    <w:webHidden/>
                  </w:rPr>
                </w:r>
                <w:r w:rsidR="00623AF8" w:rsidRPr="002E0E33">
                  <w:rPr>
                    <w:noProof/>
                    <w:webHidden/>
                  </w:rPr>
                  <w:fldChar w:fldCharType="separate"/>
                </w:r>
                <w:r w:rsidR="00623AF8">
                  <w:rPr>
                    <w:noProof/>
                    <w:webHidden/>
                  </w:rPr>
                  <w:t>47</w:t>
                </w:r>
                <w:r w:rsidR="00623AF8" w:rsidRPr="002E0E33">
                  <w:rPr>
                    <w:noProof/>
                    <w:webHidden/>
                  </w:rPr>
                  <w:fldChar w:fldCharType="end"/>
                </w:r>
              </w:hyperlink>
            </w:p>
            <w:p w14:paraId="20BC884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60" w:history="1">
                <w:r w:rsidR="00623AF8" w:rsidRPr="002E0E33">
                  <w:rPr>
                    <w:rStyle w:val="Hyperlink"/>
                    <w:rFonts w:ascii="Aptos" w:hAnsi="Aptos"/>
                    <w:noProof/>
                  </w:rPr>
                  <w:t>Transparenz vs. Schutz kritischer Infrastruktur – allgemeine Ausrichtung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_Toc170983660 \h </w:instrText>
                </w:r>
                <w:r w:rsidR="00623AF8" w:rsidRPr="002E0E33">
                  <w:rPr>
                    <w:noProof/>
                    <w:webHidden/>
                  </w:rPr>
                </w:r>
                <w:r w:rsidR="00623AF8" w:rsidRPr="002E0E33">
                  <w:rPr>
                    <w:noProof/>
                    <w:webHidden/>
                  </w:rPr>
                  <w:fldChar w:fldCharType="separate"/>
                </w:r>
                <w:r w:rsidR="00623AF8">
                  <w:rPr>
                    <w:noProof/>
                    <w:webHidden/>
                  </w:rPr>
                  <w:t>48</w:t>
                </w:r>
                <w:r w:rsidR="00623AF8" w:rsidRPr="002E0E33">
                  <w:rPr>
                    <w:noProof/>
                    <w:webHidden/>
                  </w:rPr>
                  <w:fldChar w:fldCharType="end"/>
                </w:r>
              </w:hyperlink>
            </w:p>
            <w:p w14:paraId="7BC5E17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61" w:history="1">
                <w:r w:rsidR="00623AF8" w:rsidRPr="002E0E33">
                  <w:rPr>
                    <w:rStyle w:val="Hyperlink"/>
                    <w:rFonts w:ascii="Aptos" w:hAnsi="Aptos"/>
                    <w:noProof/>
                  </w:rPr>
                  <w:t>KI-Technologien im Wassersektor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_Toc170983661 \h </w:instrText>
                </w:r>
                <w:r w:rsidR="00623AF8" w:rsidRPr="002E0E33">
                  <w:rPr>
                    <w:noProof/>
                    <w:webHidden/>
                  </w:rPr>
                </w:r>
                <w:r w:rsidR="00623AF8" w:rsidRPr="002E0E33">
                  <w:rPr>
                    <w:noProof/>
                    <w:webHidden/>
                  </w:rPr>
                  <w:fldChar w:fldCharType="separate"/>
                </w:r>
                <w:r w:rsidR="00623AF8">
                  <w:rPr>
                    <w:noProof/>
                    <w:webHidden/>
                  </w:rPr>
                  <w:t>49</w:t>
                </w:r>
                <w:r w:rsidR="00623AF8" w:rsidRPr="002E0E33">
                  <w:rPr>
                    <w:noProof/>
                    <w:webHidden/>
                  </w:rPr>
                  <w:fldChar w:fldCharType="end"/>
                </w:r>
              </w:hyperlink>
            </w:p>
            <w:p w14:paraId="716776DB" w14:textId="77777777" w:rsidR="00623AF8" w:rsidRDefault="00AC460E" w:rsidP="00623AF8">
              <w:pPr>
                <w:pStyle w:val="Verzeichnis1"/>
                <w:tabs>
                  <w:tab w:val="right" w:leader="dot" w:pos="9060"/>
                </w:tabs>
                <w:rPr>
                  <w:rStyle w:val="Hyperlink"/>
                  <w:noProof/>
                </w:rPr>
              </w:pPr>
              <w:hyperlink w:anchor="_Toc170983662" w:history="1">
                <w:r w:rsidR="00623AF8" w:rsidRPr="002E0E33">
                  <w:rPr>
                    <w:rStyle w:val="Hyperlink"/>
                    <w:rFonts w:ascii="Aptos" w:hAnsi="Aptos"/>
                    <w:noProof/>
                  </w:rPr>
                  <w:t>Erfahrungswissen Städtepolitik</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_Toc170983662 \h </w:instrText>
                </w:r>
                <w:r w:rsidR="00623AF8" w:rsidRPr="002E0E33">
                  <w:rPr>
                    <w:noProof/>
                    <w:webHidden/>
                  </w:rPr>
                </w:r>
                <w:r w:rsidR="00623AF8" w:rsidRPr="002E0E33">
                  <w:rPr>
                    <w:noProof/>
                    <w:webHidden/>
                  </w:rPr>
                  <w:fldChar w:fldCharType="separate"/>
                </w:r>
                <w:r w:rsidR="00623AF8">
                  <w:rPr>
                    <w:noProof/>
                    <w:webHidden/>
                  </w:rPr>
                  <w:t>50</w:t>
                </w:r>
                <w:r w:rsidR="00623AF8" w:rsidRPr="002E0E33">
                  <w:rPr>
                    <w:noProof/>
                    <w:webHidden/>
                  </w:rPr>
                  <w:fldChar w:fldCharType="end"/>
                </w:r>
              </w:hyperlink>
            </w:p>
            <w:p w14:paraId="2947ADAA" w14:textId="77777777" w:rsidR="00623AF8" w:rsidRPr="0098301F" w:rsidRDefault="00623AF8" w:rsidP="00623AF8">
              <w:pPr>
                <w:rPr>
                  <w:noProof/>
                </w:rPr>
              </w:pPr>
            </w:p>
            <w:p w14:paraId="3DDE2135" w14:textId="77777777" w:rsidR="00623AF8" w:rsidRPr="0083382F" w:rsidRDefault="00AC460E" w:rsidP="00623AF8">
              <w:pPr>
                <w:pStyle w:val="Verzeichnis1"/>
                <w:tabs>
                  <w:tab w:val="right" w:leader="dot" w:pos="9060"/>
                </w:tabs>
                <w:rPr>
                  <w:rFonts w:eastAsiaTheme="minorEastAsia"/>
                  <w:noProof/>
                  <w:color w:val="FF0000"/>
                  <w:kern w:val="2"/>
                  <w:sz w:val="28"/>
                  <w:szCs w:val="28"/>
                  <w:lang w:eastAsia="de-AT"/>
                  <w14:ligatures w14:val="standardContextual"/>
                </w:rPr>
              </w:pPr>
              <w:hyperlink w:anchor="_Toc170983663" w:history="1">
                <w:r w:rsidR="00623AF8" w:rsidRPr="0083382F">
                  <w:rPr>
                    <w:rStyle w:val="Hyperlink"/>
                    <w:rFonts w:ascii="Aptos" w:hAnsi="Aptos"/>
                    <w:noProof/>
                    <w:color w:val="FF0000"/>
                    <w:sz w:val="28"/>
                    <w:szCs w:val="28"/>
                  </w:rPr>
                  <w:t>En</w:t>
                </w:r>
                <w:r w:rsidR="00623AF8" w:rsidRPr="00CC3F66">
                  <w:rPr>
                    <w:rStyle w:val="Hyperlink"/>
                    <w:rFonts w:ascii="Aptos" w:hAnsi="Aptos"/>
                    <w:noProof/>
                    <w:color w:val="FF0000"/>
                    <w:sz w:val="28"/>
                    <w:szCs w:val="28"/>
                  </w:rPr>
                  <w:t>ergiepolitik</w:t>
                </w:r>
                <w:r w:rsidR="00623AF8" w:rsidRPr="0083382F">
                  <w:rPr>
                    <w:noProof/>
                    <w:webHidden/>
                    <w:sz w:val="28"/>
                    <w:szCs w:val="28"/>
                  </w:rPr>
                  <w:tab/>
                </w:r>
                <w:r w:rsidR="00623AF8" w:rsidRPr="0083382F">
                  <w:rPr>
                    <w:noProof/>
                    <w:webHidden/>
                    <w:sz w:val="28"/>
                    <w:szCs w:val="28"/>
                  </w:rPr>
                  <w:fldChar w:fldCharType="begin"/>
                </w:r>
                <w:r w:rsidR="00623AF8" w:rsidRPr="0083382F">
                  <w:rPr>
                    <w:noProof/>
                    <w:webHidden/>
                    <w:sz w:val="28"/>
                    <w:szCs w:val="28"/>
                  </w:rPr>
                  <w:instrText xml:space="preserve"> PAGEREF _Toc170983663 \h </w:instrText>
                </w:r>
                <w:r w:rsidR="00623AF8" w:rsidRPr="0083382F">
                  <w:rPr>
                    <w:noProof/>
                    <w:webHidden/>
                    <w:sz w:val="28"/>
                    <w:szCs w:val="28"/>
                  </w:rPr>
                </w:r>
                <w:r w:rsidR="00623AF8" w:rsidRPr="0083382F">
                  <w:rPr>
                    <w:noProof/>
                    <w:webHidden/>
                    <w:sz w:val="28"/>
                    <w:szCs w:val="28"/>
                  </w:rPr>
                  <w:fldChar w:fldCharType="separate"/>
                </w:r>
                <w:r w:rsidR="00623AF8">
                  <w:rPr>
                    <w:noProof/>
                    <w:webHidden/>
                    <w:sz w:val="28"/>
                    <w:szCs w:val="28"/>
                  </w:rPr>
                  <w:t>51</w:t>
                </w:r>
                <w:r w:rsidR="00623AF8" w:rsidRPr="0083382F">
                  <w:rPr>
                    <w:noProof/>
                    <w:webHidden/>
                    <w:sz w:val="28"/>
                    <w:szCs w:val="28"/>
                  </w:rPr>
                  <w:fldChar w:fldCharType="end"/>
                </w:r>
              </w:hyperlink>
            </w:p>
            <w:p w14:paraId="0DACCEE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64" w:history="1">
                <w:r w:rsidR="00623AF8" w:rsidRPr="002E0E33">
                  <w:rPr>
                    <w:rStyle w:val="Hyperlink"/>
                    <w:rFonts w:ascii="Aptos" w:hAnsi="Aptos"/>
                    <w:noProof/>
                  </w:rPr>
                  <w:t>Vorantreiben der Systemdienlichkeit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_Toc170983664 \h </w:instrText>
                </w:r>
                <w:r w:rsidR="00623AF8" w:rsidRPr="002E0E33">
                  <w:rPr>
                    <w:noProof/>
                    <w:webHidden/>
                  </w:rPr>
                </w:r>
                <w:r w:rsidR="00623AF8" w:rsidRPr="002E0E33">
                  <w:rPr>
                    <w:noProof/>
                    <w:webHidden/>
                  </w:rPr>
                  <w:fldChar w:fldCharType="separate"/>
                </w:r>
                <w:r w:rsidR="00623AF8">
                  <w:rPr>
                    <w:noProof/>
                    <w:webHidden/>
                  </w:rPr>
                  <w:t>51</w:t>
                </w:r>
                <w:r w:rsidR="00623AF8" w:rsidRPr="002E0E33">
                  <w:rPr>
                    <w:noProof/>
                    <w:webHidden/>
                  </w:rPr>
                  <w:fldChar w:fldCharType="end"/>
                </w:r>
              </w:hyperlink>
            </w:p>
            <w:p w14:paraId="398AA69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65" w:history="1">
                <w:r w:rsidR="00623AF8" w:rsidRPr="002E0E33">
                  <w:rPr>
                    <w:rStyle w:val="Hyperlink"/>
                    <w:rFonts w:ascii="Aptos" w:hAnsi="Aptos"/>
                    <w:noProof/>
                  </w:rPr>
                  <w:t>Wasserkraft als Eckpfeiler für systemdienliche Flexibilität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_Toc170983665 \h </w:instrText>
                </w:r>
                <w:r w:rsidR="00623AF8" w:rsidRPr="002E0E33">
                  <w:rPr>
                    <w:noProof/>
                    <w:webHidden/>
                  </w:rPr>
                </w:r>
                <w:r w:rsidR="00623AF8" w:rsidRPr="002E0E33">
                  <w:rPr>
                    <w:noProof/>
                    <w:webHidden/>
                  </w:rPr>
                  <w:fldChar w:fldCharType="separate"/>
                </w:r>
                <w:r w:rsidR="00623AF8">
                  <w:rPr>
                    <w:noProof/>
                    <w:webHidden/>
                  </w:rPr>
                  <w:t>52</w:t>
                </w:r>
                <w:r w:rsidR="00623AF8" w:rsidRPr="002E0E33">
                  <w:rPr>
                    <w:noProof/>
                    <w:webHidden/>
                  </w:rPr>
                  <w:fldChar w:fldCharType="end"/>
                </w:r>
              </w:hyperlink>
            </w:p>
            <w:p w14:paraId="172703C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66" w:history="1">
                <w:r w:rsidR="00623AF8" w:rsidRPr="002E0E33">
                  <w:rPr>
                    <w:rStyle w:val="Hyperlink"/>
                    <w:rFonts w:ascii="Aptos" w:hAnsi="Aptos"/>
                    <w:noProof/>
                  </w:rPr>
                  <w:t>Biomethan als Eckpfeiler für systemdienliche Flexibilität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_Toc170983666 \h </w:instrText>
                </w:r>
                <w:r w:rsidR="00623AF8" w:rsidRPr="002E0E33">
                  <w:rPr>
                    <w:noProof/>
                    <w:webHidden/>
                  </w:rPr>
                </w:r>
                <w:r w:rsidR="00623AF8" w:rsidRPr="002E0E33">
                  <w:rPr>
                    <w:noProof/>
                    <w:webHidden/>
                  </w:rPr>
                  <w:fldChar w:fldCharType="separate"/>
                </w:r>
                <w:r w:rsidR="00623AF8">
                  <w:rPr>
                    <w:noProof/>
                    <w:webHidden/>
                  </w:rPr>
                  <w:t>53</w:t>
                </w:r>
                <w:r w:rsidR="00623AF8" w:rsidRPr="002E0E33">
                  <w:rPr>
                    <w:noProof/>
                    <w:webHidden/>
                  </w:rPr>
                  <w:fldChar w:fldCharType="end"/>
                </w:r>
              </w:hyperlink>
            </w:p>
            <w:p w14:paraId="4EC8668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67" w:history="1">
                <w:r w:rsidR="00623AF8" w:rsidRPr="002E0E33">
                  <w:rPr>
                    <w:rStyle w:val="Hyperlink"/>
                    <w:rFonts w:ascii="Aptos" w:hAnsi="Aptos"/>
                    <w:noProof/>
                  </w:rPr>
                  <w:t>Verbrauchsnahe Energieproduktion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_Toc170983667 \h </w:instrText>
                </w:r>
                <w:r w:rsidR="00623AF8" w:rsidRPr="002E0E33">
                  <w:rPr>
                    <w:noProof/>
                    <w:webHidden/>
                  </w:rPr>
                </w:r>
                <w:r w:rsidR="00623AF8" w:rsidRPr="002E0E33">
                  <w:rPr>
                    <w:noProof/>
                    <w:webHidden/>
                  </w:rPr>
                  <w:fldChar w:fldCharType="separate"/>
                </w:r>
                <w:r w:rsidR="00623AF8">
                  <w:rPr>
                    <w:noProof/>
                    <w:webHidden/>
                  </w:rPr>
                  <w:t>54</w:t>
                </w:r>
                <w:r w:rsidR="00623AF8" w:rsidRPr="002E0E33">
                  <w:rPr>
                    <w:noProof/>
                    <w:webHidden/>
                  </w:rPr>
                  <w:fldChar w:fldCharType="end"/>
                </w:r>
              </w:hyperlink>
            </w:p>
            <w:p w14:paraId="7911E0D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68" w:history="1">
                <w:r w:rsidR="00623AF8" w:rsidRPr="002E0E33">
                  <w:rPr>
                    <w:rStyle w:val="Hyperlink"/>
                    <w:rFonts w:ascii="Aptos" w:hAnsi="Aptos"/>
                    <w:noProof/>
                  </w:rPr>
                  <w:t>Initiativen zum Ausbau der Netzinfrastruktur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_Toc170983668 \h </w:instrText>
                </w:r>
                <w:r w:rsidR="00623AF8" w:rsidRPr="002E0E33">
                  <w:rPr>
                    <w:noProof/>
                    <w:webHidden/>
                  </w:rPr>
                </w:r>
                <w:r w:rsidR="00623AF8" w:rsidRPr="002E0E33">
                  <w:rPr>
                    <w:noProof/>
                    <w:webHidden/>
                  </w:rPr>
                  <w:fldChar w:fldCharType="separate"/>
                </w:r>
                <w:r w:rsidR="00623AF8">
                  <w:rPr>
                    <w:noProof/>
                    <w:webHidden/>
                  </w:rPr>
                  <w:t>55</w:t>
                </w:r>
                <w:r w:rsidR="00623AF8" w:rsidRPr="002E0E33">
                  <w:rPr>
                    <w:noProof/>
                    <w:webHidden/>
                  </w:rPr>
                  <w:fldChar w:fldCharType="end"/>
                </w:r>
              </w:hyperlink>
            </w:p>
            <w:p w14:paraId="3DEC9BB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69" w:history="1">
                <w:r w:rsidR="00623AF8" w:rsidRPr="002E0E33">
                  <w:rPr>
                    <w:rStyle w:val="Hyperlink"/>
                    <w:rFonts w:ascii="Aptos" w:hAnsi="Aptos"/>
                    <w:noProof/>
                  </w:rPr>
                  <w:t>Finanzierung des Netzausbaus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_Toc170983669 \h </w:instrText>
                </w:r>
                <w:r w:rsidR="00623AF8" w:rsidRPr="002E0E33">
                  <w:rPr>
                    <w:noProof/>
                    <w:webHidden/>
                  </w:rPr>
                </w:r>
                <w:r w:rsidR="00623AF8" w:rsidRPr="002E0E33">
                  <w:rPr>
                    <w:noProof/>
                    <w:webHidden/>
                  </w:rPr>
                  <w:fldChar w:fldCharType="separate"/>
                </w:r>
                <w:r w:rsidR="00623AF8">
                  <w:rPr>
                    <w:noProof/>
                    <w:webHidden/>
                  </w:rPr>
                  <w:t>56</w:t>
                </w:r>
                <w:r w:rsidR="00623AF8" w:rsidRPr="002E0E33">
                  <w:rPr>
                    <w:noProof/>
                    <w:webHidden/>
                  </w:rPr>
                  <w:fldChar w:fldCharType="end"/>
                </w:r>
              </w:hyperlink>
            </w:p>
            <w:p w14:paraId="391E60B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70" w:history="1">
                <w:r w:rsidR="00623AF8" w:rsidRPr="002E0E33">
                  <w:rPr>
                    <w:rStyle w:val="Hyperlink"/>
                    <w:rFonts w:ascii="Aptos" w:hAnsi="Aptos"/>
                    <w:noProof/>
                  </w:rPr>
                  <w:t>Effizientere Genehmigungsverfahren für die Netzinfrastruktur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_Toc170983670 \h </w:instrText>
                </w:r>
                <w:r w:rsidR="00623AF8" w:rsidRPr="002E0E33">
                  <w:rPr>
                    <w:noProof/>
                    <w:webHidden/>
                  </w:rPr>
                </w:r>
                <w:r w:rsidR="00623AF8" w:rsidRPr="002E0E33">
                  <w:rPr>
                    <w:noProof/>
                    <w:webHidden/>
                  </w:rPr>
                  <w:fldChar w:fldCharType="separate"/>
                </w:r>
                <w:r w:rsidR="00623AF8">
                  <w:rPr>
                    <w:noProof/>
                    <w:webHidden/>
                  </w:rPr>
                  <w:t>57</w:t>
                </w:r>
                <w:r w:rsidR="00623AF8" w:rsidRPr="002E0E33">
                  <w:rPr>
                    <w:noProof/>
                    <w:webHidden/>
                  </w:rPr>
                  <w:fldChar w:fldCharType="end"/>
                </w:r>
              </w:hyperlink>
            </w:p>
            <w:p w14:paraId="5D71573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71" w:history="1">
                <w:r w:rsidR="00623AF8" w:rsidRPr="002E0E33">
                  <w:rPr>
                    <w:rStyle w:val="Hyperlink"/>
                    <w:rFonts w:ascii="Aptos" w:hAnsi="Aptos"/>
                    <w:noProof/>
                  </w:rPr>
                  <w:t>Beschleunigung von Genehmigungsverfahren für erneuerbare Stromerzeugung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_Toc170983671 \h </w:instrText>
                </w:r>
                <w:r w:rsidR="00623AF8" w:rsidRPr="002E0E33">
                  <w:rPr>
                    <w:noProof/>
                    <w:webHidden/>
                  </w:rPr>
                </w:r>
                <w:r w:rsidR="00623AF8" w:rsidRPr="002E0E33">
                  <w:rPr>
                    <w:noProof/>
                    <w:webHidden/>
                  </w:rPr>
                  <w:fldChar w:fldCharType="separate"/>
                </w:r>
                <w:r w:rsidR="00623AF8">
                  <w:rPr>
                    <w:noProof/>
                    <w:webHidden/>
                  </w:rPr>
                  <w:t>58</w:t>
                </w:r>
                <w:r w:rsidR="00623AF8" w:rsidRPr="002E0E33">
                  <w:rPr>
                    <w:noProof/>
                    <w:webHidden/>
                  </w:rPr>
                  <w:fldChar w:fldCharType="end"/>
                </w:r>
              </w:hyperlink>
            </w:p>
            <w:p w14:paraId="602CF50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72" w:history="1">
                <w:r w:rsidR="00623AF8" w:rsidRPr="002E0E33">
                  <w:rPr>
                    <w:rStyle w:val="Hyperlink"/>
                    <w:rFonts w:ascii="Aptos" w:hAnsi="Aptos"/>
                    <w:noProof/>
                  </w:rPr>
                  <w:t>Effizientere Genehmigungsverfahren für Produktionsanlagen für erneuerbare Energie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_Toc170983672 \h </w:instrText>
                </w:r>
                <w:r w:rsidR="00623AF8" w:rsidRPr="002E0E33">
                  <w:rPr>
                    <w:noProof/>
                    <w:webHidden/>
                  </w:rPr>
                </w:r>
                <w:r w:rsidR="00623AF8" w:rsidRPr="002E0E33">
                  <w:rPr>
                    <w:noProof/>
                    <w:webHidden/>
                  </w:rPr>
                  <w:fldChar w:fldCharType="separate"/>
                </w:r>
                <w:r w:rsidR="00623AF8">
                  <w:rPr>
                    <w:noProof/>
                    <w:webHidden/>
                  </w:rPr>
                  <w:t>59</w:t>
                </w:r>
                <w:r w:rsidR="00623AF8" w:rsidRPr="002E0E33">
                  <w:rPr>
                    <w:noProof/>
                    <w:webHidden/>
                  </w:rPr>
                  <w:fldChar w:fldCharType="end"/>
                </w:r>
              </w:hyperlink>
            </w:p>
            <w:p w14:paraId="37C047D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73" w:history="1">
                <w:r w:rsidR="00623AF8" w:rsidRPr="002E0E33">
                  <w:rPr>
                    <w:rStyle w:val="Hyperlink"/>
                    <w:rFonts w:ascii="Aptos" w:hAnsi="Aptos"/>
                    <w:noProof/>
                  </w:rPr>
                  <w:t>Datenhoheit zur Umsetzung von Smart Grids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_Toc170983673 \h </w:instrText>
                </w:r>
                <w:r w:rsidR="00623AF8" w:rsidRPr="002E0E33">
                  <w:rPr>
                    <w:noProof/>
                    <w:webHidden/>
                  </w:rPr>
                </w:r>
                <w:r w:rsidR="00623AF8" w:rsidRPr="002E0E33">
                  <w:rPr>
                    <w:noProof/>
                    <w:webHidden/>
                  </w:rPr>
                  <w:fldChar w:fldCharType="separate"/>
                </w:r>
                <w:r w:rsidR="00623AF8">
                  <w:rPr>
                    <w:noProof/>
                    <w:webHidden/>
                  </w:rPr>
                  <w:t>60</w:t>
                </w:r>
                <w:r w:rsidR="00623AF8" w:rsidRPr="002E0E33">
                  <w:rPr>
                    <w:noProof/>
                    <w:webHidden/>
                  </w:rPr>
                  <w:fldChar w:fldCharType="end"/>
                </w:r>
              </w:hyperlink>
            </w:p>
            <w:p w14:paraId="66919F9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74" w:history="1">
                <w:r w:rsidR="00623AF8" w:rsidRPr="002E0E33">
                  <w:rPr>
                    <w:rStyle w:val="Hyperlink"/>
                    <w:rFonts w:ascii="Aptos" w:hAnsi="Aptos"/>
                    <w:noProof/>
                  </w:rPr>
                  <w:t>Finanzierung von Smart Grids durch VNB</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_Toc170983674 \h </w:instrText>
                </w:r>
                <w:r w:rsidR="00623AF8" w:rsidRPr="002E0E33">
                  <w:rPr>
                    <w:noProof/>
                    <w:webHidden/>
                  </w:rPr>
                </w:r>
                <w:r w:rsidR="00623AF8" w:rsidRPr="002E0E33">
                  <w:rPr>
                    <w:noProof/>
                    <w:webHidden/>
                  </w:rPr>
                  <w:fldChar w:fldCharType="separate"/>
                </w:r>
                <w:r w:rsidR="00623AF8">
                  <w:rPr>
                    <w:noProof/>
                    <w:webHidden/>
                  </w:rPr>
                  <w:t>61</w:t>
                </w:r>
                <w:r w:rsidR="00623AF8" w:rsidRPr="002E0E33">
                  <w:rPr>
                    <w:noProof/>
                    <w:webHidden/>
                  </w:rPr>
                  <w:fldChar w:fldCharType="end"/>
                </w:r>
              </w:hyperlink>
            </w:p>
            <w:p w14:paraId="7BA4F19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75" w:history="1">
                <w:r w:rsidR="00623AF8" w:rsidRPr="002E0E33">
                  <w:rPr>
                    <w:rStyle w:val="Hyperlink"/>
                    <w:rFonts w:ascii="Aptos" w:hAnsi="Aptos"/>
                    <w:noProof/>
                  </w:rPr>
                  <w:t>Investitionen in die Digitalisierung zur Datennutzung und Steuerung durch VNB</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_Toc170983675 \h </w:instrText>
                </w:r>
                <w:r w:rsidR="00623AF8" w:rsidRPr="002E0E33">
                  <w:rPr>
                    <w:noProof/>
                    <w:webHidden/>
                  </w:rPr>
                </w:r>
                <w:r w:rsidR="00623AF8" w:rsidRPr="002E0E33">
                  <w:rPr>
                    <w:noProof/>
                    <w:webHidden/>
                  </w:rPr>
                  <w:fldChar w:fldCharType="separate"/>
                </w:r>
                <w:r w:rsidR="00623AF8">
                  <w:rPr>
                    <w:noProof/>
                    <w:webHidden/>
                  </w:rPr>
                  <w:t>62</w:t>
                </w:r>
                <w:r w:rsidR="00623AF8" w:rsidRPr="002E0E33">
                  <w:rPr>
                    <w:noProof/>
                    <w:webHidden/>
                  </w:rPr>
                  <w:fldChar w:fldCharType="end"/>
                </w:r>
              </w:hyperlink>
            </w:p>
            <w:p w14:paraId="01D550D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76" w:history="1">
                <w:r w:rsidR="00623AF8" w:rsidRPr="002E0E33">
                  <w:rPr>
                    <w:rStyle w:val="Hyperlink"/>
                    <w:rFonts w:ascii="Aptos" w:hAnsi="Aptos"/>
                    <w:noProof/>
                  </w:rPr>
                  <w:t>Transparenz vs. Schutz kritischer Infrastruktur – allgemeine Ausrichtung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_Toc170983676 \h </w:instrText>
                </w:r>
                <w:r w:rsidR="00623AF8" w:rsidRPr="002E0E33">
                  <w:rPr>
                    <w:noProof/>
                    <w:webHidden/>
                  </w:rPr>
                </w:r>
                <w:r w:rsidR="00623AF8" w:rsidRPr="002E0E33">
                  <w:rPr>
                    <w:noProof/>
                    <w:webHidden/>
                  </w:rPr>
                  <w:fldChar w:fldCharType="separate"/>
                </w:r>
                <w:r w:rsidR="00623AF8">
                  <w:rPr>
                    <w:noProof/>
                    <w:webHidden/>
                  </w:rPr>
                  <w:t>63</w:t>
                </w:r>
                <w:r w:rsidR="00623AF8" w:rsidRPr="002E0E33">
                  <w:rPr>
                    <w:noProof/>
                    <w:webHidden/>
                  </w:rPr>
                  <w:fldChar w:fldCharType="end"/>
                </w:r>
              </w:hyperlink>
            </w:p>
            <w:p w14:paraId="6F8A8B30"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77" w:history="1">
                <w:r w:rsidR="00623AF8" w:rsidRPr="002E0E33">
                  <w:rPr>
                    <w:rStyle w:val="Hyperlink"/>
                    <w:rFonts w:ascii="Aptos" w:hAnsi="Aptos"/>
                    <w:noProof/>
                  </w:rPr>
                  <w:t>Maßnahmen zur Verbesserung der transnationalen Cybersicherheit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_Toc170983677 \h </w:instrText>
                </w:r>
                <w:r w:rsidR="00623AF8" w:rsidRPr="002E0E33">
                  <w:rPr>
                    <w:noProof/>
                    <w:webHidden/>
                  </w:rPr>
                </w:r>
                <w:r w:rsidR="00623AF8" w:rsidRPr="002E0E33">
                  <w:rPr>
                    <w:noProof/>
                    <w:webHidden/>
                  </w:rPr>
                  <w:fldChar w:fldCharType="separate"/>
                </w:r>
                <w:r w:rsidR="00623AF8">
                  <w:rPr>
                    <w:noProof/>
                    <w:webHidden/>
                  </w:rPr>
                  <w:t>64</w:t>
                </w:r>
                <w:r w:rsidR="00623AF8" w:rsidRPr="002E0E33">
                  <w:rPr>
                    <w:noProof/>
                    <w:webHidden/>
                  </w:rPr>
                  <w:fldChar w:fldCharType="end"/>
                </w:r>
              </w:hyperlink>
            </w:p>
            <w:p w14:paraId="310A96C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78" w:history="1">
                <w:r w:rsidR="00623AF8" w:rsidRPr="002E0E33">
                  <w:rPr>
                    <w:rStyle w:val="Hyperlink"/>
                    <w:rFonts w:ascii="Aptos" w:hAnsi="Aptos"/>
                    <w:noProof/>
                  </w:rPr>
                  <w:t>Verpflichtung zur Dekarbonisierung im Just-Transition-Mechanismus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_Toc170983678 \h </w:instrText>
                </w:r>
                <w:r w:rsidR="00623AF8" w:rsidRPr="002E0E33">
                  <w:rPr>
                    <w:noProof/>
                    <w:webHidden/>
                  </w:rPr>
                </w:r>
                <w:r w:rsidR="00623AF8" w:rsidRPr="002E0E33">
                  <w:rPr>
                    <w:noProof/>
                    <w:webHidden/>
                  </w:rPr>
                  <w:fldChar w:fldCharType="separate"/>
                </w:r>
                <w:r w:rsidR="00623AF8">
                  <w:rPr>
                    <w:noProof/>
                    <w:webHidden/>
                  </w:rPr>
                  <w:t>65</w:t>
                </w:r>
                <w:r w:rsidR="00623AF8" w:rsidRPr="002E0E33">
                  <w:rPr>
                    <w:noProof/>
                    <w:webHidden/>
                  </w:rPr>
                  <w:fldChar w:fldCharType="end"/>
                </w:r>
              </w:hyperlink>
            </w:p>
            <w:p w14:paraId="7E47B8F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79" w:history="1">
                <w:r w:rsidR="00623AF8" w:rsidRPr="002E0E33">
                  <w:rPr>
                    <w:rStyle w:val="Hyperlink"/>
                    <w:rFonts w:ascii="Aptos" w:hAnsi="Aptos"/>
                    <w:noProof/>
                  </w:rPr>
                  <w:t>Beschäftigungskriterien für Just-Transition-Förderungen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_Toc170983679 \h </w:instrText>
                </w:r>
                <w:r w:rsidR="00623AF8" w:rsidRPr="002E0E33">
                  <w:rPr>
                    <w:noProof/>
                    <w:webHidden/>
                  </w:rPr>
                </w:r>
                <w:r w:rsidR="00623AF8" w:rsidRPr="002E0E33">
                  <w:rPr>
                    <w:noProof/>
                    <w:webHidden/>
                  </w:rPr>
                  <w:fldChar w:fldCharType="separate"/>
                </w:r>
                <w:r w:rsidR="00623AF8">
                  <w:rPr>
                    <w:noProof/>
                    <w:webHidden/>
                  </w:rPr>
                  <w:t>66</w:t>
                </w:r>
                <w:r w:rsidR="00623AF8" w:rsidRPr="002E0E33">
                  <w:rPr>
                    <w:noProof/>
                    <w:webHidden/>
                  </w:rPr>
                  <w:fldChar w:fldCharType="end"/>
                </w:r>
              </w:hyperlink>
            </w:p>
            <w:p w14:paraId="208EF58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80" w:history="1">
                <w:r w:rsidR="00623AF8" w:rsidRPr="002E0E33">
                  <w:rPr>
                    <w:rStyle w:val="Hyperlink"/>
                    <w:rFonts w:ascii="Aptos" w:hAnsi="Aptos"/>
                    <w:noProof/>
                  </w:rPr>
                  <w:t>Umschulungsprojekte im Sinne des Just-Transition-Mechanismus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_Toc170983680 \h </w:instrText>
                </w:r>
                <w:r w:rsidR="00623AF8" w:rsidRPr="002E0E33">
                  <w:rPr>
                    <w:noProof/>
                    <w:webHidden/>
                  </w:rPr>
                </w:r>
                <w:r w:rsidR="00623AF8" w:rsidRPr="002E0E33">
                  <w:rPr>
                    <w:noProof/>
                    <w:webHidden/>
                  </w:rPr>
                  <w:fldChar w:fldCharType="separate"/>
                </w:r>
                <w:r w:rsidR="00623AF8">
                  <w:rPr>
                    <w:noProof/>
                    <w:webHidden/>
                  </w:rPr>
                  <w:t>67</w:t>
                </w:r>
                <w:r w:rsidR="00623AF8" w:rsidRPr="002E0E33">
                  <w:rPr>
                    <w:noProof/>
                    <w:webHidden/>
                  </w:rPr>
                  <w:fldChar w:fldCharType="end"/>
                </w:r>
              </w:hyperlink>
            </w:p>
            <w:p w14:paraId="276E1F2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81" w:history="1">
                <w:r w:rsidR="00623AF8" w:rsidRPr="002E0E33">
                  <w:rPr>
                    <w:rStyle w:val="Hyperlink"/>
                    <w:rFonts w:ascii="Aptos" w:hAnsi="Aptos"/>
                    <w:noProof/>
                  </w:rPr>
                  <w:t>Weitere Förderungen für sozial schwächer gestellte Personen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_Toc170983681 \h </w:instrText>
                </w:r>
                <w:r w:rsidR="00623AF8" w:rsidRPr="002E0E33">
                  <w:rPr>
                    <w:noProof/>
                    <w:webHidden/>
                  </w:rPr>
                </w:r>
                <w:r w:rsidR="00623AF8" w:rsidRPr="002E0E33">
                  <w:rPr>
                    <w:noProof/>
                    <w:webHidden/>
                  </w:rPr>
                  <w:fldChar w:fldCharType="separate"/>
                </w:r>
                <w:r w:rsidR="00623AF8">
                  <w:rPr>
                    <w:noProof/>
                    <w:webHidden/>
                  </w:rPr>
                  <w:t>68</w:t>
                </w:r>
                <w:r w:rsidR="00623AF8" w:rsidRPr="002E0E33">
                  <w:rPr>
                    <w:noProof/>
                    <w:webHidden/>
                  </w:rPr>
                  <w:fldChar w:fldCharType="end"/>
                </w:r>
              </w:hyperlink>
            </w:p>
            <w:p w14:paraId="46AEC0B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82" w:history="1">
                <w:r w:rsidR="00623AF8" w:rsidRPr="002E0E33">
                  <w:rPr>
                    <w:rStyle w:val="Hyperlink"/>
                    <w:rFonts w:ascii="Aptos" w:hAnsi="Aptos"/>
                    <w:noProof/>
                  </w:rPr>
                  <w:t>Gewährleistung von Bildungsniveaus, Möglichkeiten und Chancen im Energiesektor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_Toc170983682 \h </w:instrText>
                </w:r>
                <w:r w:rsidR="00623AF8" w:rsidRPr="002E0E33">
                  <w:rPr>
                    <w:noProof/>
                    <w:webHidden/>
                  </w:rPr>
                </w:r>
                <w:r w:rsidR="00623AF8" w:rsidRPr="002E0E33">
                  <w:rPr>
                    <w:noProof/>
                    <w:webHidden/>
                  </w:rPr>
                  <w:fldChar w:fldCharType="separate"/>
                </w:r>
                <w:r w:rsidR="00623AF8">
                  <w:rPr>
                    <w:noProof/>
                    <w:webHidden/>
                  </w:rPr>
                  <w:t>69</w:t>
                </w:r>
                <w:r w:rsidR="00623AF8" w:rsidRPr="002E0E33">
                  <w:rPr>
                    <w:noProof/>
                    <w:webHidden/>
                  </w:rPr>
                  <w:fldChar w:fldCharType="end"/>
                </w:r>
              </w:hyperlink>
            </w:p>
            <w:p w14:paraId="3924DFC3"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83" w:history="1">
                <w:r w:rsidR="00623AF8" w:rsidRPr="002E0E33">
                  <w:rPr>
                    <w:rStyle w:val="Hyperlink"/>
                    <w:rFonts w:ascii="Aptos" w:hAnsi="Aptos"/>
                    <w:noProof/>
                  </w:rPr>
                  <w:t>Sicherstellung bezahlbarer Energieversorgung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_Toc170983683 \h </w:instrText>
                </w:r>
                <w:r w:rsidR="00623AF8" w:rsidRPr="002E0E33">
                  <w:rPr>
                    <w:noProof/>
                    <w:webHidden/>
                  </w:rPr>
                </w:r>
                <w:r w:rsidR="00623AF8" w:rsidRPr="002E0E33">
                  <w:rPr>
                    <w:noProof/>
                    <w:webHidden/>
                  </w:rPr>
                  <w:fldChar w:fldCharType="separate"/>
                </w:r>
                <w:r w:rsidR="00623AF8">
                  <w:rPr>
                    <w:noProof/>
                    <w:webHidden/>
                  </w:rPr>
                  <w:t>70</w:t>
                </w:r>
                <w:r w:rsidR="00623AF8" w:rsidRPr="002E0E33">
                  <w:rPr>
                    <w:noProof/>
                    <w:webHidden/>
                  </w:rPr>
                  <w:fldChar w:fldCharType="end"/>
                </w:r>
              </w:hyperlink>
            </w:p>
            <w:p w14:paraId="56A9122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84" w:history="1">
                <w:r w:rsidR="00623AF8" w:rsidRPr="002E0E33">
                  <w:rPr>
                    <w:rStyle w:val="Hyperlink"/>
                    <w:rFonts w:ascii="Aptos" w:hAnsi="Aptos"/>
                    <w:noProof/>
                  </w:rPr>
                  <w:t>Stabile und bezahlbare Elektrizität im Bahnsektor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_Toc170983684 \h </w:instrText>
                </w:r>
                <w:r w:rsidR="00623AF8" w:rsidRPr="002E0E33">
                  <w:rPr>
                    <w:noProof/>
                    <w:webHidden/>
                  </w:rPr>
                </w:r>
                <w:r w:rsidR="00623AF8" w:rsidRPr="002E0E33">
                  <w:rPr>
                    <w:noProof/>
                    <w:webHidden/>
                  </w:rPr>
                  <w:fldChar w:fldCharType="separate"/>
                </w:r>
                <w:r w:rsidR="00623AF8">
                  <w:rPr>
                    <w:noProof/>
                    <w:webHidden/>
                  </w:rPr>
                  <w:t>71</w:t>
                </w:r>
                <w:r w:rsidR="00623AF8" w:rsidRPr="002E0E33">
                  <w:rPr>
                    <w:noProof/>
                    <w:webHidden/>
                  </w:rPr>
                  <w:fldChar w:fldCharType="end"/>
                </w:r>
              </w:hyperlink>
            </w:p>
            <w:p w14:paraId="2F2A6BF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85" w:history="1">
                <w:r w:rsidR="00623AF8" w:rsidRPr="002E0E33">
                  <w:rPr>
                    <w:rStyle w:val="Hyperlink"/>
                    <w:rFonts w:ascii="Aptos" w:hAnsi="Aptos"/>
                    <w:noProof/>
                  </w:rPr>
                  <w:t>Modellideen für regulierte Energiegrundversorgung benachteiligter Bevölkerungsgruppen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_Toc170983685 \h </w:instrText>
                </w:r>
                <w:r w:rsidR="00623AF8" w:rsidRPr="002E0E33">
                  <w:rPr>
                    <w:noProof/>
                    <w:webHidden/>
                  </w:rPr>
                </w:r>
                <w:r w:rsidR="00623AF8" w:rsidRPr="002E0E33">
                  <w:rPr>
                    <w:noProof/>
                    <w:webHidden/>
                  </w:rPr>
                  <w:fldChar w:fldCharType="separate"/>
                </w:r>
                <w:r w:rsidR="00623AF8">
                  <w:rPr>
                    <w:noProof/>
                    <w:webHidden/>
                  </w:rPr>
                  <w:t>72</w:t>
                </w:r>
                <w:r w:rsidR="00623AF8" w:rsidRPr="002E0E33">
                  <w:rPr>
                    <w:noProof/>
                    <w:webHidden/>
                  </w:rPr>
                  <w:fldChar w:fldCharType="end"/>
                </w:r>
              </w:hyperlink>
            </w:p>
            <w:p w14:paraId="097C97A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86" w:history="1">
                <w:r w:rsidR="00623AF8" w:rsidRPr="002E0E33">
                  <w:rPr>
                    <w:rStyle w:val="Hyperlink"/>
                    <w:rFonts w:ascii="Aptos" w:hAnsi="Aptos"/>
                    <w:noProof/>
                  </w:rPr>
                  <w:t>Einheitliche, europäische Definition von Energiearmut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_Toc170983686 \h </w:instrText>
                </w:r>
                <w:r w:rsidR="00623AF8" w:rsidRPr="002E0E33">
                  <w:rPr>
                    <w:noProof/>
                    <w:webHidden/>
                  </w:rPr>
                </w:r>
                <w:r w:rsidR="00623AF8" w:rsidRPr="002E0E33">
                  <w:rPr>
                    <w:noProof/>
                    <w:webHidden/>
                  </w:rPr>
                  <w:fldChar w:fldCharType="separate"/>
                </w:r>
                <w:r w:rsidR="00623AF8">
                  <w:rPr>
                    <w:noProof/>
                    <w:webHidden/>
                  </w:rPr>
                  <w:t>73</w:t>
                </w:r>
                <w:r w:rsidR="00623AF8" w:rsidRPr="002E0E33">
                  <w:rPr>
                    <w:noProof/>
                    <w:webHidden/>
                  </w:rPr>
                  <w:fldChar w:fldCharType="end"/>
                </w:r>
              </w:hyperlink>
            </w:p>
            <w:p w14:paraId="0BD1DE7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87" w:history="1">
                <w:r w:rsidR="00623AF8" w:rsidRPr="002E0E33">
                  <w:rPr>
                    <w:rStyle w:val="Hyperlink"/>
                    <w:rFonts w:ascii="Aptos" w:hAnsi="Aptos"/>
                    <w:noProof/>
                  </w:rPr>
                  <w:t>Integration von Grund- und Menschenrechten in Energieversorgungsstrategien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_Toc170983687 \h </w:instrText>
                </w:r>
                <w:r w:rsidR="00623AF8" w:rsidRPr="002E0E33">
                  <w:rPr>
                    <w:noProof/>
                    <w:webHidden/>
                  </w:rPr>
                </w:r>
                <w:r w:rsidR="00623AF8" w:rsidRPr="002E0E33">
                  <w:rPr>
                    <w:noProof/>
                    <w:webHidden/>
                  </w:rPr>
                  <w:fldChar w:fldCharType="separate"/>
                </w:r>
                <w:r w:rsidR="00623AF8">
                  <w:rPr>
                    <w:noProof/>
                    <w:webHidden/>
                  </w:rPr>
                  <w:t>74</w:t>
                </w:r>
                <w:r w:rsidR="00623AF8" w:rsidRPr="002E0E33">
                  <w:rPr>
                    <w:noProof/>
                    <w:webHidden/>
                  </w:rPr>
                  <w:fldChar w:fldCharType="end"/>
                </w:r>
              </w:hyperlink>
            </w:p>
            <w:p w14:paraId="0D50796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88" w:history="1">
                <w:r w:rsidR="00623AF8" w:rsidRPr="002E0E33">
                  <w:rPr>
                    <w:rStyle w:val="Hyperlink"/>
                    <w:rFonts w:ascii="Aptos" w:hAnsi="Aptos"/>
                    <w:noProof/>
                  </w:rPr>
                  <w:t>Versorgungsverpflichtung kleiner Energieversorger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_Toc170983688 \h </w:instrText>
                </w:r>
                <w:r w:rsidR="00623AF8" w:rsidRPr="002E0E33">
                  <w:rPr>
                    <w:noProof/>
                    <w:webHidden/>
                  </w:rPr>
                </w:r>
                <w:r w:rsidR="00623AF8" w:rsidRPr="002E0E33">
                  <w:rPr>
                    <w:noProof/>
                    <w:webHidden/>
                  </w:rPr>
                  <w:fldChar w:fldCharType="separate"/>
                </w:r>
                <w:r w:rsidR="00623AF8">
                  <w:rPr>
                    <w:noProof/>
                    <w:webHidden/>
                  </w:rPr>
                  <w:t>75</w:t>
                </w:r>
                <w:r w:rsidR="00623AF8" w:rsidRPr="002E0E33">
                  <w:rPr>
                    <w:noProof/>
                    <w:webHidden/>
                  </w:rPr>
                  <w:fldChar w:fldCharType="end"/>
                </w:r>
              </w:hyperlink>
            </w:p>
            <w:p w14:paraId="634E867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89" w:history="1">
                <w:r w:rsidR="00623AF8" w:rsidRPr="002E0E33">
                  <w:rPr>
                    <w:rStyle w:val="Hyperlink"/>
                    <w:rFonts w:ascii="Aptos" w:hAnsi="Aptos"/>
                    <w:noProof/>
                  </w:rPr>
                  <w:t>Maßnahmen zur Vermeidung von Spekulationen gegen den europäischen Energiehandel</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_Toc170983689 \h </w:instrText>
                </w:r>
                <w:r w:rsidR="00623AF8" w:rsidRPr="002E0E33">
                  <w:rPr>
                    <w:noProof/>
                    <w:webHidden/>
                  </w:rPr>
                </w:r>
                <w:r w:rsidR="00623AF8" w:rsidRPr="002E0E33">
                  <w:rPr>
                    <w:noProof/>
                    <w:webHidden/>
                  </w:rPr>
                  <w:fldChar w:fldCharType="separate"/>
                </w:r>
                <w:r w:rsidR="00623AF8">
                  <w:rPr>
                    <w:noProof/>
                    <w:webHidden/>
                  </w:rPr>
                  <w:t>76</w:t>
                </w:r>
                <w:r w:rsidR="00623AF8" w:rsidRPr="002E0E33">
                  <w:rPr>
                    <w:noProof/>
                    <w:webHidden/>
                  </w:rPr>
                  <w:fldChar w:fldCharType="end"/>
                </w:r>
              </w:hyperlink>
            </w:p>
            <w:p w14:paraId="568A3EF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90" w:history="1">
                <w:r w:rsidR="00623AF8" w:rsidRPr="002E0E33">
                  <w:rPr>
                    <w:rStyle w:val="Hyperlink"/>
                    <w:rFonts w:ascii="Aptos" w:hAnsi="Aptos"/>
                    <w:noProof/>
                  </w:rPr>
                  <w:t>Maßnahmen gegen spekulatives Verhalten auf Demand-Response-Märkten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_Toc170983690 \h </w:instrText>
                </w:r>
                <w:r w:rsidR="00623AF8" w:rsidRPr="002E0E33">
                  <w:rPr>
                    <w:noProof/>
                    <w:webHidden/>
                  </w:rPr>
                </w:r>
                <w:r w:rsidR="00623AF8" w:rsidRPr="002E0E33">
                  <w:rPr>
                    <w:noProof/>
                    <w:webHidden/>
                  </w:rPr>
                  <w:fldChar w:fldCharType="separate"/>
                </w:r>
                <w:r w:rsidR="00623AF8">
                  <w:rPr>
                    <w:noProof/>
                    <w:webHidden/>
                  </w:rPr>
                  <w:t>77</w:t>
                </w:r>
                <w:r w:rsidR="00623AF8" w:rsidRPr="002E0E33">
                  <w:rPr>
                    <w:noProof/>
                    <w:webHidden/>
                  </w:rPr>
                  <w:fldChar w:fldCharType="end"/>
                </w:r>
              </w:hyperlink>
            </w:p>
            <w:p w14:paraId="109EE74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91" w:history="1">
                <w:r w:rsidR="00623AF8" w:rsidRPr="002E0E33">
                  <w:rPr>
                    <w:rStyle w:val="Hyperlink"/>
                    <w:rFonts w:ascii="Aptos" w:hAnsi="Aptos"/>
                    <w:noProof/>
                  </w:rPr>
                  <w:t>Etablierung eines europäischen Schutzschirms zur Sicherung des Energiehandels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_Toc170983691 \h </w:instrText>
                </w:r>
                <w:r w:rsidR="00623AF8" w:rsidRPr="002E0E33">
                  <w:rPr>
                    <w:noProof/>
                    <w:webHidden/>
                  </w:rPr>
                </w:r>
                <w:r w:rsidR="00623AF8" w:rsidRPr="002E0E33">
                  <w:rPr>
                    <w:noProof/>
                    <w:webHidden/>
                  </w:rPr>
                  <w:fldChar w:fldCharType="separate"/>
                </w:r>
                <w:r w:rsidR="00623AF8">
                  <w:rPr>
                    <w:noProof/>
                    <w:webHidden/>
                  </w:rPr>
                  <w:t>78</w:t>
                </w:r>
                <w:r w:rsidR="00623AF8" w:rsidRPr="002E0E33">
                  <w:rPr>
                    <w:noProof/>
                    <w:webHidden/>
                  </w:rPr>
                  <w:fldChar w:fldCharType="end"/>
                </w:r>
              </w:hyperlink>
            </w:p>
            <w:p w14:paraId="3B1C065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92" w:history="1">
                <w:r w:rsidR="00623AF8" w:rsidRPr="002E0E33">
                  <w:rPr>
                    <w:rStyle w:val="Hyperlink"/>
                    <w:rFonts w:ascii="Aptos" w:hAnsi="Aptos"/>
                    <w:noProof/>
                  </w:rPr>
                  <w:t>Reform des OTC-Handels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_Toc170983692 \h </w:instrText>
                </w:r>
                <w:r w:rsidR="00623AF8" w:rsidRPr="002E0E33">
                  <w:rPr>
                    <w:noProof/>
                    <w:webHidden/>
                  </w:rPr>
                </w:r>
                <w:r w:rsidR="00623AF8" w:rsidRPr="002E0E33">
                  <w:rPr>
                    <w:noProof/>
                    <w:webHidden/>
                  </w:rPr>
                  <w:fldChar w:fldCharType="separate"/>
                </w:r>
                <w:r w:rsidR="00623AF8">
                  <w:rPr>
                    <w:noProof/>
                    <w:webHidden/>
                  </w:rPr>
                  <w:t>79</w:t>
                </w:r>
                <w:r w:rsidR="00623AF8" w:rsidRPr="002E0E33">
                  <w:rPr>
                    <w:noProof/>
                    <w:webHidden/>
                  </w:rPr>
                  <w:fldChar w:fldCharType="end"/>
                </w:r>
              </w:hyperlink>
            </w:p>
            <w:p w14:paraId="3D2CB04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93" w:history="1">
                <w:r w:rsidR="00623AF8" w:rsidRPr="002E0E33">
                  <w:rPr>
                    <w:rStyle w:val="Hyperlink"/>
                    <w:rFonts w:ascii="Aptos" w:hAnsi="Aptos"/>
                    <w:noProof/>
                  </w:rPr>
                  <w:t>Erleichterungen am Kapazitätsmarkt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_Toc170983693 \h </w:instrText>
                </w:r>
                <w:r w:rsidR="00623AF8" w:rsidRPr="002E0E33">
                  <w:rPr>
                    <w:noProof/>
                    <w:webHidden/>
                  </w:rPr>
                </w:r>
                <w:r w:rsidR="00623AF8" w:rsidRPr="002E0E33">
                  <w:rPr>
                    <w:noProof/>
                    <w:webHidden/>
                  </w:rPr>
                  <w:fldChar w:fldCharType="separate"/>
                </w:r>
                <w:r w:rsidR="00623AF8">
                  <w:rPr>
                    <w:noProof/>
                    <w:webHidden/>
                  </w:rPr>
                  <w:t>80</w:t>
                </w:r>
                <w:r w:rsidR="00623AF8" w:rsidRPr="002E0E33">
                  <w:rPr>
                    <w:noProof/>
                    <w:webHidden/>
                  </w:rPr>
                  <w:fldChar w:fldCharType="end"/>
                </w:r>
              </w:hyperlink>
            </w:p>
            <w:p w14:paraId="767401E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94" w:history="1">
                <w:r w:rsidR="00623AF8" w:rsidRPr="002E0E33">
                  <w:rPr>
                    <w:rStyle w:val="Hyperlink"/>
                    <w:rFonts w:ascii="Aptos" w:hAnsi="Aptos"/>
                    <w:noProof/>
                  </w:rPr>
                  <w:t>Notwendigkeit eines neuen Preismodells für den Stromtransit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_Toc170983694 \h </w:instrText>
                </w:r>
                <w:r w:rsidR="00623AF8" w:rsidRPr="002E0E33">
                  <w:rPr>
                    <w:noProof/>
                    <w:webHidden/>
                  </w:rPr>
                </w:r>
                <w:r w:rsidR="00623AF8" w:rsidRPr="002E0E33">
                  <w:rPr>
                    <w:noProof/>
                    <w:webHidden/>
                  </w:rPr>
                  <w:fldChar w:fldCharType="separate"/>
                </w:r>
                <w:r w:rsidR="00623AF8">
                  <w:rPr>
                    <w:noProof/>
                    <w:webHidden/>
                  </w:rPr>
                  <w:t>81</w:t>
                </w:r>
                <w:r w:rsidR="00623AF8" w:rsidRPr="002E0E33">
                  <w:rPr>
                    <w:noProof/>
                    <w:webHidden/>
                  </w:rPr>
                  <w:fldChar w:fldCharType="end"/>
                </w:r>
              </w:hyperlink>
            </w:p>
            <w:p w14:paraId="5B7A519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95" w:history="1">
                <w:r w:rsidR="00623AF8" w:rsidRPr="002E0E33">
                  <w:rPr>
                    <w:rStyle w:val="Hyperlink"/>
                    <w:rFonts w:ascii="Aptos" w:hAnsi="Aptos"/>
                    <w:noProof/>
                  </w:rPr>
                  <w:t>Regulatorische Integrierung von Versorgungssicherheit, Leistbarkeit und Ökologie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_Toc170983695 \h </w:instrText>
                </w:r>
                <w:r w:rsidR="00623AF8" w:rsidRPr="002E0E33">
                  <w:rPr>
                    <w:noProof/>
                    <w:webHidden/>
                  </w:rPr>
                </w:r>
                <w:r w:rsidR="00623AF8" w:rsidRPr="002E0E33">
                  <w:rPr>
                    <w:noProof/>
                    <w:webHidden/>
                  </w:rPr>
                  <w:fldChar w:fldCharType="separate"/>
                </w:r>
                <w:r w:rsidR="00623AF8">
                  <w:rPr>
                    <w:noProof/>
                    <w:webHidden/>
                  </w:rPr>
                  <w:t>82</w:t>
                </w:r>
                <w:r w:rsidR="00623AF8" w:rsidRPr="002E0E33">
                  <w:rPr>
                    <w:noProof/>
                    <w:webHidden/>
                  </w:rPr>
                  <w:fldChar w:fldCharType="end"/>
                </w:r>
              </w:hyperlink>
            </w:p>
            <w:p w14:paraId="7E98D0C3"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96" w:history="1">
                <w:r w:rsidR="00623AF8" w:rsidRPr="002E0E33">
                  <w:rPr>
                    <w:rStyle w:val="Hyperlink"/>
                    <w:rFonts w:ascii="Aptos" w:hAnsi="Aptos"/>
                    <w:noProof/>
                  </w:rPr>
                  <w:t>Überprüfung des EU-Strommarktdesigns hinsichtlich Bezahlbarkeit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_Toc170983696 \h </w:instrText>
                </w:r>
                <w:r w:rsidR="00623AF8" w:rsidRPr="002E0E33">
                  <w:rPr>
                    <w:noProof/>
                    <w:webHidden/>
                  </w:rPr>
                </w:r>
                <w:r w:rsidR="00623AF8" w:rsidRPr="002E0E33">
                  <w:rPr>
                    <w:noProof/>
                    <w:webHidden/>
                  </w:rPr>
                  <w:fldChar w:fldCharType="separate"/>
                </w:r>
                <w:r w:rsidR="00623AF8">
                  <w:rPr>
                    <w:noProof/>
                    <w:webHidden/>
                  </w:rPr>
                  <w:t>83</w:t>
                </w:r>
                <w:r w:rsidR="00623AF8" w:rsidRPr="002E0E33">
                  <w:rPr>
                    <w:noProof/>
                    <w:webHidden/>
                  </w:rPr>
                  <w:fldChar w:fldCharType="end"/>
                </w:r>
              </w:hyperlink>
            </w:p>
            <w:p w14:paraId="478DD0E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97" w:history="1">
                <w:r w:rsidR="00623AF8" w:rsidRPr="002E0E33">
                  <w:rPr>
                    <w:rStyle w:val="Hyperlink"/>
                    <w:rFonts w:ascii="Aptos" w:hAnsi="Aptos"/>
                    <w:noProof/>
                  </w:rPr>
                  <w:t>Ersatz für die Merit-Order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_Toc170983697 \h </w:instrText>
                </w:r>
                <w:r w:rsidR="00623AF8" w:rsidRPr="002E0E33">
                  <w:rPr>
                    <w:noProof/>
                    <w:webHidden/>
                  </w:rPr>
                </w:r>
                <w:r w:rsidR="00623AF8" w:rsidRPr="002E0E33">
                  <w:rPr>
                    <w:noProof/>
                    <w:webHidden/>
                  </w:rPr>
                  <w:fldChar w:fldCharType="separate"/>
                </w:r>
                <w:r w:rsidR="00623AF8">
                  <w:rPr>
                    <w:noProof/>
                    <w:webHidden/>
                  </w:rPr>
                  <w:t>84</w:t>
                </w:r>
                <w:r w:rsidR="00623AF8" w:rsidRPr="002E0E33">
                  <w:rPr>
                    <w:noProof/>
                    <w:webHidden/>
                  </w:rPr>
                  <w:fldChar w:fldCharType="end"/>
                </w:r>
              </w:hyperlink>
            </w:p>
            <w:p w14:paraId="26944F1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98" w:history="1">
                <w:r w:rsidR="00623AF8" w:rsidRPr="002E0E33">
                  <w:rPr>
                    <w:rStyle w:val="Hyperlink"/>
                    <w:rFonts w:ascii="Aptos" w:hAnsi="Aptos"/>
                    <w:noProof/>
                  </w:rPr>
                  <w:t>Ausweitung der Sektoren in ETS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_Toc170983698 \h </w:instrText>
                </w:r>
                <w:r w:rsidR="00623AF8" w:rsidRPr="002E0E33">
                  <w:rPr>
                    <w:noProof/>
                    <w:webHidden/>
                  </w:rPr>
                </w:r>
                <w:r w:rsidR="00623AF8" w:rsidRPr="002E0E33">
                  <w:rPr>
                    <w:noProof/>
                    <w:webHidden/>
                  </w:rPr>
                  <w:fldChar w:fldCharType="separate"/>
                </w:r>
                <w:r w:rsidR="00623AF8">
                  <w:rPr>
                    <w:noProof/>
                    <w:webHidden/>
                  </w:rPr>
                  <w:t>85</w:t>
                </w:r>
                <w:r w:rsidR="00623AF8" w:rsidRPr="002E0E33">
                  <w:rPr>
                    <w:noProof/>
                    <w:webHidden/>
                  </w:rPr>
                  <w:fldChar w:fldCharType="end"/>
                </w:r>
              </w:hyperlink>
            </w:p>
            <w:p w14:paraId="22AAF40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699" w:history="1">
                <w:r w:rsidR="00623AF8" w:rsidRPr="002E0E33">
                  <w:rPr>
                    <w:rStyle w:val="Hyperlink"/>
                    <w:rFonts w:ascii="Aptos" w:hAnsi="Aptos"/>
                    <w:noProof/>
                  </w:rPr>
                  <w:t>Integrierung von CCUS in das ETS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_Toc170983699 \h </w:instrText>
                </w:r>
                <w:r w:rsidR="00623AF8" w:rsidRPr="002E0E33">
                  <w:rPr>
                    <w:noProof/>
                    <w:webHidden/>
                  </w:rPr>
                </w:r>
                <w:r w:rsidR="00623AF8" w:rsidRPr="002E0E33">
                  <w:rPr>
                    <w:noProof/>
                    <w:webHidden/>
                  </w:rPr>
                  <w:fldChar w:fldCharType="separate"/>
                </w:r>
                <w:r w:rsidR="00623AF8">
                  <w:rPr>
                    <w:noProof/>
                    <w:webHidden/>
                  </w:rPr>
                  <w:t>86</w:t>
                </w:r>
                <w:r w:rsidR="00623AF8" w:rsidRPr="002E0E33">
                  <w:rPr>
                    <w:noProof/>
                    <w:webHidden/>
                  </w:rPr>
                  <w:fldChar w:fldCharType="end"/>
                </w:r>
              </w:hyperlink>
            </w:p>
            <w:p w14:paraId="1360A61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00" w:history="1">
                <w:r w:rsidR="00623AF8" w:rsidRPr="002E0E33">
                  <w:rPr>
                    <w:rStyle w:val="Hyperlink"/>
                    <w:rFonts w:ascii="Aptos" w:hAnsi="Aptos"/>
                    <w:noProof/>
                  </w:rPr>
                  <w:t>Relevanz von CCUS im Kontext von hard-to-abate-Prozessen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_Toc170983700 \h </w:instrText>
                </w:r>
                <w:r w:rsidR="00623AF8" w:rsidRPr="002E0E33">
                  <w:rPr>
                    <w:noProof/>
                    <w:webHidden/>
                  </w:rPr>
                </w:r>
                <w:r w:rsidR="00623AF8" w:rsidRPr="002E0E33">
                  <w:rPr>
                    <w:noProof/>
                    <w:webHidden/>
                  </w:rPr>
                  <w:fldChar w:fldCharType="separate"/>
                </w:r>
                <w:r w:rsidR="00623AF8">
                  <w:rPr>
                    <w:noProof/>
                    <w:webHidden/>
                  </w:rPr>
                  <w:t>87</w:t>
                </w:r>
                <w:r w:rsidR="00623AF8" w:rsidRPr="002E0E33">
                  <w:rPr>
                    <w:noProof/>
                    <w:webHidden/>
                  </w:rPr>
                  <w:fldChar w:fldCharType="end"/>
                </w:r>
              </w:hyperlink>
            </w:p>
            <w:p w14:paraId="7DD1336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01" w:history="1">
                <w:r w:rsidR="00623AF8" w:rsidRPr="002E0E33">
                  <w:rPr>
                    <w:rStyle w:val="Hyperlink"/>
                    <w:rFonts w:ascii="Aptos" w:hAnsi="Aptos"/>
                    <w:noProof/>
                  </w:rPr>
                  <w:t>Maßnahmen zur Eingrenzung von Schwankungen des CO</w:t>
                </w:r>
                <w:r w:rsidR="00623AF8" w:rsidRPr="002E0E33">
                  <w:rPr>
                    <w:rStyle w:val="Hyperlink"/>
                    <w:rFonts w:ascii="Aptos" w:hAnsi="Aptos"/>
                    <w:noProof/>
                    <w:vertAlign w:val="subscript"/>
                  </w:rPr>
                  <w:t>2</w:t>
                </w:r>
                <w:r w:rsidR="00623AF8" w:rsidRPr="002E0E33">
                  <w:rPr>
                    <w:rStyle w:val="Hyperlink"/>
                    <w:rFonts w:ascii="Aptos" w:hAnsi="Aptos"/>
                    <w:noProof/>
                  </w:rPr>
                  <w:t>-Preises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_Toc170983701 \h </w:instrText>
                </w:r>
                <w:r w:rsidR="00623AF8" w:rsidRPr="002E0E33">
                  <w:rPr>
                    <w:noProof/>
                    <w:webHidden/>
                  </w:rPr>
                </w:r>
                <w:r w:rsidR="00623AF8" w:rsidRPr="002E0E33">
                  <w:rPr>
                    <w:noProof/>
                    <w:webHidden/>
                  </w:rPr>
                  <w:fldChar w:fldCharType="separate"/>
                </w:r>
                <w:r w:rsidR="00623AF8">
                  <w:rPr>
                    <w:noProof/>
                    <w:webHidden/>
                  </w:rPr>
                  <w:t>88</w:t>
                </w:r>
                <w:r w:rsidR="00623AF8" w:rsidRPr="002E0E33">
                  <w:rPr>
                    <w:noProof/>
                    <w:webHidden/>
                  </w:rPr>
                  <w:fldChar w:fldCharType="end"/>
                </w:r>
              </w:hyperlink>
            </w:p>
            <w:p w14:paraId="5DAE995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02" w:history="1">
                <w:r w:rsidR="00623AF8" w:rsidRPr="002E0E33">
                  <w:rPr>
                    <w:rStyle w:val="Hyperlink"/>
                    <w:rFonts w:ascii="Aptos" w:hAnsi="Aptos"/>
                    <w:noProof/>
                  </w:rPr>
                  <w:t>Innerstaatliche Strompreiszonen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_Toc170983702 \h </w:instrText>
                </w:r>
                <w:r w:rsidR="00623AF8" w:rsidRPr="002E0E33">
                  <w:rPr>
                    <w:noProof/>
                    <w:webHidden/>
                  </w:rPr>
                </w:r>
                <w:r w:rsidR="00623AF8" w:rsidRPr="002E0E33">
                  <w:rPr>
                    <w:noProof/>
                    <w:webHidden/>
                  </w:rPr>
                  <w:fldChar w:fldCharType="separate"/>
                </w:r>
                <w:r w:rsidR="00623AF8">
                  <w:rPr>
                    <w:noProof/>
                    <w:webHidden/>
                  </w:rPr>
                  <w:t>89</w:t>
                </w:r>
                <w:r w:rsidR="00623AF8" w:rsidRPr="002E0E33">
                  <w:rPr>
                    <w:noProof/>
                    <w:webHidden/>
                  </w:rPr>
                  <w:fldChar w:fldCharType="end"/>
                </w:r>
              </w:hyperlink>
            </w:p>
            <w:p w14:paraId="0E3E6A9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03" w:history="1">
                <w:r w:rsidR="00623AF8" w:rsidRPr="002E0E33">
                  <w:rPr>
                    <w:rStyle w:val="Hyperlink"/>
                    <w:rFonts w:ascii="Aptos" w:hAnsi="Aptos"/>
                    <w:noProof/>
                  </w:rPr>
                  <w:t>Ausgestaltung der Energiebesteuerungs-Richtlinie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_Toc170983703 \h </w:instrText>
                </w:r>
                <w:r w:rsidR="00623AF8" w:rsidRPr="002E0E33">
                  <w:rPr>
                    <w:noProof/>
                    <w:webHidden/>
                  </w:rPr>
                </w:r>
                <w:r w:rsidR="00623AF8" w:rsidRPr="002E0E33">
                  <w:rPr>
                    <w:noProof/>
                    <w:webHidden/>
                  </w:rPr>
                  <w:fldChar w:fldCharType="separate"/>
                </w:r>
                <w:r w:rsidR="00623AF8">
                  <w:rPr>
                    <w:noProof/>
                    <w:webHidden/>
                  </w:rPr>
                  <w:t>90</w:t>
                </w:r>
                <w:r w:rsidR="00623AF8" w:rsidRPr="002E0E33">
                  <w:rPr>
                    <w:noProof/>
                    <w:webHidden/>
                  </w:rPr>
                  <w:fldChar w:fldCharType="end"/>
                </w:r>
              </w:hyperlink>
            </w:p>
            <w:p w14:paraId="0B8CDD1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04" w:history="1">
                <w:r w:rsidR="00623AF8" w:rsidRPr="002E0E33">
                  <w:rPr>
                    <w:rStyle w:val="Hyperlink"/>
                    <w:rFonts w:ascii="Aptos" w:hAnsi="Aptos"/>
                    <w:noProof/>
                  </w:rPr>
                  <w:t>Förderungen zur Beschleunigung des Ausbaus der Speicherkapazitäten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_Toc170983704 \h </w:instrText>
                </w:r>
                <w:r w:rsidR="00623AF8" w:rsidRPr="002E0E33">
                  <w:rPr>
                    <w:noProof/>
                    <w:webHidden/>
                  </w:rPr>
                </w:r>
                <w:r w:rsidR="00623AF8" w:rsidRPr="002E0E33">
                  <w:rPr>
                    <w:noProof/>
                    <w:webHidden/>
                  </w:rPr>
                  <w:fldChar w:fldCharType="separate"/>
                </w:r>
                <w:r w:rsidR="00623AF8">
                  <w:rPr>
                    <w:noProof/>
                    <w:webHidden/>
                  </w:rPr>
                  <w:t>91</w:t>
                </w:r>
                <w:r w:rsidR="00623AF8" w:rsidRPr="002E0E33">
                  <w:rPr>
                    <w:noProof/>
                    <w:webHidden/>
                  </w:rPr>
                  <w:fldChar w:fldCharType="end"/>
                </w:r>
              </w:hyperlink>
            </w:p>
            <w:p w14:paraId="360B270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05" w:history="1">
                <w:r w:rsidR="00623AF8" w:rsidRPr="002E0E33">
                  <w:rPr>
                    <w:rStyle w:val="Hyperlink"/>
                    <w:rFonts w:ascii="Aptos" w:hAnsi="Aptos"/>
                    <w:noProof/>
                  </w:rPr>
                  <w:t>Rohstoff- und Ressourcensicherheit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_Toc170983705 \h </w:instrText>
                </w:r>
                <w:r w:rsidR="00623AF8" w:rsidRPr="002E0E33">
                  <w:rPr>
                    <w:noProof/>
                    <w:webHidden/>
                  </w:rPr>
                </w:r>
                <w:r w:rsidR="00623AF8" w:rsidRPr="002E0E33">
                  <w:rPr>
                    <w:noProof/>
                    <w:webHidden/>
                  </w:rPr>
                  <w:fldChar w:fldCharType="separate"/>
                </w:r>
                <w:r w:rsidR="00623AF8">
                  <w:rPr>
                    <w:noProof/>
                    <w:webHidden/>
                  </w:rPr>
                  <w:t>92</w:t>
                </w:r>
                <w:r w:rsidR="00623AF8" w:rsidRPr="002E0E33">
                  <w:rPr>
                    <w:noProof/>
                    <w:webHidden/>
                  </w:rPr>
                  <w:fldChar w:fldCharType="end"/>
                </w:r>
              </w:hyperlink>
            </w:p>
            <w:p w14:paraId="64E4352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06" w:history="1">
                <w:r w:rsidR="00623AF8" w:rsidRPr="002E0E33">
                  <w:rPr>
                    <w:rStyle w:val="Hyperlink"/>
                    <w:rFonts w:ascii="Aptos" w:hAnsi="Aptos"/>
                    <w:noProof/>
                  </w:rPr>
                  <w:t>Import-Zölle für Gasimport aus Russland</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_Toc170983706 \h </w:instrText>
                </w:r>
                <w:r w:rsidR="00623AF8" w:rsidRPr="002E0E33">
                  <w:rPr>
                    <w:noProof/>
                    <w:webHidden/>
                  </w:rPr>
                </w:r>
                <w:r w:rsidR="00623AF8" w:rsidRPr="002E0E33">
                  <w:rPr>
                    <w:noProof/>
                    <w:webHidden/>
                  </w:rPr>
                  <w:fldChar w:fldCharType="separate"/>
                </w:r>
                <w:r w:rsidR="00623AF8">
                  <w:rPr>
                    <w:noProof/>
                    <w:webHidden/>
                  </w:rPr>
                  <w:t>93</w:t>
                </w:r>
                <w:r w:rsidR="00623AF8" w:rsidRPr="002E0E33">
                  <w:rPr>
                    <w:noProof/>
                    <w:webHidden/>
                  </w:rPr>
                  <w:fldChar w:fldCharType="end"/>
                </w:r>
              </w:hyperlink>
            </w:p>
            <w:p w14:paraId="21D88A5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07" w:history="1">
                <w:r w:rsidR="00623AF8" w:rsidRPr="002E0E33">
                  <w:rPr>
                    <w:rStyle w:val="Hyperlink"/>
                    <w:rFonts w:ascii="Aptos" w:hAnsi="Aptos"/>
                    <w:noProof/>
                  </w:rPr>
                  <w:t>Ressourcensicherheit für künftige Ertüchtigung des Energiesystems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_Toc170983707 \h </w:instrText>
                </w:r>
                <w:r w:rsidR="00623AF8" w:rsidRPr="002E0E33">
                  <w:rPr>
                    <w:noProof/>
                    <w:webHidden/>
                  </w:rPr>
                </w:r>
                <w:r w:rsidR="00623AF8" w:rsidRPr="002E0E33">
                  <w:rPr>
                    <w:noProof/>
                    <w:webHidden/>
                  </w:rPr>
                  <w:fldChar w:fldCharType="separate"/>
                </w:r>
                <w:r w:rsidR="00623AF8">
                  <w:rPr>
                    <w:noProof/>
                    <w:webHidden/>
                  </w:rPr>
                  <w:t>94</w:t>
                </w:r>
                <w:r w:rsidR="00623AF8" w:rsidRPr="002E0E33">
                  <w:rPr>
                    <w:noProof/>
                    <w:webHidden/>
                  </w:rPr>
                  <w:fldChar w:fldCharType="end"/>
                </w:r>
              </w:hyperlink>
            </w:p>
            <w:p w14:paraId="0B40E02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08" w:history="1">
                <w:r w:rsidR="00623AF8" w:rsidRPr="002E0E33">
                  <w:rPr>
                    <w:rStyle w:val="Hyperlink"/>
                    <w:rFonts w:ascii="Aptos" w:hAnsi="Aptos"/>
                    <w:noProof/>
                  </w:rPr>
                  <w:t>Refinanzierung des Aufbaus der europäischen Wasserstoffnetze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_Toc170983708 \h </w:instrText>
                </w:r>
                <w:r w:rsidR="00623AF8" w:rsidRPr="002E0E33">
                  <w:rPr>
                    <w:noProof/>
                    <w:webHidden/>
                  </w:rPr>
                </w:r>
                <w:r w:rsidR="00623AF8" w:rsidRPr="002E0E33">
                  <w:rPr>
                    <w:noProof/>
                    <w:webHidden/>
                  </w:rPr>
                  <w:fldChar w:fldCharType="separate"/>
                </w:r>
                <w:r w:rsidR="00623AF8">
                  <w:rPr>
                    <w:noProof/>
                    <w:webHidden/>
                  </w:rPr>
                  <w:t>95</w:t>
                </w:r>
                <w:r w:rsidR="00623AF8" w:rsidRPr="002E0E33">
                  <w:rPr>
                    <w:noProof/>
                    <w:webHidden/>
                  </w:rPr>
                  <w:fldChar w:fldCharType="end"/>
                </w:r>
              </w:hyperlink>
            </w:p>
            <w:p w14:paraId="52E45E9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09" w:history="1">
                <w:r w:rsidR="00623AF8" w:rsidRPr="002E0E33">
                  <w:rPr>
                    <w:rStyle w:val="Hyperlink"/>
                    <w:rFonts w:ascii="Aptos" w:hAnsi="Aptos"/>
                    <w:noProof/>
                  </w:rPr>
                  <w:t>Künftige Verwendungsfelder für Wasserstoff</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_Toc170983709 \h </w:instrText>
                </w:r>
                <w:r w:rsidR="00623AF8" w:rsidRPr="002E0E33">
                  <w:rPr>
                    <w:noProof/>
                    <w:webHidden/>
                  </w:rPr>
                </w:r>
                <w:r w:rsidR="00623AF8" w:rsidRPr="002E0E33">
                  <w:rPr>
                    <w:noProof/>
                    <w:webHidden/>
                  </w:rPr>
                  <w:fldChar w:fldCharType="separate"/>
                </w:r>
                <w:r w:rsidR="00623AF8">
                  <w:rPr>
                    <w:noProof/>
                    <w:webHidden/>
                  </w:rPr>
                  <w:t>96</w:t>
                </w:r>
                <w:r w:rsidR="00623AF8" w:rsidRPr="002E0E33">
                  <w:rPr>
                    <w:noProof/>
                    <w:webHidden/>
                  </w:rPr>
                  <w:fldChar w:fldCharType="end"/>
                </w:r>
              </w:hyperlink>
            </w:p>
            <w:p w14:paraId="1E0D643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10" w:history="1">
                <w:r w:rsidR="00623AF8" w:rsidRPr="002E0E33">
                  <w:rPr>
                    <w:rStyle w:val="Hyperlink"/>
                    <w:rFonts w:ascii="Aptos" w:hAnsi="Aptos"/>
                    <w:noProof/>
                  </w:rPr>
                  <w:t>Maßnahmen zur Umwidmung der bestehenden Gasinfrastruktur zu einer Wasserstoffinfrastruktur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_Toc170983710 \h </w:instrText>
                </w:r>
                <w:r w:rsidR="00623AF8" w:rsidRPr="002E0E33">
                  <w:rPr>
                    <w:noProof/>
                    <w:webHidden/>
                  </w:rPr>
                </w:r>
                <w:r w:rsidR="00623AF8" w:rsidRPr="002E0E33">
                  <w:rPr>
                    <w:noProof/>
                    <w:webHidden/>
                  </w:rPr>
                  <w:fldChar w:fldCharType="separate"/>
                </w:r>
                <w:r w:rsidR="00623AF8">
                  <w:rPr>
                    <w:noProof/>
                    <w:webHidden/>
                  </w:rPr>
                  <w:t>97</w:t>
                </w:r>
                <w:r w:rsidR="00623AF8" w:rsidRPr="002E0E33">
                  <w:rPr>
                    <w:noProof/>
                    <w:webHidden/>
                  </w:rPr>
                  <w:fldChar w:fldCharType="end"/>
                </w:r>
              </w:hyperlink>
            </w:p>
            <w:p w14:paraId="02CAE6B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11" w:history="1">
                <w:r w:rsidR="00623AF8" w:rsidRPr="002E0E33">
                  <w:rPr>
                    <w:rStyle w:val="Hyperlink"/>
                    <w:rFonts w:ascii="Aptos" w:hAnsi="Aptos"/>
                    <w:noProof/>
                  </w:rPr>
                  <w:t>Zertifizierung von erneuerbarem Wasserstoff</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_Toc170983711 \h </w:instrText>
                </w:r>
                <w:r w:rsidR="00623AF8" w:rsidRPr="002E0E33">
                  <w:rPr>
                    <w:noProof/>
                    <w:webHidden/>
                  </w:rPr>
                </w:r>
                <w:r w:rsidR="00623AF8" w:rsidRPr="002E0E33">
                  <w:rPr>
                    <w:noProof/>
                    <w:webHidden/>
                  </w:rPr>
                  <w:fldChar w:fldCharType="separate"/>
                </w:r>
                <w:r w:rsidR="00623AF8">
                  <w:rPr>
                    <w:noProof/>
                    <w:webHidden/>
                  </w:rPr>
                  <w:t>98</w:t>
                </w:r>
                <w:r w:rsidR="00623AF8" w:rsidRPr="002E0E33">
                  <w:rPr>
                    <w:noProof/>
                    <w:webHidden/>
                  </w:rPr>
                  <w:fldChar w:fldCharType="end"/>
                </w:r>
              </w:hyperlink>
            </w:p>
            <w:p w14:paraId="3D0154D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12" w:history="1">
                <w:r w:rsidR="00623AF8" w:rsidRPr="002E0E33">
                  <w:rPr>
                    <w:rStyle w:val="Hyperlink"/>
                    <w:rFonts w:ascii="Aptos" w:hAnsi="Aptos"/>
                    <w:noProof/>
                  </w:rPr>
                  <w:t>Rahmenbedingungen zum Hochlauf einer erneuerbaren Wasserstoffwirtschaft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_Toc170983712 \h </w:instrText>
                </w:r>
                <w:r w:rsidR="00623AF8" w:rsidRPr="002E0E33">
                  <w:rPr>
                    <w:noProof/>
                    <w:webHidden/>
                  </w:rPr>
                </w:r>
                <w:r w:rsidR="00623AF8" w:rsidRPr="002E0E33">
                  <w:rPr>
                    <w:noProof/>
                    <w:webHidden/>
                  </w:rPr>
                  <w:fldChar w:fldCharType="separate"/>
                </w:r>
                <w:r w:rsidR="00623AF8">
                  <w:rPr>
                    <w:noProof/>
                    <w:webHidden/>
                  </w:rPr>
                  <w:t>99</w:t>
                </w:r>
                <w:r w:rsidR="00623AF8" w:rsidRPr="002E0E33">
                  <w:rPr>
                    <w:noProof/>
                    <w:webHidden/>
                  </w:rPr>
                  <w:fldChar w:fldCharType="end"/>
                </w:r>
              </w:hyperlink>
            </w:p>
            <w:p w14:paraId="77219B7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13" w:history="1">
                <w:r w:rsidR="00623AF8" w:rsidRPr="002E0E33">
                  <w:rPr>
                    <w:rStyle w:val="Hyperlink"/>
                    <w:rFonts w:ascii="Aptos" w:hAnsi="Aptos"/>
                    <w:noProof/>
                  </w:rPr>
                  <w:t>Förderungen für den Wasserstoffhochlauf</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_Toc170983713 \h </w:instrText>
                </w:r>
                <w:r w:rsidR="00623AF8" w:rsidRPr="002E0E33">
                  <w:rPr>
                    <w:noProof/>
                    <w:webHidden/>
                  </w:rPr>
                </w:r>
                <w:r w:rsidR="00623AF8" w:rsidRPr="002E0E33">
                  <w:rPr>
                    <w:noProof/>
                    <w:webHidden/>
                  </w:rPr>
                  <w:fldChar w:fldCharType="separate"/>
                </w:r>
                <w:r w:rsidR="00623AF8">
                  <w:rPr>
                    <w:noProof/>
                    <w:webHidden/>
                  </w:rPr>
                  <w:t>100</w:t>
                </w:r>
                <w:r w:rsidR="00623AF8" w:rsidRPr="002E0E33">
                  <w:rPr>
                    <w:noProof/>
                    <w:webHidden/>
                  </w:rPr>
                  <w:fldChar w:fldCharType="end"/>
                </w:r>
              </w:hyperlink>
            </w:p>
            <w:p w14:paraId="5F554A3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14" w:history="1">
                <w:r w:rsidR="00623AF8" w:rsidRPr="002E0E33">
                  <w:rPr>
                    <w:rStyle w:val="Hyperlink"/>
                    <w:rFonts w:ascii="Aptos" w:hAnsi="Aptos"/>
                    <w:noProof/>
                  </w:rPr>
                  <w:t>Integrierung von Qualitätskriterien für die Förderung von Wasserstoff</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_Toc170983714 \h </w:instrText>
                </w:r>
                <w:r w:rsidR="00623AF8" w:rsidRPr="002E0E33">
                  <w:rPr>
                    <w:noProof/>
                    <w:webHidden/>
                  </w:rPr>
                </w:r>
                <w:r w:rsidR="00623AF8" w:rsidRPr="002E0E33">
                  <w:rPr>
                    <w:noProof/>
                    <w:webHidden/>
                  </w:rPr>
                  <w:fldChar w:fldCharType="separate"/>
                </w:r>
                <w:r w:rsidR="00623AF8">
                  <w:rPr>
                    <w:noProof/>
                    <w:webHidden/>
                  </w:rPr>
                  <w:t>101</w:t>
                </w:r>
                <w:r w:rsidR="00623AF8" w:rsidRPr="002E0E33">
                  <w:rPr>
                    <w:noProof/>
                    <w:webHidden/>
                  </w:rPr>
                  <w:fldChar w:fldCharType="end"/>
                </w:r>
              </w:hyperlink>
            </w:p>
            <w:p w14:paraId="660E00A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15" w:history="1">
                <w:r w:rsidR="00623AF8" w:rsidRPr="002E0E33">
                  <w:rPr>
                    <w:rStyle w:val="Hyperlink"/>
                    <w:rFonts w:ascii="Aptos" w:hAnsi="Aptos"/>
                    <w:noProof/>
                  </w:rPr>
                  <w:t>Umsetzung der Energieeffizienz-Richtlinie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_Toc170983715 \h </w:instrText>
                </w:r>
                <w:r w:rsidR="00623AF8" w:rsidRPr="002E0E33">
                  <w:rPr>
                    <w:noProof/>
                    <w:webHidden/>
                  </w:rPr>
                </w:r>
                <w:r w:rsidR="00623AF8" w:rsidRPr="002E0E33">
                  <w:rPr>
                    <w:noProof/>
                    <w:webHidden/>
                  </w:rPr>
                  <w:fldChar w:fldCharType="separate"/>
                </w:r>
                <w:r w:rsidR="00623AF8">
                  <w:rPr>
                    <w:noProof/>
                    <w:webHidden/>
                  </w:rPr>
                  <w:t>102</w:t>
                </w:r>
                <w:r w:rsidR="00623AF8" w:rsidRPr="002E0E33">
                  <w:rPr>
                    <w:noProof/>
                    <w:webHidden/>
                  </w:rPr>
                  <w:fldChar w:fldCharType="end"/>
                </w:r>
              </w:hyperlink>
            </w:p>
            <w:p w14:paraId="423C794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16" w:history="1">
                <w:r w:rsidR="00623AF8" w:rsidRPr="002E0E33">
                  <w:rPr>
                    <w:rStyle w:val="Hyperlink"/>
                    <w:rFonts w:ascii="Aptos" w:hAnsi="Aptos"/>
                    <w:noProof/>
                  </w:rPr>
                  <w:t>Nutzung land- und forstwirtschaftlicher Reststoffe sowie organischer Abfälle zur Erzeugung von Biomethan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_Toc170983716 \h </w:instrText>
                </w:r>
                <w:r w:rsidR="00623AF8" w:rsidRPr="002E0E33">
                  <w:rPr>
                    <w:noProof/>
                    <w:webHidden/>
                  </w:rPr>
                </w:r>
                <w:r w:rsidR="00623AF8" w:rsidRPr="002E0E33">
                  <w:rPr>
                    <w:noProof/>
                    <w:webHidden/>
                  </w:rPr>
                  <w:fldChar w:fldCharType="separate"/>
                </w:r>
                <w:r w:rsidR="00623AF8">
                  <w:rPr>
                    <w:noProof/>
                    <w:webHidden/>
                  </w:rPr>
                  <w:t>103</w:t>
                </w:r>
                <w:r w:rsidR="00623AF8" w:rsidRPr="002E0E33">
                  <w:rPr>
                    <w:noProof/>
                    <w:webHidden/>
                  </w:rPr>
                  <w:fldChar w:fldCharType="end"/>
                </w:r>
              </w:hyperlink>
            </w:p>
            <w:p w14:paraId="2505C53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17" w:history="1">
                <w:r w:rsidR="00623AF8" w:rsidRPr="002E0E33">
                  <w:rPr>
                    <w:rStyle w:val="Hyperlink"/>
                    <w:rFonts w:ascii="Aptos" w:hAnsi="Aptos"/>
                    <w:noProof/>
                  </w:rPr>
                  <w:t>Verbindliche Ziele für erneuerbare Gase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_Toc170983717 \h </w:instrText>
                </w:r>
                <w:r w:rsidR="00623AF8" w:rsidRPr="002E0E33">
                  <w:rPr>
                    <w:noProof/>
                    <w:webHidden/>
                  </w:rPr>
                </w:r>
                <w:r w:rsidR="00623AF8" w:rsidRPr="002E0E33">
                  <w:rPr>
                    <w:noProof/>
                    <w:webHidden/>
                  </w:rPr>
                  <w:fldChar w:fldCharType="separate"/>
                </w:r>
                <w:r w:rsidR="00623AF8">
                  <w:rPr>
                    <w:noProof/>
                    <w:webHidden/>
                  </w:rPr>
                  <w:t>104</w:t>
                </w:r>
                <w:r w:rsidR="00623AF8" w:rsidRPr="002E0E33">
                  <w:rPr>
                    <w:noProof/>
                    <w:webHidden/>
                  </w:rPr>
                  <w:fldChar w:fldCharType="end"/>
                </w:r>
              </w:hyperlink>
            </w:p>
            <w:p w14:paraId="696B340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18" w:history="1">
                <w:r w:rsidR="00623AF8" w:rsidRPr="002E0E33">
                  <w:rPr>
                    <w:rStyle w:val="Hyperlink"/>
                    <w:rFonts w:ascii="Aptos" w:hAnsi="Aptos"/>
                    <w:noProof/>
                  </w:rPr>
                  <w:t>Gewährleistung strukturierter, sozial- und sicherheitsverträglicher Stilllegung im Gasverteilnetz</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_Toc170983718 \h </w:instrText>
                </w:r>
                <w:r w:rsidR="00623AF8" w:rsidRPr="002E0E33">
                  <w:rPr>
                    <w:noProof/>
                    <w:webHidden/>
                  </w:rPr>
                </w:r>
                <w:r w:rsidR="00623AF8" w:rsidRPr="002E0E33">
                  <w:rPr>
                    <w:noProof/>
                    <w:webHidden/>
                  </w:rPr>
                  <w:fldChar w:fldCharType="separate"/>
                </w:r>
                <w:r w:rsidR="00623AF8">
                  <w:rPr>
                    <w:noProof/>
                    <w:webHidden/>
                  </w:rPr>
                  <w:t>105</w:t>
                </w:r>
                <w:r w:rsidR="00623AF8" w:rsidRPr="002E0E33">
                  <w:rPr>
                    <w:noProof/>
                    <w:webHidden/>
                  </w:rPr>
                  <w:fldChar w:fldCharType="end"/>
                </w:r>
              </w:hyperlink>
            </w:p>
            <w:p w14:paraId="50B6FB9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19" w:history="1">
                <w:r w:rsidR="00623AF8" w:rsidRPr="002E0E33">
                  <w:rPr>
                    <w:rStyle w:val="Hyperlink"/>
                    <w:rFonts w:ascii="Aptos" w:hAnsi="Aptos"/>
                    <w:noProof/>
                  </w:rPr>
                  <w:t>Maßnahmen zur Unterstützung von Energiegemeinschaften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_Toc170983719 \h </w:instrText>
                </w:r>
                <w:r w:rsidR="00623AF8" w:rsidRPr="002E0E33">
                  <w:rPr>
                    <w:noProof/>
                    <w:webHidden/>
                  </w:rPr>
                </w:r>
                <w:r w:rsidR="00623AF8" w:rsidRPr="002E0E33">
                  <w:rPr>
                    <w:noProof/>
                    <w:webHidden/>
                  </w:rPr>
                  <w:fldChar w:fldCharType="separate"/>
                </w:r>
                <w:r w:rsidR="00623AF8">
                  <w:rPr>
                    <w:noProof/>
                    <w:webHidden/>
                  </w:rPr>
                  <w:t>106</w:t>
                </w:r>
                <w:r w:rsidR="00623AF8" w:rsidRPr="002E0E33">
                  <w:rPr>
                    <w:noProof/>
                    <w:webHidden/>
                  </w:rPr>
                  <w:fldChar w:fldCharType="end"/>
                </w:r>
              </w:hyperlink>
            </w:p>
            <w:p w14:paraId="16DE483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20" w:history="1">
                <w:r w:rsidR="00623AF8" w:rsidRPr="002E0E33">
                  <w:rPr>
                    <w:rStyle w:val="Hyperlink"/>
                    <w:rFonts w:ascii="Aptos" w:hAnsi="Aptos"/>
                    <w:noProof/>
                  </w:rPr>
                  <w:t>Integrierung des Balkans zur Verbesserung der europäischen Versorgungssicherheit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_Toc170983720 \h </w:instrText>
                </w:r>
                <w:r w:rsidR="00623AF8" w:rsidRPr="002E0E33">
                  <w:rPr>
                    <w:noProof/>
                    <w:webHidden/>
                  </w:rPr>
                </w:r>
                <w:r w:rsidR="00623AF8" w:rsidRPr="002E0E33">
                  <w:rPr>
                    <w:noProof/>
                    <w:webHidden/>
                  </w:rPr>
                  <w:fldChar w:fldCharType="separate"/>
                </w:r>
                <w:r w:rsidR="00623AF8">
                  <w:rPr>
                    <w:noProof/>
                    <w:webHidden/>
                  </w:rPr>
                  <w:t>107</w:t>
                </w:r>
                <w:r w:rsidR="00623AF8" w:rsidRPr="002E0E33">
                  <w:rPr>
                    <w:noProof/>
                    <w:webHidden/>
                  </w:rPr>
                  <w:fldChar w:fldCharType="end"/>
                </w:r>
              </w:hyperlink>
            </w:p>
            <w:p w14:paraId="68852B96" w14:textId="77777777" w:rsidR="00623AF8" w:rsidRDefault="00AC460E" w:rsidP="00623AF8">
              <w:pPr>
                <w:pStyle w:val="Verzeichnis1"/>
                <w:tabs>
                  <w:tab w:val="right" w:leader="dot" w:pos="9060"/>
                </w:tabs>
                <w:rPr>
                  <w:rStyle w:val="Hyperlink"/>
                  <w:noProof/>
                </w:rPr>
              </w:pPr>
              <w:hyperlink w:anchor="_Toc170983721" w:history="1">
                <w:r w:rsidR="00623AF8" w:rsidRPr="002E0E33">
                  <w:rPr>
                    <w:rStyle w:val="Hyperlink"/>
                    <w:rFonts w:ascii="Aptos" w:hAnsi="Aptos"/>
                    <w:noProof/>
                  </w:rPr>
                  <w:t>Erhaltung der europäischen Produktionskapazitäten für Transformatoren durch Umsetzung der geltenden Ökodesign-Verordnungen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_Toc170983721 \h </w:instrText>
                </w:r>
                <w:r w:rsidR="00623AF8" w:rsidRPr="002E0E33">
                  <w:rPr>
                    <w:noProof/>
                    <w:webHidden/>
                  </w:rPr>
                </w:r>
                <w:r w:rsidR="00623AF8" w:rsidRPr="002E0E33">
                  <w:rPr>
                    <w:noProof/>
                    <w:webHidden/>
                  </w:rPr>
                  <w:fldChar w:fldCharType="separate"/>
                </w:r>
                <w:r w:rsidR="00623AF8">
                  <w:rPr>
                    <w:noProof/>
                    <w:webHidden/>
                  </w:rPr>
                  <w:t>108</w:t>
                </w:r>
                <w:r w:rsidR="00623AF8" w:rsidRPr="002E0E33">
                  <w:rPr>
                    <w:noProof/>
                    <w:webHidden/>
                  </w:rPr>
                  <w:fldChar w:fldCharType="end"/>
                </w:r>
              </w:hyperlink>
            </w:p>
            <w:p w14:paraId="57E60FE1" w14:textId="77777777" w:rsidR="00623AF8" w:rsidRPr="006E381E" w:rsidRDefault="00623AF8" w:rsidP="00623AF8">
              <w:pPr>
                <w:rPr>
                  <w:noProof/>
                </w:rPr>
              </w:pPr>
            </w:p>
            <w:p w14:paraId="2FFC0447" w14:textId="77777777" w:rsidR="00623AF8" w:rsidRPr="0083382F" w:rsidRDefault="00AC460E" w:rsidP="00623AF8">
              <w:pPr>
                <w:pStyle w:val="Verzeichnis1"/>
                <w:tabs>
                  <w:tab w:val="right" w:leader="dot" w:pos="9060"/>
                </w:tabs>
                <w:rPr>
                  <w:rFonts w:eastAsiaTheme="minorEastAsia"/>
                  <w:noProof/>
                  <w:color w:val="FF0000"/>
                  <w:kern w:val="2"/>
                  <w:sz w:val="28"/>
                  <w:szCs w:val="28"/>
                  <w:lang w:eastAsia="de-AT"/>
                  <w14:ligatures w14:val="standardContextual"/>
                </w:rPr>
              </w:pPr>
              <w:hyperlink w:anchor="_Toc170983722" w:history="1">
                <w:r w:rsidR="00623AF8" w:rsidRPr="0083382F">
                  <w:rPr>
                    <w:rStyle w:val="Hyperlink"/>
                    <w:rFonts w:ascii="Aptos" w:hAnsi="Aptos" w:cstheme="minorHAnsi"/>
                    <w:noProof/>
                    <w:color w:val="FF0000"/>
                    <w:spacing w:val="20"/>
                    <w:sz w:val="28"/>
                    <w:szCs w:val="28"/>
                  </w:rPr>
                  <w:t>Verkehrs</w:t>
                </w:r>
                <w:r w:rsidR="00623AF8">
                  <w:rPr>
                    <w:rStyle w:val="Hyperlink"/>
                    <w:rFonts w:ascii="Aptos" w:hAnsi="Aptos" w:cstheme="minorHAnsi"/>
                    <w:noProof/>
                    <w:color w:val="FF0000"/>
                    <w:spacing w:val="20"/>
                    <w:sz w:val="28"/>
                    <w:szCs w:val="28"/>
                  </w:rPr>
                  <w:t>politik</w:t>
                </w:r>
                <w:r w:rsidR="00623AF8" w:rsidRPr="00B8762C">
                  <w:rPr>
                    <w:noProof/>
                    <w:webHidden/>
                    <w:sz w:val="28"/>
                    <w:szCs w:val="28"/>
                  </w:rPr>
                  <w:tab/>
                </w:r>
                <w:r w:rsidR="00623AF8" w:rsidRPr="00B8762C">
                  <w:rPr>
                    <w:noProof/>
                    <w:webHidden/>
                    <w:sz w:val="28"/>
                    <w:szCs w:val="28"/>
                  </w:rPr>
                  <w:fldChar w:fldCharType="begin"/>
                </w:r>
                <w:r w:rsidR="00623AF8" w:rsidRPr="00B8762C">
                  <w:rPr>
                    <w:noProof/>
                    <w:webHidden/>
                    <w:sz w:val="28"/>
                    <w:szCs w:val="28"/>
                  </w:rPr>
                  <w:instrText xml:space="preserve"> PAGEREF _Toc170983722 \h </w:instrText>
                </w:r>
                <w:r w:rsidR="00623AF8" w:rsidRPr="00B8762C">
                  <w:rPr>
                    <w:noProof/>
                    <w:webHidden/>
                    <w:sz w:val="28"/>
                    <w:szCs w:val="28"/>
                  </w:rPr>
                </w:r>
                <w:r w:rsidR="00623AF8" w:rsidRPr="00B8762C">
                  <w:rPr>
                    <w:noProof/>
                    <w:webHidden/>
                    <w:sz w:val="28"/>
                    <w:szCs w:val="28"/>
                  </w:rPr>
                  <w:fldChar w:fldCharType="separate"/>
                </w:r>
                <w:r w:rsidR="00623AF8">
                  <w:rPr>
                    <w:noProof/>
                    <w:webHidden/>
                    <w:sz w:val="28"/>
                    <w:szCs w:val="28"/>
                  </w:rPr>
                  <w:t>109</w:t>
                </w:r>
                <w:r w:rsidR="00623AF8" w:rsidRPr="00B8762C">
                  <w:rPr>
                    <w:noProof/>
                    <w:webHidden/>
                    <w:sz w:val="28"/>
                    <w:szCs w:val="28"/>
                  </w:rPr>
                  <w:fldChar w:fldCharType="end"/>
                </w:r>
              </w:hyperlink>
            </w:p>
            <w:p w14:paraId="723CF3F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23" w:history="1">
                <w:r w:rsidR="00623AF8" w:rsidRPr="002E0E33">
                  <w:rPr>
                    <w:rStyle w:val="Hyperlink"/>
                    <w:rFonts w:ascii="Aptos" w:eastAsiaTheme="majorEastAsia" w:hAnsi="Aptos" w:cstheme="majorBidi"/>
                    <w:noProof/>
                  </w:rPr>
                  <w:t>Dekarbonisierung des Verkehrssystems – Finanzierung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_Toc170983723 \h </w:instrText>
                </w:r>
                <w:r w:rsidR="00623AF8" w:rsidRPr="002E0E33">
                  <w:rPr>
                    <w:noProof/>
                    <w:webHidden/>
                  </w:rPr>
                </w:r>
                <w:r w:rsidR="00623AF8" w:rsidRPr="002E0E33">
                  <w:rPr>
                    <w:noProof/>
                    <w:webHidden/>
                  </w:rPr>
                  <w:fldChar w:fldCharType="separate"/>
                </w:r>
                <w:r w:rsidR="00623AF8">
                  <w:rPr>
                    <w:noProof/>
                    <w:webHidden/>
                  </w:rPr>
                  <w:t>109</w:t>
                </w:r>
                <w:r w:rsidR="00623AF8" w:rsidRPr="002E0E33">
                  <w:rPr>
                    <w:noProof/>
                    <w:webHidden/>
                  </w:rPr>
                  <w:fldChar w:fldCharType="end"/>
                </w:r>
              </w:hyperlink>
            </w:p>
            <w:p w14:paraId="2767C18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24" w:history="1">
                <w:r w:rsidR="00623AF8" w:rsidRPr="002E0E33">
                  <w:rPr>
                    <w:rStyle w:val="Hyperlink"/>
                    <w:rFonts w:ascii="Aptos" w:eastAsiaTheme="majorEastAsia" w:hAnsi="Aptos" w:cstheme="majorBidi"/>
                    <w:noProof/>
                  </w:rPr>
                  <w:t>Dekarbonisierung des Verkehrssystems – Lade- und Betankungsinfrastruktur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_Toc170983724 \h </w:instrText>
                </w:r>
                <w:r w:rsidR="00623AF8" w:rsidRPr="002E0E33">
                  <w:rPr>
                    <w:noProof/>
                    <w:webHidden/>
                  </w:rPr>
                </w:r>
                <w:r w:rsidR="00623AF8" w:rsidRPr="002E0E33">
                  <w:rPr>
                    <w:noProof/>
                    <w:webHidden/>
                  </w:rPr>
                  <w:fldChar w:fldCharType="separate"/>
                </w:r>
                <w:r w:rsidR="00623AF8">
                  <w:rPr>
                    <w:noProof/>
                    <w:webHidden/>
                  </w:rPr>
                  <w:t>110</w:t>
                </w:r>
                <w:r w:rsidR="00623AF8" w:rsidRPr="002E0E33">
                  <w:rPr>
                    <w:noProof/>
                    <w:webHidden/>
                  </w:rPr>
                  <w:fldChar w:fldCharType="end"/>
                </w:r>
              </w:hyperlink>
            </w:p>
            <w:p w14:paraId="5277B1C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25" w:history="1">
                <w:r w:rsidR="00623AF8" w:rsidRPr="002E0E33">
                  <w:rPr>
                    <w:rStyle w:val="Hyperlink"/>
                    <w:rFonts w:ascii="Aptos" w:eastAsiaTheme="majorEastAsia" w:hAnsi="Aptos" w:cstheme="majorBidi"/>
                    <w:noProof/>
                  </w:rPr>
                  <w:t>Dekarbonisierung des Verkehrssystems – Technologieoffenheit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_Toc170983725 \h </w:instrText>
                </w:r>
                <w:r w:rsidR="00623AF8" w:rsidRPr="002E0E33">
                  <w:rPr>
                    <w:noProof/>
                    <w:webHidden/>
                  </w:rPr>
                </w:r>
                <w:r w:rsidR="00623AF8" w:rsidRPr="002E0E33">
                  <w:rPr>
                    <w:noProof/>
                    <w:webHidden/>
                  </w:rPr>
                  <w:fldChar w:fldCharType="separate"/>
                </w:r>
                <w:r w:rsidR="00623AF8">
                  <w:rPr>
                    <w:noProof/>
                    <w:webHidden/>
                  </w:rPr>
                  <w:t>111</w:t>
                </w:r>
                <w:r w:rsidR="00623AF8" w:rsidRPr="002E0E33">
                  <w:rPr>
                    <w:noProof/>
                    <w:webHidden/>
                  </w:rPr>
                  <w:fldChar w:fldCharType="end"/>
                </w:r>
              </w:hyperlink>
            </w:p>
            <w:p w14:paraId="54EB19E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26" w:history="1">
                <w:r w:rsidR="00623AF8" w:rsidRPr="002E0E33">
                  <w:rPr>
                    <w:rStyle w:val="Hyperlink"/>
                    <w:rFonts w:ascii="Aptos" w:eastAsiaTheme="majorEastAsia" w:hAnsi="Aptos" w:cstheme="majorBidi"/>
                    <w:noProof/>
                  </w:rPr>
                  <w:t>Digitale Infrastruktur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_Toc170983726 \h </w:instrText>
                </w:r>
                <w:r w:rsidR="00623AF8" w:rsidRPr="002E0E33">
                  <w:rPr>
                    <w:noProof/>
                    <w:webHidden/>
                  </w:rPr>
                </w:r>
                <w:r w:rsidR="00623AF8" w:rsidRPr="002E0E33">
                  <w:rPr>
                    <w:noProof/>
                    <w:webHidden/>
                  </w:rPr>
                  <w:fldChar w:fldCharType="separate"/>
                </w:r>
                <w:r w:rsidR="00623AF8">
                  <w:rPr>
                    <w:noProof/>
                    <w:webHidden/>
                  </w:rPr>
                  <w:t>112</w:t>
                </w:r>
                <w:r w:rsidR="00623AF8" w:rsidRPr="002E0E33">
                  <w:rPr>
                    <w:noProof/>
                    <w:webHidden/>
                  </w:rPr>
                  <w:fldChar w:fldCharType="end"/>
                </w:r>
              </w:hyperlink>
            </w:p>
            <w:p w14:paraId="5A4E404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27" w:history="1">
                <w:r w:rsidR="00623AF8" w:rsidRPr="002E0E33">
                  <w:rPr>
                    <w:rStyle w:val="Hyperlink"/>
                    <w:rFonts w:ascii="Aptos" w:eastAsiaTheme="majorEastAsia" w:hAnsi="Aptos" w:cstheme="majorBidi"/>
                    <w:noProof/>
                  </w:rPr>
                  <w:t>Stärkung des Einzelwagenverkehrs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_Toc170983727 \h </w:instrText>
                </w:r>
                <w:r w:rsidR="00623AF8" w:rsidRPr="002E0E33">
                  <w:rPr>
                    <w:noProof/>
                    <w:webHidden/>
                  </w:rPr>
                </w:r>
                <w:r w:rsidR="00623AF8" w:rsidRPr="002E0E33">
                  <w:rPr>
                    <w:noProof/>
                    <w:webHidden/>
                  </w:rPr>
                  <w:fldChar w:fldCharType="separate"/>
                </w:r>
                <w:r w:rsidR="00623AF8">
                  <w:rPr>
                    <w:noProof/>
                    <w:webHidden/>
                  </w:rPr>
                  <w:t>113</w:t>
                </w:r>
                <w:r w:rsidR="00623AF8" w:rsidRPr="002E0E33">
                  <w:rPr>
                    <w:noProof/>
                    <w:webHidden/>
                  </w:rPr>
                  <w:fldChar w:fldCharType="end"/>
                </w:r>
              </w:hyperlink>
            </w:p>
            <w:p w14:paraId="07050A4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28" w:history="1">
                <w:r w:rsidR="00623AF8" w:rsidRPr="002E0E33">
                  <w:rPr>
                    <w:rStyle w:val="Hyperlink"/>
                    <w:rFonts w:ascii="Aptos" w:eastAsiaTheme="majorEastAsia" w:hAnsi="Aptos" w:cstheme="majorBidi"/>
                    <w:noProof/>
                  </w:rPr>
                  <w:t>Level-Playing-Field: Schienen- und Flugverkehr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_Toc170983728 \h </w:instrText>
                </w:r>
                <w:r w:rsidR="00623AF8" w:rsidRPr="002E0E33">
                  <w:rPr>
                    <w:noProof/>
                    <w:webHidden/>
                  </w:rPr>
                </w:r>
                <w:r w:rsidR="00623AF8" w:rsidRPr="002E0E33">
                  <w:rPr>
                    <w:noProof/>
                    <w:webHidden/>
                  </w:rPr>
                  <w:fldChar w:fldCharType="separate"/>
                </w:r>
                <w:r w:rsidR="00623AF8">
                  <w:rPr>
                    <w:noProof/>
                    <w:webHidden/>
                  </w:rPr>
                  <w:t>114</w:t>
                </w:r>
                <w:r w:rsidR="00623AF8" w:rsidRPr="002E0E33">
                  <w:rPr>
                    <w:noProof/>
                    <w:webHidden/>
                  </w:rPr>
                  <w:fldChar w:fldCharType="end"/>
                </w:r>
              </w:hyperlink>
            </w:p>
            <w:p w14:paraId="67685D3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29" w:history="1">
                <w:r w:rsidR="00623AF8" w:rsidRPr="002E0E33">
                  <w:rPr>
                    <w:rStyle w:val="Hyperlink"/>
                    <w:rFonts w:ascii="Aptos" w:eastAsiaTheme="majorEastAsia" w:hAnsi="Aptos" w:cstheme="majorBidi"/>
                    <w:noProof/>
                  </w:rPr>
                  <w:t>Level-Playing-Field Straßen- und Schienenverkehr: Gigaliner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_Toc170983729 \h </w:instrText>
                </w:r>
                <w:r w:rsidR="00623AF8" w:rsidRPr="002E0E33">
                  <w:rPr>
                    <w:noProof/>
                    <w:webHidden/>
                  </w:rPr>
                </w:r>
                <w:r w:rsidR="00623AF8" w:rsidRPr="002E0E33">
                  <w:rPr>
                    <w:noProof/>
                    <w:webHidden/>
                  </w:rPr>
                  <w:fldChar w:fldCharType="separate"/>
                </w:r>
                <w:r w:rsidR="00623AF8">
                  <w:rPr>
                    <w:noProof/>
                    <w:webHidden/>
                  </w:rPr>
                  <w:t>115</w:t>
                </w:r>
                <w:r w:rsidR="00623AF8" w:rsidRPr="002E0E33">
                  <w:rPr>
                    <w:noProof/>
                    <w:webHidden/>
                  </w:rPr>
                  <w:fldChar w:fldCharType="end"/>
                </w:r>
              </w:hyperlink>
            </w:p>
            <w:p w14:paraId="29CD313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30" w:history="1">
                <w:r w:rsidR="00623AF8" w:rsidRPr="002E0E33">
                  <w:rPr>
                    <w:rStyle w:val="Hyperlink"/>
                    <w:rFonts w:ascii="Aptos" w:eastAsiaTheme="majorEastAsia" w:hAnsi="Aptos" w:cstheme="majorBidi"/>
                    <w:noProof/>
                  </w:rPr>
                  <w:t>Ausbau des TEN-T Infrastruktur: Kompensationszahlungen für Korridorsperren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_Toc170983730 \h </w:instrText>
                </w:r>
                <w:r w:rsidR="00623AF8" w:rsidRPr="002E0E33">
                  <w:rPr>
                    <w:noProof/>
                    <w:webHidden/>
                  </w:rPr>
                </w:r>
                <w:r w:rsidR="00623AF8" w:rsidRPr="002E0E33">
                  <w:rPr>
                    <w:noProof/>
                    <w:webHidden/>
                  </w:rPr>
                  <w:fldChar w:fldCharType="separate"/>
                </w:r>
                <w:r w:rsidR="00623AF8">
                  <w:rPr>
                    <w:noProof/>
                    <w:webHidden/>
                  </w:rPr>
                  <w:t>116</w:t>
                </w:r>
                <w:r w:rsidR="00623AF8" w:rsidRPr="002E0E33">
                  <w:rPr>
                    <w:noProof/>
                    <w:webHidden/>
                  </w:rPr>
                  <w:fldChar w:fldCharType="end"/>
                </w:r>
              </w:hyperlink>
            </w:p>
            <w:p w14:paraId="3FE5FF3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31" w:history="1">
                <w:r w:rsidR="00623AF8" w:rsidRPr="002E0E33">
                  <w:rPr>
                    <w:rStyle w:val="Hyperlink"/>
                    <w:rFonts w:ascii="Aptos" w:eastAsiaTheme="majorEastAsia" w:hAnsi="Aptos" w:cstheme="majorBidi"/>
                    <w:noProof/>
                  </w:rPr>
                  <w:t>Europäischer Mobilitätsdatenraum</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_Toc170983731 \h </w:instrText>
                </w:r>
                <w:r w:rsidR="00623AF8" w:rsidRPr="002E0E33">
                  <w:rPr>
                    <w:noProof/>
                    <w:webHidden/>
                  </w:rPr>
                </w:r>
                <w:r w:rsidR="00623AF8" w:rsidRPr="002E0E33">
                  <w:rPr>
                    <w:noProof/>
                    <w:webHidden/>
                  </w:rPr>
                  <w:fldChar w:fldCharType="separate"/>
                </w:r>
                <w:r w:rsidR="00623AF8">
                  <w:rPr>
                    <w:noProof/>
                    <w:webHidden/>
                  </w:rPr>
                  <w:t>117</w:t>
                </w:r>
                <w:r w:rsidR="00623AF8" w:rsidRPr="002E0E33">
                  <w:rPr>
                    <w:noProof/>
                    <w:webHidden/>
                  </w:rPr>
                  <w:fldChar w:fldCharType="end"/>
                </w:r>
              </w:hyperlink>
            </w:p>
            <w:p w14:paraId="757BF06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32" w:history="1">
                <w:r w:rsidR="00623AF8" w:rsidRPr="002E0E33">
                  <w:rPr>
                    <w:rStyle w:val="Hyperlink"/>
                    <w:rFonts w:ascii="Aptos" w:eastAsiaTheme="majorEastAsia" w:hAnsi="Aptos" w:cstheme="majorBidi"/>
                    <w:noProof/>
                  </w:rPr>
                  <w:t>Multimodale Mobilität – Kosten für öffentliche/kommunale Verkehrsbetriebe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_Toc170983732 \h </w:instrText>
                </w:r>
                <w:r w:rsidR="00623AF8" w:rsidRPr="002E0E33">
                  <w:rPr>
                    <w:noProof/>
                    <w:webHidden/>
                  </w:rPr>
                </w:r>
                <w:r w:rsidR="00623AF8" w:rsidRPr="002E0E33">
                  <w:rPr>
                    <w:noProof/>
                    <w:webHidden/>
                  </w:rPr>
                  <w:fldChar w:fldCharType="separate"/>
                </w:r>
                <w:r w:rsidR="00623AF8">
                  <w:rPr>
                    <w:noProof/>
                    <w:webHidden/>
                  </w:rPr>
                  <w:t>118</w:t>
                </w:r>
                <w:r w:rsidR="00623AF8" w:rsidRPr="002E0E33">
                  <w:rPr>
                    <w:noProof/>
                    <w:webHidden/>
                  </w:rPr>
                  <w:fldChar w:fldCharType="end"/>
                </w:r>
              </w:hyperlink>
            </w:p>
            <w:p w14:paraId="2EC3D94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33" w:history="1">
                <w:r w:rsidR="00623AF8" w:rsidRPr="002E0E33">
                  <w:rPr>
                    <w:rStyle w:val="Hyperlink"/>
                    <w:rFonts w:ascii="Aptos" w:eastAsiaTheme="majorEastAsia" w:hAnsi="Aptos" w:cstheme="majorBidi"/>
                    <w:noProof/>
                  </w:rPr>
                  <w:t>Multimodales Verkehrsmanagement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_Toc170983733 \h </w:instrText>
                </w:r>
                <w:r w:rsidR="00623AF8" w:rsidRPr="002E0E33">
                  <w:rPr>
                    <w:noProof/>
                    <w:webHidden/>
                  </w:rPr>
                </w:r>
                <w:r w:rsidR="00623AF8" w:rsidRPr="002E0E33">
                  <w:rPr>
                    <w:noProof/>
                    <w:webHidden/>
                  </w:rPr>
                  <w:fldChar w:fldCharType="separate"/>
                </w:r>
                <w:r w:rsidR="00623AF8">
                  <w:rPr>
                    <w:noProof/>
                    <w:webHidden/>
                  </w:rPr>
                  <w:t>119</w:t>
                </w:r>
                <w:r w:rsidR="00623AF8" w:rsidRPr="002E0E33">
                  <w:rPr>
                    <w:noProof/>
                    <w:webHidden/>
                  </w:rPr>
                  <w:fldChar w:fldCharType="end"/>
                </w:r>
              </w:hyperlink>
            </w:p>
            <w:p w14:paraId="2A730B2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34" w:history="1">
                <w:r w:rsidR="00623AF8" w:rsidRPr="002E0E33">
                  <w:rPr>
                    <w:rStyle w:val="Hyperlink"/>
                    <w:rFonts w:ascii="Aptos" w:eastAsiaTheme="majorEastAsia" w:hAnsi="Aptos" w:cstheme="majorBidi"/>
                    <w:noProof/>
                  </w:rPr>
                  <w:t>Ausbau der Terminalkapazitäten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_Toc170983734 \h </w:instrText>
                </w:r>
                <w:r w:rsidR="00623AF8" w:rsidRPr="002E0E33">
                  <w:rPr>
                    <w:noProof/>
                    <w:webHidden/>
                  </w:rPr>
                </w:r>
                <w:r w:rsidR="00623AF8" w:rsidRPr="002E0E33">
                  <w:rPr>
                    <w:noProof/>
                    <w:webHidden/>
                  </w:rPr>
                  <w:fldChar w:fldCharType="separate"/>
                </w:r>
                <w:r w:rsidR="00623AF8">
                  <w:rPr>
                    <w:noProof/>
                    <w:webHidden/>
                  </w:rPr>
                  <w:t>120</w:t>
                </w:r>
                <w:r w:rsidR="00623AF8" w:rsidRPr="002E0E33">
                  <w:rPr>
                    <w:noProof/>
                    <w:webHidden/>
                  </w:rPr>
                  <w:fldChar w:fldCharType="end"/>
                </w:r>
              </w:hyperlink>
            </w:p>
            <w:p w14:paraId="1A7F9DE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35" w:history="1">
                <w:r w:rsidR="00623AF8" w:rsidRPr="002E0E33">
                  <w:rPr>
                    <w:rStyle w:val="Hyperlink"/>
                    <w:rFonts w:ascii="Aptos" w:eastAsiaTheme="majorEastAsia" w:hAnsi="Aptos" w:cstheme="majorBidi"/>
                    <w:noProof/>
                  </w:rPr>
                  <w:t>Nachtzüge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_Toc170983735 \h </w:instrText>
                </w:r>
                <w:r w:rsidR="00623AF8" w:rsidRPr="002E0E33">
                  <w:rPr>
                    <w:noProof/>
                    <w:webHidden/>
                  </w:rPr>
                </w:r>
                <w:r w:rsidR="00623AF8" w:rsidRPr="002E0E33">
                  <w:rPr>
                    <w:noProof/>
                    <w:webHidden/>
                  </w:rPr>
                  <w:fldChar w:fldCharType="separate"/>
                </w:r>
                <w:r w:rsidR="00623AF8">
                  <w:rPr>
                    <w:noProof/>
                    <w:webHidden/>
                  </w:rPr>
                  <w:t>121</w:t>
                </w:r>
                <w:r w:rsidR="00623AF8" w:rsidRPr="002E0E33">
                  <w:rPr>
                    <w:noProof/>
                    <w:webHidden/>
                  </w:rPr>
                  <w:fldChar w:fldCharType="end"/>
                </w:r>
              </w:hyperlink>
            </w:p>
            <w:p w14:paraId="2CD96C6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36" w:history="1">
                <w:r w:rsidR="00623AF8" w:rsidRPr="002E0E33">
                  <w:rPr>
                    <w:rStyle w:val="Hyperlink"/>
                    <w:rFonts w:ascii="Aptos" w:eastAsiaTheme="majorEastAsia" w:hAnsi="Aptos" w:cstheme="majorBidi"/>
                    <w:noProof/>
                  </w:rPr>
                  <w:t>Direktvergabe im öffentlichen Personenverkehr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_Toc170983736 \h </w:instrText>
                </w:r>
                <w:r w:rsidR="00623AF8" w:rsidRPr="002E0E33">
                  <w:rPr>
                    <w:noProof/>
                    <w:webHidden/>
                  </w:rPr>
                </w:r>
                <w:r w:rsidR="00623AF8" w:rsidRPr="002E0E33">
                  <w:rPr>
                    <w:noProof/>
                    <w:webHidden/>
                  </w:rPr>
                  <w:fldChar w:fldCharType="separate"/>
                </w:r>
                <w:r w:rsidR="00623AF8">
                  <w:rPr>
                    <w:noProof/>
                    <w:webHidden/>
                  </w:rPr>
                  <w:t>122</w:t>
                </w:r>
                <w:r w:rsidR="00623AF8" w:rsidRPr="002E0E33">
                  <w:rPr>
                    <w:noProof/>
                    <w:webHidden/>
                  </w:rPr>
                  <w:fldChar w:fldCharType="end"/>
                </w:r>
              </w:hyperlink>
            </w:p>
            <w:p w14:paraId="2C1F875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37" w:history="1">
                <w:r w:rsidR="00623AF8" w:rsidRPr="002E0E33">
                  <w:rPr>
                    <w:rStyle w:val="Hyperlink"/>
                    <w:rFonts w:ascii="Aptos" w:eastAsiaTheme="majorEastAsia" w:hAnsi="Aptos" w:cstheme="majorBidi"/>
                    <w:noProof/>
                  </w:rPr>
                  <w:t>Stärkung des öffentlichen Verkehrssektors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_Toc170983737 \h </w:instrText>
                </w:r>
                <w:r w:rsidR="00623AF8" w:rsidRPr="002E0E33">
                  <w:rPr>
                    <w:noProof/>
                    <w:webHidden/>
                  </w:rPr>
                </w:r>
                <w:r w:rsidR="00623AF8" w:rsidRPr="002E0E33">
                  <w:rPr>
                    <w:noProof/>
                    <w:webHidden/>
                  </w:rPr>
                  <w:fldChar w:fldCharType="separate"/>
                </w:r>
                <w:r w:rsidR="00623AF8">
                  <w:rPr>
                    <w:noProof/>
                    <w:webHidden/>
                  </w:rPr>
                  <w:t>123</w:t>
                </w:r>
                <w:r w:rsidR="00623AF8" w:rsidRPr="002E0E33">
                  <w:rPr>
                    <w:noProof/>
                    <w:webHidden/>
                  </w:rPr>
                  <w:fldChar w:fldCharType="end"/>
                </w:r>
              </w:hyperlink>
            </w:p>
            <w:p w14:paraId="50975CE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38" w:history="1">
                <w:r w:rsidR="00623AF8" w:rsidRPr="002E0E33">
                  <w:rPr>
                    <w:rStyle w:val="Hyperlink"/>
                    <w:rFonts w:ascii="Aptos" w:eastAsiaTheme="majorEastAsia" w:hAnsi="Aptos" w:cstheme="majorBidi"/>
                    <w:noProof/>
                  </w:rPr>
                  <w:t>EU-Initiativen im Straßenverkehr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_Toc170983738 \h </w:instrText>
                </w:r>
                <w:r w:rsidR="00623AF8" w:rsidRPr="002E0E33">
                  <w:rPr>
                    <w:noProof/>
                    <w:webHidden/>
                  </w:rPr>
                </w:r>
                <w:r w:rsidR="00623AF8" w:rsidRPr="002E0E33">
                  <w:rPr>
                    <w:noProof/>
                    <w:webHidden/>
                  </w:rPr>
                  <w:fldChar w:fldCharType="separate"/>
                </w:r>
                <w:r w:rsidR="00623AF8">
                  <w:rPr>
                    <w:noProof/>
                    <w:webHidden/>
                  </w:rPr>
                  <w:t>124</w:t>
                </w:r>
                <w:r w:rsidR="00623AF8" w:rsidRPr="002E0E33">
                  <w:rPr>
                    <w:noProof/>
                    <w:webHidden/>
                  </w:rPr>
                  <w:fldChar w:fldCharType="end"/>
                </w:r>
              </w:hyperlink>
            </w:p>
            <w:p w14:paraId="59D5183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39" w:history="1">
                <w:r w:rsidR="00623AF8" w:rsidRPr="002E0E33">
                  <w:rPr>
                    <w:rStyle w:val="Hyperlink"/>
                    <w:rFonts w:ascii="Aptos" w:eastAsiaTheme="majorEastAsia" w:hAnsi="Aptos" w:cstheme="majorBidi"/>
                    <w:noProof/>
                  </w:rPr>
                  <w:t>Ticketing-System für den grenzüberschreitenden Verkehr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_Toc170983739 \h </w:instrText>
                </w:r>
                <w:r w:rsidR="00623AF8" w:rsidRPr="002E0E33">
                  <w:rPr>
                    <w:noProof/>
                    <w:webHidden/>
                  </w:rPr>
                </w:r>
                <w:r w:rsidR="00623AF8" w:rsidRPr="002E0E33">
                  <w:rPr>
                    <w:noProof/>
                    <w:webHidden/>
                  </w:rPr>
                  <w:fldChar w:fldCharType="separate"/>
                </w:r>
                <w:r w:rsidR="00623AF8">
                  <w:rPr>
                    <w:noProof/>
                    <w:webHidden/>
                  </w:rPr>
                  <w:t>125</w:t>
                </w:r>
                <w:r w:rsidR="00623AF8" w:rsidRPr="002E0E33">
                  <w:rPr>
                    <w:noProof/>
                    <w:webHidden/>
                  </w:rPr>
                  <w:fldChar w:fldCharType="end"/>
                </w:r>
              </w:hyperlink>
            </w:p>
            <w:p w14:paraId="5F0FA6B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40" w:history="1">
                <w:r w:rsidR="00623AF8" w:rsidRPr="002E0E33">
                  <w:rPr>
                    <w:rStyle w:val="Hyperlink"/>
                    <w:rFonts w:ascii="Aptos" w:eastAsiaTheme="majorEastAsia" w:hAnsi="Aptos" w:cstheme="majorBidi"/>
                    <w:noProof/>
                  </w:rPr>
                  <w:t>Digitale Aufzeichnung und Kontrolle der Arbeitsbedingungen im Verkehrssystem</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_Toc170983740 \h </w:instrText>
                </w:r>
                <w:r w:rsidR="00623AF8" w:rsidRPr="002E0E33">
                  <w:rPr>
                    <w:noProof/>
                    <w:webHidden/>
                  </w:rPr>
                </w:r>
                <w:r w:rsidR="00623AF8" w:rsidRPr="002E0E33">
                  <w:rPr>
                    <w:noProof/>
                    <w:webHidden/>
                  </w:rPr>
                  <w:fldChar w:fldCharType="separate"/>
                </w:r>
                <w:r w:rsidR="00623AF8">
                  <w:rPr>
                    <w:noProof/>
                    <w:webHidden/>
                  </w:rPr>
                  <w:t>126</w:t>
                </w:r>
                <w:r w:rsidR="00623AF8" w:rsidRPr="002E0E33">
                  <w:rPr>
                    <w:noProof/>
                    <w:webHidden/>
                  </w:rPr>
                  <w:fldChar w:fldCharType="end"/>
                </w:r>
              </w:hyperlink>
            </w:p>
            <w:p w14:paraId="767B8A0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41" w:history="1">
                <w:r w:rsidR="00623AF8" w:rsidRPr="002E0E33">
                  <w:rPr>
                    <w:rStyle w:val="Hyperlink"/>
                    <w:rFonts w:ascii="Aptos" w:eastAsiaTheme="majorEastAsia" w:hAnsi="Aptos" w:cstheme="majorBidi"/>
                    <w:noProof/>
                  </w:rPr>
                  <w:t>Attraktivität der Berufe im Verkehrssystem</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_Toc170983741 \h </w:instrText>
                </w:r>
                <w:r w:rsidR="00623AF8" w:rsidRPr="002E0E33">
                  <w:rPr>
                    <w:noProof/>
                    <w:webHidden/>
                  </w:rPr>
                </w:r>
                <w:r w:rsidR="00623AF8" w:rsidRPr="002E0E33">
                  <w:rPr>
                    <w:noProof/>
                    <w:webHidden/>
                  </w:rPr>
                  <w:fldChar w:fldCharType="separate"/>
                </w:r>
                <w:r w:rsidR="00623AF8">
                  <w:rPr>
                    <w:noProof/>
                    <w:webHidden/>
                  </w:rPr>
                  <w:t>127</w:t>
                </w:r>
                <w:r w:rsidR="00623AF8" w:rsidRPr="002E0E33">
                  <w:rPr>
                    <w:noProof/>
                    <w:webHidden/>
                  </w:rPr>
                  <w:fldChar w:fldCharType="end"/>
                </w:r>
              </w:hyperlink>
            </w:p>
            <w:p w14:paraId="7C6C112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42" w:history="1">
                <w:r w:rsidR="00623AF8" w:rsidRPr="002E0E33">
                  <w:rPr>
                    <w:rStyle w:val="Hyperlink"/>
                    <w:rFonts w:ascii="Aptos" w:eastAsiaTheme="majorEastAsia" w:hAnsi="Aptos" w:cstheme="majorBidi"/>
                    <w:noProof/>
                  </w:rPr>
                  <w:t>Gesundheitsförderung und sozial-verträgliche Arbeitsbedingungen im Verkehrssystem</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_Toc170983742 \h </w:instrText>
                </w:r>
                <w:r w:rsidR="00623AF8" w:rsidRPr="002E0E33">
                  <w:rPr>
                    <w:noProof/>
                    <w:webHidden/>
                  </w:rPr>
                </w:r>
                <w:r w:rsidR="00623AF8" w:rsidRPr="002E0E33">
                  <w:rPr>
                    <w:noProof/>
                    <w:webHidden/>
                  </w:rPr>
                  <w:fldChar w:fldCharType="separate"/>
                </w:r>
                <w:r w:rsidR="00623AF8">
                  <w:rPr>
                    <w:noProof/>
                    <w:webHidden/>
                  </w:rPr>
                  <w:t>128</w:t>
                </w:r>
                <w:r w:rsidR="00623AF8" w:rsidRPr="002E0E33">
                  <w:rPr>
                    <w:noProof/>
                    <w:webHidden/>
                  </w:rPr>
                  <w:fldChar w:fldCharType="end"/>
                </w:r>
              </w:hyperlink>
            </w:p>
            <w:p w14:paraId="58DBE04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43" w:history="1">
                <w:r w:rsidR="00623AF8" w:rsidRPr="002E0E33">
                  <w:rPr>
                    <w:rStyle w:val="Hyperlink"/>
                    <w:rFonts w:ascii="Aptos" w:eastAsiaTheme="majorEastAsia" w:hAnsi="Aptos" w:cstheme="majorBidi"/>
                    <w:noProof/>
                  </w:rPr>
                  <w:t>Green Jobs im Verkehrssektor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_Toc170983743 \h </w:instrText>
                </w:r>
                <w:r w:rsidR="00623AF8" w:rsidRPr="002E0E33">
                  <w:rPr>
                    <w:noProof/>
                    <w:webHidden/>
                  </w:rPr>
                </w:r>
                <w:r w:rsidR="00623AF8" w:rsidRPr="002E0E33">
                  <w:rPr>
                    <w:noProof/>
                    <w:webHidden/>
                  </w:rPr>
                  <w:fldChar w:fldCharType="separate"/>
                </w:r>
                <w:r w:rsidR="00623AF8">
                  <w:rPr>
                    <w:noProof/>
                    <w:webHidden/>
                  </w:rPr>
                  <w:t>129</w:t>
                </w:r>
                <w:r w:rsidR="00623AF8" w:rsidRPr="002E0E33">
                  <w:rPr>
                    <w:noProof/>
                    <w:webHidden/>
                  </w:rPr>
                  <w:fldChar w:fldCharType="end"/>
                </w:r>
              </w:hyperlink>
            </w:p>
            <w:p w14:paraId="0639255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44" w:history="1">
                <w:r w:rsidR="00623AF8" w:rsidRPr="002E0E33">
                  <w:rPr>
                    <w:rStyle w:val="Hyperlink"/>
                    <w:rFonts w:ascii="Aptos" w:eastAsiaTheme="majorEastAsia" w:hAnsi="Aptos" w:cstheme="majorBidi"/>
                    <w:noProof/>
                  </w:rPr>
                  <w:t>Level-Playing-Field bei den Arbeitsbedingungen im Grenzüberschreitenden Güterverkehr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_Toc170983744 \h </w:instrText>
                </w:r>
                <w:r w:rsidR="00623AF8" w:rsidRPr="002E0E33">
                  <w:rPr>
                    <w:noProof/>
                    <w:webHidden/>
                  </w:rPr>
                </w:r>
                <w:r w:rsidR="00623AF8" w:rsidRPr="002E0E33">
                  <w:rPr>
                    <w:noProof/>
                    <w:webHidden/>
                  </w:rPr>
                  <w:fldChar w:fldCharType="separate"/>
                </w:r>
                <w:r w:rsidR="00623AF8">
                  <w:rPr>
                    <w:noProof/>
                    <w:webHidden/>
                  </w:rPr>
                  <w:t>130</w:t>
                </w:r>
                <w:r w:rsidR="00623AF8" w:rsidRPr="002E0E33">
                  <w:rPr>
                    <w:noProof/>
                    <w:webHidden/>
                  </w:rPr>
                  <w:fldChar w:fldCharType="end"/>
                </w:r>
              </w:hyperlink>
            </w:p>
            <w:p w14:paraId="595B6BD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45" w:history="1">
                <w:r w:rsidR="00623AF8" w:rsidRPr="002E0E33">
                  <w:rPr>
                    <w:rStyle w:val="Hyperlink"/>
                    <w:rFonts w:ascii="Aptos" w:eastAsiaTheme="majorEastAsia" w:hAnsi="Aptos" w:cstheme="majorBidi"/>
                    <w:noProof/>
                  </w:rPr>
                  <w:t>Flexible und rechtssichere Förderungen im Verkehrssystems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_Toc170983745 \h </w:instrText>
                </w:r>
                <w:r w:rsidR="00623AF8" w:rsidRPr="002E0E33">
                  <w:rPr>
                    <w:noProof/>
                    <w:webHidden/>
                  </w:rPr>
                </w:r>
                <w:r w:rsidR="00623AF8" w:rsidRPr="002E0E33">
                  <w:rPr>
                    <w:noProof/>
                    <w:webHidden/>
                  </w:rPr>
                  <w:fldChar w:fldCharType="separate"/>
                </w:r>
                <w:r w:rsidR="00623AF8">
                  <w:rPr>
                    <w:noProof/>
                    <w:webHidden/>
                  </w:rPr>
                  <w:t>131</w:t>
                </w:r>
                <w:r w:rsidR="00623AF8" w:rsidRPr="002E0E33">
                  <w:rPr>
                    <w:noProof/>
                    <w:webHidden/>
                  </w:rPr>
                  <w:fldChar w:fldCharType="end"/>
                </w:r>
              </w:hyperlink>
            </w:p>
            <w:p w14:paraId="234568D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46" w:history="1">
                <w:r w:rsidR="00623AF8" w:rsidRPr="002E0E33">
                  <w:rPr>
                    <w:rStyle w:val="Hyperlink"/>
                    <w:rFonts w:ascii="Aptos" w:eastAsiaTheme="majorEastAsia" w:hAnsi="Aptos" w:cstheme="majorBidi"/>
                    <w:noProof/>
                  </w:rPr>
                  <w:t>Öffentliche Finanzierung und Förderung im Verkehrssystem</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_Toc170983746 \h </w:instrText>
                </w:r>
                <w:r w:rsidR="00623AF8" w:rsidRPr="002E0E33">
                  <w:rPr>
                    <w:noProof/>
                    <w:webHidden/>
                  </w:rPr>
                </w:r>
                <w:r w:rsidR="00623AF8" w:rsidRPr="002E0E33">
                  <w:rPr>
                    <w:noProof/>
                    <w:webHidden/>
                  </w:rPr>
                  <w:fldChar w:fldCharType="separate"/>
                </w:r>
                <w:r w:rsidR="00623AF8">
                  <w:rPr>
                    <w:noProof/>
                    <w:webHidden/>
                  </w:rPr>
                  <w:t>132</w:t>
                </w:r>
                <w:r w:rsidR="00623AF8" w:rsidRPr="002E0E33">
                  <w:rPr>
                    <w:noProof/>
                    <w:webHidden/>
                  </w:rPr>
                  <w:fldChar w:fldCharType="end"/>
                </w:r>
              </w:hyperlink>
            </w:p>
            <w:p w14:paraId="38D376A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47" w:history="1">
                <w:r w:rsidR="00623AF8" w:rsidRPr="002E0E33">
                  <w:rPr>
                    <w:rStyle w:val="Hyperlink"/>
                    <w:rFonts w:ascii="Aptos" w:eastAsiaTheme="majorEastAsia" w:hAnsi="Aptos" w:cstheme="majorBidi"/>
                    <w:noProof/>
                  </w:rPr>
                  <w:t>Planbarkeit von Finanzierung und Förderung im Verkehrssystem</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_Toc170983747 \h </w:instrText>
                </w:r>
                <w:r w:rsidR="00623AF8" w:rsidRPr="002E0E33">
                  <w:rPr>
                    <w:noProof/>
                    <w:webHidden/>
                  </w:rPr>
                </w:r>
                <w:r w:rsidR="00623AF8" w:rsidRPr="002E0E33">
                  <w:rPr>
                    <w:noProof/>
                    <w:webHidden/>
                  </w:rPr>
                  <w:fldChar w:fldCharType="separate"/>
                </w:r>
                <w:r w:rsidR="00623AF8">
                  <w:rPr>
                    <w:noProof/>
                    <w:webHidden/>
                  </w:rPr>
                  <w:t>133</w:t>
                </w:r>
                <w:r w:rsidR="00623AF8" w:rsidRPr="002E0E33">
                  <w:rPr>
                    <w:noProof/>
                    <w:webHidden/>
                  </w:rPr>
                  <w:fldChar w:fldCharType="end"/>
                </w:r>
              </w:hyperlink>
            </w:p>
            <w:p w14:paraId="237C35F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48" w:history="1">
                <w:r w:rsidR="00623AF8" w:rsidRPr="002E0E33">
                  <w:rPr>
                    <w:rStyle w:val="Hyperlink"/>
                    <w:rFonts w:ascii="Aptos" w:eastAsiaTheme="majorEastAsia" w:hAnsi="Aptos" w:cstheme="majorBidi"/>
                    <w:noProof/>
                  </w:rPr>
                  <w:t>Ausbau des TEN-T Netz in Richtung Osteuropa</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_Toc170983748 \h </w:instrText>
                </w:r>
                <w:r w:rsidR="00623AF8" w:rsidRPr="002E0E33">
                  <w:rPr>
                    <w:noProof/>
                    <w:webHidden/>
                  </w:rPr>
                </w:r>
                <w:r w:rsidR="00623AF8" w:rsidRPr="002E0E33">
                  <w:rPr>
                    <w:noProof/>
                    <w:webHidden/>
                  </w:rPr>
                  <w:fldChar w:fldCharType="separate"/>
                </w:r>
                <w:r w:rsidR="00623AF8">
                  <w:rPr>
                    <w:noProof/>
                    <w:webHidden/>
                  </w:rPr>
                  <w:t>134</w:t>
                </w:r>
                <w:r w:rsidR="00623AF8" w:rsidRPr="002E0E33">
                  <w:rPr>
                    <w:noProof/>
                    <w:webHidden/>
                  </w:rPr>
                  <w:fldChar w:fldCharType="end"/>
                </w:r>
              </w:hyperlink>
            </w:p>
            <w:p w14:paraId="6F2E44C0"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49" w:history="1">
                <w:r w:rsidR="00623AF8" w:rsidRPr="002E0E33">
                  <w:rPr>
                    <w:rStyle w:val="Hyperlink"/>
                    <w:rFonts w:ascii="Aptos" w:eastAsiaTheme="majorEastAsia" w:hAnsi="Aptos" w:cstheme="majorBidi"/>
                    <w:noProof/>
                  </w:rPr>
                  <w:t>Automatisierung des Verkehrssystems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_Toc170983749 \h </w:instrText>
                </w:r>
                <w:r w:rsidR="00623AF8" w:rsidRPr="002E0E33">
                  <w:rPr>
                    <w:noProof/>
                    <w:webHidden/>
                  </w:rPr>
                </w:r>
                <w:r w:rsidR="00623AF8" w:rsidRPr="002E0E33">
                  <w:rPr>
                    <w:noProof/>
                    <w:webHidden/>
                  </w:rPr>
                  <w:fldChar w:fldCharType="separate"/>
                </w:r>
                <w:r w:rsidR="00623AF8">
                  <w:rPr>
                    <w:noProof/>
                    <w:webHidden/>
                  </w:rPr>
                  <w:t>135</w:t>
                </w:r>
                <w:r w:rsidR="00623AF8" w:rsidRPr="002E0E33">
                  <w:rPr>
                    <w:noProof/>
                    <w:webHidden/>
                  </w:rPr>
                  <w:fldChar w:fldCharType="end"/>
                </w:r>
              </w:hyperlink>
            </w:p>
            <w:p w14:paraId="5D1070A9" w14:textId="77777777" w:rsidR="00623AF8" w:rsidRDefault="00AC460E" w:rsidP="00623AF8">
              <w:pPr>
                <w:pStyle w:val="Verzeichnis1"/>
                <w:tabs>
                  <w:tab w:val="right" w:leader="dot" w:pos="9060"/>
                </w:tabs>
                <w:rPr>
                  <w:rStyle w:val="Hyperlink"/>
                  <w:noProof/>
                </w:rPr>
              </w:pPr>
              <w:hyperlink w:anchor="_Toc170983750" w:history="1">
                <w:r w:rsidR="00623AF8" w:rsidRPr="002E0E33">
                  <w:rPr>
                    <w:rStyle w:val="Hyperlink"/>
                    <w:rFonts w:ascii="Aptos" w:eastAsiaTheme="majorEastAsia" w:hAnsi="Aptos" w:cstheme="majorBidi"/>
                    <w:noProof/>
                  </w:rPr>
                  <w:t>Akzeptanz von automatisierten Verkehrssystemen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_Toc170983750 \h </w:instrText>
                </w:r>
                <w:r w:rsidR="00623AF8" w:rsidRPr="002E0E33">
                  <w:rPr>
                    <w:noProof/>
                    <w:webHidden/>
                  </w:rPr>
                </w:r>
                <w:r w:rsidR="00623AF8" w:rsidRPr="002E0E33">
                  <w:rPr>
                    <w:noProof/>
                    <w:webHidden/>
                  </w:rPr>
                  <w:fldChar w:fldCharType="separate"/>
                </w:r>
                <w:r w:rsidR="00623AF8">
                  <w:rPr>
                    <w:noProof/>
                    <w:webHidden/>
                  </w:rPr>
                  <w:t>136</w:t>
                </w:r>
                <w:r w:rsidR="00623AF8" w:rsidRPr="002E0E33">
                  <w:rPr>
                    <w:noProof/>
                    <w:webHidden/>
                  </w:rPr>
                  <w:fldChar w:fldCharType="end"/>
                </w:r>
              </w:hyperlink>
            </w:p>
            <w:p w14:paraId="5ABEE76C" w14:textId="77777777" w:rsidR="00623AF8" w:rsidRPr="004C6189" w:rsidRDefault="00623AF8" w:rsidP="00623AF8">
              <w:pPr>
                <w:rPr>
                  <w:noProof/>
                </w:rPr>
              </w:pPr>
            </w:p>
            <w:p w14:paraId="68C106E1" w14:textId="77777777" w:rsidR="00623AF8" w:rsidRPr="00B8762C" w:rsidRDefault="00AC460E" w:rsidP="00623AF8">
              <w:pPr>
                <w:pStyle w:val="Verzeichnis1"/>
                <w:tabs>
                  <w:tab w:val="right" w:leader="dot" w:pos="9060"/>
                </w:tabs>
                <w:rPr>
                  <w:rFonts w:eastAsiaTheme="minorEastAsia"/>
                  <w:noProof/>
                  <w:color w:val="FF0000"/>
                  <w:kern w:val="2"/>
                  <w:sz w:val="28"/>
                  <w:szCs w:val="28"/>
                  <w:lang w:eastAsia="de-AT"/>
                  <w14:ligatures w14:val="standardContextual"/>
                </w:rPr>
              </w:pPr>
              <w:hyperlink w:anchor="_Toc170983751" w:history="1">
                <w:r w:rsidR="00623AF8" w:rsidRPr="00B8762C">
                  <w:rPr>
                    <w:rStyle w:val="Hyperlink"/>
                    <w:rFonts w:ascii="Aptos" w:hAnsi="Aptos"/>
                    <w:noProof/>
                    <w:color w:val="FF0000"/>
                    <w:sz w:val="28"/>
                    <w:szCs w:val="28"/>
                  </w:rPr>
                  <w:t>Wirtschaft</w:t>
                </w:r>
                <w:r w:rsidR="00623AF8">
                  <w:rPr>
                    <w:rStyle w:val="Hyperlink"/>
                    <w:rFonts w:ascii="Aptos" w:hAnsi="Aptos"/>
                    <w:noProof/>
                    <w:color w:val="FF0000"/>
                    <w:sz w:val="28"/>
                    <w:szCs w:val="28"/>
                  </w:rPr>
                  <w:t>spolitik</w:t>
                </w:r>
                <w:r w:rsidR="00623AF8" w:rsidRPr="00B8762C">
                  <w:rPr>
                    <w:noProof/>
                    <w:webHidden/>
                    <w:sz w:val="28"/>
                    <w:szCs w:val="28"/>
                  </w:rPr>
                  <w:tab/>
                </w:r>
                <w:r w:rsidR="00623AF8" w:rsidRPr="00B8762C">
                  <w:rPr>
                    <w:noProof/>
                    <w:webHidden/>
                    <w:sz w:val="28"/>
                    <w:szCs w:val="28"/>
                  </w:rPr>
                  <w:fldChar w:fldCharType="begin"/>
                </w:r>
                <w:r w:rsidR="00623AF8" w:rsidRPr="00B8762C">
                  <w:rPr>
                    <w:noProof/>
                    <w:webHidden/>
                    <w:sz w:val="28"/>
                    <w:szCs w:val="28"/>
                  </w:rPr>
                  <w:instrText xml:space="preserve"> PAGEREF _Toc170983751 \h </w:instrText>
                </w:r>
                <w:r w:rsidR="00623AF8" w:rsidRPr="00B8762C">
                  <w:rPr>
                    <w:noProof/>
                    <w:webHidden/>
                    <w:sz w:val="28"/>
                    <w:szCs w:val="28"/>
                  </w:rPr>
                </w:r>
                <w:r w:rsidR="00623AF8" w:rsidRPr="00B8762C">
                  <w:rPr>
                    <w:noProof/>
                    <w:webHidden/>
                    <w:sz w:val="28"/>
                    <w:szCs w:val="28"/>
                  </w:rPr>
                  <w:fldChar w:fldCharType="separate"/>
                </w:r>
                <w:r w:rsidR="00623AF8">
                  <w:rPr>
                    <w:noProof/>
                    <w:webHidden/>
                    <w:sz w:val="28"/>
                    <w:szCs w:val="28"/>
                  </w:rPr>
                  <w:t>137</w:t>
                </w:r>
                <w:r w:rsidR="00623AF8" w:rsidRPr="00B8762C">
                  <w:rPr>
                    <w:noProof/>
                    <w:webHidden/>
                    <w:sz w:val="28"/>
                    <w:szCs w:val="28"/>
                  </w:rPr>
                  <w:fldChar w:fldCharType="end"/>
                </w:r>
              </w:hyperlink>
            </w:p>
            <w:p w14:paraId="5031CE1D" w14:textId="77777777" w:rsidR="00623AF8" w:rsidRPr="004C6189" w:rsidRDefault="00AC460E" w:rsidP="00623AF8">
              <w:pPr>
                <w:pStyle w:val="Verzeichnis1"/>
                <w:tabs>
                  <w:tab w:val="right" w:leader="dot" w:pos="9060"/>
                </w:tabs>
                <w:rPr>
                  <w:rFonts w:eastAsiaTheme="minorEastAsia"/>
                  <w:b/>
                  <w:bCs/>
                  <w:noProof/>
                  <w:kern w:val="2"/>
                  <w:sz w:val="22"/>
                  <w:szCs w:val="22"/>
                  <w:lang w:eastAsia="de-AT"/>
                  <w14:ligatures w14:val="standardContextual"/>
                </w:rPr>
              </w:pPr>
              <w:hyperlink w:anchor="_Toc170983752" w:history="1">
                <w:r w:rsidR="00623AF8" w:rsidRPr="004C6189">
                  <w:rPr>
                    <w:rStyle w:val="Hyperlink"/>
                    <w:rFonts w:ascii="Aptos" w:hAnsi="Aptos"/>
                    <w:b/>
                    <w:bCs/>
                    <w:noProof/>
                  </w:rPr>
                  <w:t>Teilbereich I – Wirtschaftspolitische Steuerung</w:t>
                </w:r>
                <w:r w:rsidR="00623AF8" w:rsidRPr="004C6189">
                  <w:rPr>
                    <w:b/>
                    <w:bCs/>
                    <w:noProof/>
                    <w:webHidden/>
                  </w:rPr>
                  <w:tab/>
                </w:r>
                <w:r w:rsidR="00623AF8" w:rsidRPr="004C6189">
                  <w:rPr>
                    <w:b/>
                    <w:bCs/>
                    <w:noProof/>
                    <w:webHidden/>
                  </w:rPr>
                  <w:fldChar w:fldCharType="begin"/>
                </w:r>
                <w:r w:rsidR="00623AF8" w:rsidRPr="004C6189">
                  <w:rPr>
                    <w:b/>
                    <w:bCs/>
                    <w:noProof/>
                    <w:webHidden/>
                  </w:rPr>
                  <w:instrText xml:space="preserve"> PAGEREF _Toc170983752 \h </w:instrText>
                </w:r>
                <w:r w:rsidR="00623AF8" w:rsidRPr="004C6189">
                  <w:rPr>
                    <w:b/>
                    <w:bCs/>
                    <w:noProof/>
                    <w:webHidden/>
                  </w:rPr>
                </w:r>
                <w:r w:rsidR="00623AF8" w:rsidRPr="004C6189">
                  <w:rPr>
                    <w:b/>
                    <w:bCs/>
                    <w:noProof/>
                    <w:webHidden/>
                  </w:rPr>
                  <w:fldChar w:fldCharType="separate"/>
                </w:r>
                <w:r w:rsidR="00623AF8">
                  <w:rPr>
                    <w:b/>
                    <w:bCs/>
                    <w:noProof/>
                    <w:webHidden/>
                  </w:rPr>
                  <w:t>137</w:t>
                </w:r>
                <w:r w:rsidR="00623AF8" w:rsidRPr="004C6189">
                  <w:rPr>
                    <w:b/>
                    <w:bCs/>
                    <w:noProof/>
                    <w:webHidden/>
                  </w:rPr>
                  <w:fldChar w:fldCharType="end"/>
                </w:r>
              </w:hyperlink>
            </w:p>
            <w:p w14:paraId="21BD095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53" w:history="1">
                <w:r w:rsidR="00623AF8" w:rsidRPr="002E0E33">
                  <w:rPr>
                    <w:rStyle w:val="Hyperlink"/>
                    <w:rFonts w:ascii="Aptos" w:eastAsiaTheme="majorEastAsia" w:hAnsi="Aptos" w:cstheme="majorBidi"/>
                    <w:noProof/>
                  </w:rPr>
                  <w:t>Öffentliche &amp; kommunaler Akteure als Hebel für sozial-ökologische EU-Ziele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_Toc170983753 \h </w:instrText>
                </w:r>
                <w:r w:rsidR="00623AF8" w:rsidRPr="002E0E33">
                  <w:rPr>
                    <w:noProof/>
                    <w:webHidden/>
                  </w:rPr>
                </w:r>
                <w:r w:rsidR="00623AF8" w:rsidRPr="002E0E33">
                  <w:rPr>
                    <w:noProof/>
                    <w:webHidden/>
                  </w:rPr>
                  <w:fldChar w:fldCharType="separate"/>
                </w:r>
                <w:r w:rsidR="00623AF8">
                  <w:rPr>
                    <w:noProof/>
                    <w:webHidden/>
                  </w:rPr>
                  <w:t>137</w:t>
                </w:r>
                <w:r w:rsidR="00623AF8" w:rsidRPr="002E0E33">
                  <w:rPr>
                    <w:noProof/>
                    <w:webHidden/>
                  </w:rPr>
                  <w:fldChar w:fldCharType="end"/>
                </w:r>
              </w:hyperlink>
            </w:p>
            <w:p w14:paraId="6C1C7AD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54" w:history="1">
                <w:r w:rsidR="00623AF8" w:rsidRPr="002E0E33">
                  <w:rPr>
                    <w:rStyle w:val="Hyperlink"/>
                    <w:rFonts w:ascii="Aptos" w:eastAsiaTheme="majorEastAsia" w:hAnsi="Aptos" w:cstheme="majorBidi"/>
                    <w:noProof/>
                  </w:rPr>
                  <w:t>Ökologische Transformation am Binnenmarkt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_Toc170983754 \h </w:instrText>
                </w:r>
                <w:r w:rsidR="00623AF8" w:rsidRPr="002E0E33">
                  <w:rPr>
                    <w:noProof/>
                    <w:webHidden/>
                  </w:rPr>
                </w:r>
                <w:r w:rsidR="00623AF8" w:rsidRPr="002E0E33">
                  <w:rPr>
                    <w:noProof/>
                    <w:webHidden/>
                  </w:rPr>
                  <w:fldChar w:fldCharType="separate"/>
                </w:r>
                <w:r w:rsidR="00623AF8">
                  <w:rPr>
                    <w:noProof/>
                    <w:webHidden/>
                  </w:rPr>
                  <w:t>138</w:t>
                </w:r>
                <w:r w:rsidR="00623AF8" w:rsidRPr="002E0E33">
                  <w:rPr>
                    <w:noProof/>
                    <w:webHidden/>
                  </w:rPr>
                  <w:fldChar w:fldCharType="end"/>
                </w:r>
              </w:hyperlink>
            </w:p>
            <w:p w14:paraId="1BA260D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55" w:history="1">
                <w:r w:rsidR="00623AF8" w:rsidRPr="002E0E33">
                  <w:rPr>
                    <w:rStyle w:val="Hyperlink"/>
                    <w:rFonts w:ascii="Aptos" w:eastAsiaTheme="majorEastAsia" w:hAnsi="Aptos" w:cstheme="majorBidi"/>
                    <w:noProof/>
                  </w:rPr>
                  <w:t>Vergleichbare Indikatoren und Datengrundlage für Entscheidungsprozesse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_Toc170983755 \h </w:instrText>
                </w:r>
                <w:r w:rsidR="00623AF8" w:rsidRPr="002E0E33">
                  <w:rPr>
                    <w:noProof/>
                    <w:webHidden/>
                  </w:rPr>
                </w:r>
                <w:r w:rsidR="00623AF8" w:rsidRPr="002E0E33">
                  <w:rPr>
                    <w:noProof/>
                    <w:webHidden/>
                  </w:rPr>
                  <w:fldChar w:fldCharType="separate"/>
                </w:r>
                <w:r w:rsidR="00623AF8">
                  <w:rPr>
                    <w:noProof/>
                    <w:webHidden/>
                  </w:rPr>
                  <w:t>139</w:t>
                </w:r>
                <w:r w:rsidR="00623AF8" w:rsidRPr="002E0E33">
                  <w:rPr>
                    <w:noProof/>
                    <w:webHidden/>
                  </w:rPr>
                  <w:fldChar w:fldCharType="end"/>
                </w:r>
              </w:hyperlink>
            </w:p>
            <w:p w14:paraId="3F697843"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56" w:history="1">
                <w:r w:rsidR="00623AF8" w:rsidRPr="002E0E33">
                  <w:rPr>
                    <w:rStyle w:val="Hyperlink"/>
                    <w:rFonts w:ascii="Aptos" w:eastAsiaTheme="majorEastAsia" w:hAnsi="Aptos" w:cstheme="majorBidi"/>
                    <w:noProof/>
                  </w:rPr>
                  <w:t>Zollumgehungskonstruktionen im Onlinehandel</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_Toc170983756 \h </w:instrText>
                </w:r>
                <w:r w:rsidR="00623AF8" w:rsidRPr="002E0E33">
                  <w:rPr>
                    <w:noProof/>
                    <w:webHidden/>
                  </w:rPr>
                </w:r>
                <w:r w:rsidR="00623AF8" w:rsidRPr="002E0E33">
                  <w:rPr>
                    <w:noProof/>
                    <w:webHidden/>
                  </w:rPr>
                  <w:fldChar w:fldCharType="separate"/>
                </w:r>
                <w:r w:rsidR="00623AF8">
                  <w:rPr>
                    <w:noProof/>
                    <w:webHidden/>
                  </w:rPr>
                  <w:t>140</w:t>
                </w:r>
                <w:r w:rsidR="00623AF8" w:rsidRPr="002E0E33">
                  <w:rPr>
                    <w:noProof/>
                    <w:webHidden/>
                  </w:rPr>
                  <w:fldChar w:fldCharType="end"/>
                </w:r>
              </w:hyperlink>
            </w:p>
            <w:p w14:paraId="4C37749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57" w:history="1">
                <w:r w:rsidR="00623AF8" w:rsidRPr="002E0E33">
                  <w:rPr>
                    <w:rStyle w:val="Hyperlink"/>
                    <w:rFonts w:ascii="Aptos" w:eastAsiaTheme="majorEastAsia" w:hAnsi="Aptos" w:cstheme="majorBidi"/>
                    <w:noProof/>
                  </w:rPr>
                  <w:t>Wettbewerbsverzerrung durch Importprodukte aus Drittstaaten – CBAM</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_Toc170983757 \h </w:instrText>
                </w:r>
                <w:r w:rsidR="00623AF8" w:rsidRPr="002E0E33">
                  <w:rPr>
                    <w:noProof/>
                    <w:webHidden/>
                  </w:rPr>
                </w:r>
                <w:r w:rsidR="00623AF8" w:rsidRPr="002E0E33">
                  <w:rPr>
                    <w:noProof/>
                    <w:webHidden/>
                  </w:rPr>
                  <w:fldChar w:fldCharType="separate"/>
                </w:r>
                <w:r w:rsidR="00623AF8">
                  <w:rPr>
                    <w:noProof/>
                    <w:webHidden/>
                  </w:rPr>
                  <w:t>141</w:t>
                </w:r>
                <w:r w:rsidR="00623AF8" w:rsidRPr="002E0E33">
                  <w:rPr>
                    <w:noProof/>
                    <w:webHidden/>
                  </w:rPr>
                  <w:fldChar w:fldCharType="end"/>
                </w:r>
              </w:hyperlink>
            </w:p>
            <w:p w14:paraId="06816F73"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58" w:history="1">
                <w:r w:rsidR="00623AF8" w:rsidRPr="002E0E33">
                  <w:rPr>
                    <w:rStyle w:val="Hyperlink"/>
                    <w:rFonts w:ascii="Aptos" w:eastAsiaTheme="majorEastAsia" w:hAnsi="Aptos" w:cstheme="majorBidi"/>
                    <w:noProof/>
                  </w:rPr>
                  <w:t>Öffentliche Investitionen auf lokaler Ebene  (Fiskalregeln)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_Toc170983758 \h </w:instrText>
                </w:r>
                <w:r w:rsidR="00623AF8" w:rsidRPr="002E0E33">
                  <w:rPr>
                    <w:noProof/>
                    <w:webHidden/>
                  </w:rPr>
                </w:r>
                <w:r w:rsidR="00623AF8" w:rsidRPr="002E0E33">
                  <w:rPr>
                    <w:noProof/>
                    <w:webHidden/>
                  </w:rPr>
                  <w:fldChar w:fldCharType="separate"/>
                </w:r>
                <w:r w:rsidR="00623AF8">
                  <w:rPr>
                    <w:noProof/>
                    <w:webHidden/>
                  </w:rPr>
                  <w:t>142</w:t>
                </w:r>
                <w:r w:rsidR="00623AF8" w:rsidRPr="002E0E33">
                  <w:rPr>
                    <w:noProof/>
                    <w:webHidden/>
                  </w:rPr>
                  <w:fldChar w:fldCharType="end"/>
                </w:r>
              </w:hyperlink>
            </w:p>
            <w:p w14:paraId="2E9D3C0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59" w:history="1">
                <w:r w:rsidR="00623AF8" w:rsidRPr="002E0E33">
                  <w:rPr>
                    <w:rStyle w:val="Hyperlink"/>
                    <w:rFonts w:ascii="Aptos" w:eastAsiaTheme="majorEastAsia" w:hAnsi="Aptos" w:cstheme="majorBidi"/>
                    <w:noProof/>
                  </w:rPr>
                  <w:t>Stärkung der Währungsunion durch Investitionen in Safe Assets Märkte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_Toc170983759 \h </w:instrText>
                </w:r>
                <w:r w:rsidR="00623AF8" w:rsidRPr="002E0E33">
                  <w:rPr>
                    <w:noProof/>
                    <w:webHidden/>
                  </w:rPr>
                </w:r>
                <w:r w:rsidR="00623AF8" w:rsidRPr="002E0E33">
                  <w:rPr>
                    <w:noProof/>
                    <w:webHidden/>
                  </w:rPr>
                  <w:fldChar w:fldCharType="separate"/>
                </w:r>
                <w:r w:rsidR="00623AF8">
                  <w:rPr>
                    <w:noProof/>
                    <w:webHidden/>
                  </w:rPr>
                  <w:t>143</w:t>
                </w:r>
                <w:r w:rsidR="00623AF8" w:rsidRPr="002E0E33">
                  <w:rPr>
                    <w:noProof/>
                    <w:webHidden/>
                  </w:rPr>
                  <w:fldChar w:fldCharType="end"/>
                </w:r>
              </w:hyperlink>
            </w:p>
            <w:p w14:paraId="6114F40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60" w:history="1">
                <w:r w:rsidR="00623AF8" w:rsidRPr="002E0E33">
                  <w:rPr>
                    <w:rStyle w:val="Hyperlink"/>
                    <w:rFonts w:ascii="Aptos" w:eastAsiaTheme="majorEastAsia" w:hAnsi="Aptos" w:cstheme="majorBidi"/>
                    <w:noProof/>
                  </w:rPr>
                  <w:t>Neue öffentliche Finanzierungsmethoden (ASFINAG-Modell)</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_Toc170983760 \h </w:instrText>
                </w:r>
                <w:r w:rsidR="00623AF8" w:rsidRPr="002E0E33">
                  <w:rPr>
                    <w:noProof/>
                    <w:webHidden/>
                  </w:rPr>
                </w:r>
                <w:r w:rsidR="00623AF8" w:rsidRPr="002E0E33">
                  <w:rPr>
                    <w:noProof/>
                    <w:webHidden/>
                  </w:rPr>
                  <w:fldChar w:fldCharType="separate"/>
                </w:r>
                <w:r w:rsidR="00623AF8">
                  <w:rPr>
                    <w:noProof/>
                    <w:webHidden/>
                  </w:rPr>
                  <w:t>144</w:t>
                </w:r>
                <w:r w:rsidR="00623AF8" w:rsidRPr="002E0E33">
                  <w:rPr>
                    <w:noProof/>
                    <w:webHidden/>
                  </w:rPr>
                  <w:fldChar w:fldCharType="end"/>
                </w:r>
              </w:hyperlink>
            </w:p>
            <w:p w14:paraId="7BE239F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61" w:history="1">
                <w:r w:rsidR="00623AF8" w:rsidRPr="002E0E33">
                  <w:rPr>
                    <w:rStyle w:val="Hyperlink"/>
                    <w:rFonts w:ascii="Aptos" w:eastAsiaTheme="majorEastAsia" w:hAnsi="Aptos" w:cstheme="majorBidi"/>
                    <w:noProof/>
                  </w:rPr>
                  <w:t>Vertiefung der Kapitalmarktunion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_Toc170983761 \h </w:instrText>
                </w:r>
                <w:r w:rsidR="00623AF8" w:rsidRPr="002E0E33">
                  <w:rPr>
                    <w:noProof/>
                    <w:webHidden/>
                  </w:rPr>
                </w:r>
                <w:r w:rsidR="00623AF8" w:rsidRPr="002E0E33">
                  <w:rPr>
                    <w:noProof/>
                    <w:webHidden/>
                  </w:rPr>
                  <w:fldChar w:fldCharType="separate"/>
                </w:r>
                <w:r w:rsidR="00623AF8">
                  <w:rPr>
                    <w:noProof/>
                    <w:webHidden/>
                  </w:rPr>
                  <w:t>145</w:t>
                </w:r>
                <w:r w:rsidR="00623AF8" w:rsidRPr="002E0E33">
                  <w:rPr>
                    <w:noProof/>
                    <w:webHidden/>
                  </w:rPr>
                  <w:fldChar w:fldCharType="end"/>
                </w:r>
              </w:hyperlink>
            </w:p>
            <w:p w14:paraId="30D74E0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62" w:history="1">
                <w:r w:rsidR="00623AF8" w:rsidRPr="002E0E33">
                  <w:rPr>
                    <w:rStyle w:val="Hyperlink"/>
                    <w:rFonts w:ascii="Aptos" w:eastAsiaTheme="majorEastAsia" w:hAnsi="Aptos" w:cstheme="majorBidi"/>
                    <w:noProof/>
                  </w:rPr>
                  <w:t>Verbesserung der Rahmenbedingung für die interkommunale Zusammenarbeit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_Toc170983762 \h </w:instrText>
                </w:r>
                <w:r w:rsidR="00623AF8" w:rsidRPr="002E0E33">
                  <w:rPr>
                    <w:noProof/>
                    <w:webHidden/>
                  </w:rPr>
                </w:r>
                <w:r w:rsidR="00623AF8" w:rsidRPr="002E0E33">
                  <w:rPr>
                    <w:noProof/>
                    <w:webHidden/>
                  </w:rPr>
                  <w:fldChar w:fldCharType="separate"/>
                </w:r>
                <w:r w:rsidR="00623AF8">
                  <w:rPr>
                    <w:noProof/>
                    <w:webHidden/>
                  </w:rPr>
                  <w:t>146</w:t>
                </w:r>
                <w:r w:rsidR="00623AF8" w:rsidRPr="002E0E33">
                  <w:rPr>
                    <w:noProof/>
                    <w:webHidden/>
                  </w:rPr>
                  <w:fldChar w:fldCharType="end"/>
                </w:r>
              </w:hyperlink>
            </w:p>
            <w:p w14:paraId="4ED9B93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63" w:history="1">
                <w:r w:rsidR="00623AF8" w:rsidRPr="002E0E33">
                  <w:rPr>
                    <w:rStyle w:val="Hyperlink"/>
                    <w:rFonts w:ascii="Aptos" w:eastAsiaTheme="majorEastAsia" w:hAnsi="Aptos" w:cstheme="majorBidi"/>
                    <w:noProof/>
                  </w:rPr>
                  <w:t>Vorbeugung von immobilienwirtschaftlich induzierten Finanzkrisen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_Toc170983763 \h </w:instrText>
                </w:r>
                <w:r w:rsidR="00623AF8" w:rsidRPr="002E0E33">
                  <w:rPr>
                    <w:noProof/>
                    <w:webHidden/>
                  </w:rPr>
                </w:r>
                <w:r w:rsidR="00623AF8" w:rsidRPr="002E0E33">
                  <w:rPr>
                    <w:noProof/>
                    <w:webHidden/>
                  </w:rPr>
                  <w:fldChar w:fldCharType="separate"/>
                </w:r>
                <w:r w:rsidR="00623AF8">
                  <w:rPr>
                    <w:noProof/>
                    <w:webHidden/>
                  </w:rPr>
                  <w:t>147</w:t>
                </w:r>
                <w:r w:rsidR="00623AF8" w:rsidRPr="002E0E33">
                  <w:rPr>
                    <w:noProof/>
                    <w:webHidden/>
                  </w:rPr>
                  <w:fldChar w:fldCharType="end"/>
                </w:r>
              </w:hyperlink>
            </w:p>
            <w:p w14:paraId="11A335D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64" w:history="1">
                <w:r w:rsidR="00623AF8" w:rsidRPr="002E0E33">
                  <w:rPr>
                    <w:rStyle w:val="Hyperlink"/>
                    <w:rFonts w:ascii="Aptos" w:eastAsiaTheme="majorEastAsia" w:hAnsi="Aptos" w:cstheme="majorBidi"/>
                    <w:noProof/>
                  </w:rPr>
                  <w:t>Erweiterung fiskalischer Instrumente für Zukunftsinvestitionen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_Toc170983764 \h </w:instrText>
                </w:r>
                <w:r w:rsidR="00623AF8" w:rsidRPr="002E0E33">
                  <w:rPr>
                    <w:noProof/>
                    <w:webHidden/>
                  </w:rPr>
                </w:r>
                <w:r w:rsidR="00623AF8" w:rsidRPr="002E0E33">
                  <w:rPr>
                    <w:noProof/>
                    <w:webHidden/>
                  </w:rPr>
                  <w:fldChar w:fldCharType="separate"/>
                </w:r>
                <w:r w:rsidR="00623AF8">
                  <w:rPr>
                    <w:noProof/>
                    <w:webHidden/>
                  </w:rPr>
                  <w:t>148</w:t>
                </w:r>
                <w:r w:rsidR="00623AF8" w:rsidRPr="002E0E33">
                  <w:rPr>
                    <w:noProof/>
                    <w:webHidden/>
                  </w:rPr>
                  <w:fldChar w:fldCharType="end"/>
                </w:r>
              </w:hyperlink>
            </w:p>
            <w:p w14:paraId="3D546DA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65" w:history="1">
                <w:r w:rsidR="00623AF8" w:rsidRPr="002E0E33">
                  <w:rPr>
                    <w:rStyle w:val="Hyperlink"/>
                    <w:rFonts w:ascii="Aptos" w:eastAsiaTheme="majorEastAsia" w:hAnsi="Aptos" w:cstheme="majorBidi"/>
                    <w:noProof/>
                  </w:rPr>
                  <w:t>Kommunale Investitionen  - Periodenabgrenzung/Abschreibungen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_Toc170983765 \h </w:instrText>
                </w:r>
                <w:r w:rsidR="00623AF8" w:rsidRPr="002E0E33">
                  <w:rPr>
                    <w:noProof/>
                    <w:webHidden/>
                  </w:rPr>
                </w:r>
                <w:r w:rsidR="00623AF8" w:rsidRPr="002E0E33">
                  <w:rPr>
                    <w:noProof/>
                    <w:webHidden/>
                  </w:rPr>
                  <w:fldChar w:fldCharType="separate"/>
                </w:r>
                <w:r w:rsidR="00623AF8">
                  <w:rPr>
                    <w:noProof/>
                    <w:webHidden/>
                  </w:rPr>
                  <w:t>149</w:t>
                </w:r>
                <w:r w:rsidR="00623AF8" w:rsidRPr="002E0E33">
                  <w:rPr>
                    <w:noProof/>
                    <w:webHidden/>
                  </w:rPr>
                  <w:fldChar w:fldCharType="end"/>
                </w:r>
              </w:hyperlink>
            </w:p>
            <w:p w14:paraId="6AFFEB52" w14:textId="77777777" w:rsidR="00623AF8" w:rsidRPr="001B071C" w:rsidRDefault="00AC460E" w:rsidP="00623AF8">
              <w:pPr>
                <w:pStyle w:val="Verzeichnis1"/>
                <w:tabs>
                  <w:tab w:val="right" w:leader="dot" w:pos="9060"/>
                </w:tabs>
                <w:rPr>
                  <w:rFonts w:eastAsiaTheme="minorEastAsia"/>
                  <w:b/>
                  <w:bCs/>
                  <w:noProof/>
                  <w:kern w:val="2"/>
                  <w:sz w:val="22"/>
                  <w:szCs w:val="22"/>
                  <w:lang w:eastAsia="de-AT"/>
                  <w14:ligatures w14:val="standardContextual"/>
                </w:rPr>
              </w:pPr>
              <w:hyperlink w:anchor="_Toc170983766" w:history="1">
                <w:r w:rsidR="00623AF8" w:rsidRPr="001B071C">
                  <w:rPr>
                    <w:rStyle w:val="Hyperlink"/>
                    <w:rFonts w:ascii="Aptos" w:eastAsiaTheme="majorEastAsia" w:hAnsi="Aptos" w:cstheme="majorBidi"/>
                    <w:b/>
                    <w:bCs/>
                    <w:noProof/>
                  </w:rPr>
                  <w:t>Teilbereich II – Finanzierung &amp; Förderung</w:t>
                </w:r>
                <w:r w:rsidR="00623AF8" w:rsidRPr="001B071C">
                  <w:rPr>
                    <w:b/>
                    <w:bCs/>
                    <w:noProof/>
                    <w:webHidden/>
                  </w:rPr>
                  <w:tab/>
                </w:r>
                <w:r w:rsidR="00623AF8" w:rsidRPr="001B071C">
                  <w:rPr>
                    <w:b/>
                    <w:bCs/>
                    <w:noProof/>
                    <w:webHidden/>
                  </w:rPr>
                  <w:fldChar w:fldCharType="begin"/>
                </w:r>
                <w:r w:rsidR="00623AF8" w:rsidRPr="001B071C">
                  <w:rPr>
                    <w:b/>
                    <w:bCs/>
                    <w:noProof/>
                    <w:webHidden/>
                  </w:rPr>
                  <w:instrText xml:space="preserve"> PAGEREF _Toc170983766 \h </w:instrText>
                </w:r>
                <w:r w:rsidR="00623AF8" w:rsidRPr="001B071C">
                  <w:rPr>
                    <w:b/>
                    <w:bCs/>
                    <w:noProof/>
                    <w:webHidden/>
                  </w:rPr>
                </w:r>
                <w:r w:rsidR="00623AF8" w:rsidRPr="001B071C">
                  <w:rPr>
                    <w:b/>
                    <w:bCs/>
                    <w:noProof/>
                    <w:webHidden/>
                  </w:rPr>
                  <w:fldChar w:fldCharType="separate"/>
                </w:r>
                <w:r w:rsidR="00623AF8">
                  <w:rPr>
                    <w:b/>
                    <w:bCs/>
                    <w:noProof/>
                    <w:webHidden/>
                  </w:rPr>
                  <w:t>150</w:t>
                </w:r>
                <w:r w:rsidR="00623AF8" w:rsidRPr="001B071C">
                  <w:rPr>
                    <w:b/>
                    <w:bCs/>
                    <w:noProof/>
                    <w:webHidden/>
                  </w:rPr>
                  <w:fldChar w:fldCharType="end"/>
                </w:r>
              </w:hyperlink>
            </w:p>
            <w:p w14:paraId="76F39D73"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67" w:history="1">
                <w:r w:rsidR="00623AF8" w:rsidRPr="002E0E33">
                  <w:rPr>
                    <w:rStyle w:val="Hyperlink"/>
                    <w:rFonts w:ascii="Aptos" w:eastAsiaTheme="majorEastAsia" w:hAnsi="Aptos" w:cstheme="majorBidi"/>
                    <w:noProof/>
                  </w:rPr>
                  <w:t>Öffentliche Finanzierung für grüne Investitionsprojekte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_Toc170983767 \h </w:instrText>
                </w:r>
                <w:r w:rsidR="00623AF8" w:rsidRPr="002E0E33">
                  <w:rPr>
                    <w:noProof/>
                    <w:webHidden/>
                  </w:rPr>
                </w:r>
                <w:r w:rsidR="00623AF8" w:rsidRPr="002E0E33">
                  <w:rPr>
                    <w:noProof/>
                    <w:webHidden/>
                  </w:rPr>
                  <w:fldChar w:fldCharType="separate"/>
                </w:r>
                <w:r w:rsidR="00623AF8">
                  <w:rPr>
                    <w:noProof/>
                    <w:webHidden/>
                  </w:rPr>
                  <w:t>150</w:t>
                </w:r>
                <w:r w:rsidR="00623AF8" w:rsidRPr="002E0E33">
                  <w:rPr>
                    <w:noProof/>
                    <w:webHidden/>
                  </w:rPr>
                  <w:fldChar w:fldCharType="end"/>
                </w:r>
              </w:hyperlink>
            </w:p>
            <w:p w14:paraId="7AEC3DE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68" w:history="1">
                <w:r w:rsidR="00623AF8" w:rsidRPr="002E0E33">
                  <w:rPr>
                    <w:rStyle w:val="Hyperlink"/>
                    <w:rFonts w:ascii="Aptos" w:eastAsiaTheme="majorEastAsia" w:hAnsi="Aptos" w:cstheme="majorBidi"/>
                    <w:noProof/>
                  </w:rPr>
                  <w:t>Weiterführung und Evaluation aktueller Förderprogramme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_Toc170983768 \h </w:instrText>
                </w:r>
                <w:r w:rsidR="00623AF8" w:rsidRPr="002E0E33">
                  <w:rPr>
                    <w:noProof/>
                    <w:webHidden/>
                  </w:rPr>
                </w:r>
                <w:r w:rsidR="00623AF8" w:rsidRPr="002E0E33">
                  <w:rPr>
                    <w:noProof/>
                    <w:webHidden/>
                  </w:rPr>
                  <w:fldChar w:fldCharType="separate"/>
                </w:r>
                <w:r w:rsidR="00623AF8">
                  <w:rPr>
                    <w:noProof/>
                    <w:webHidden/>
                  </w:rPr>
                  <w:t>151</w:t>
                </w:r>
                <w:r w:rsidR="00623AF8" w:rsidRPr="002E0E33">
                  <w:rPr>
                    <w:noProof/>
                    <w:webHidden/>
                  </w:rPr>
                  <w:fldChar w:fldCharType="end"/>
                </w:r>
              </w:hyperlink>
            </w:p>
            <w:p w14:paraId="5410EF1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69" w:history="1">
                <w:r w:rsidR="00623AF8" w:rsidRPr="002E0E33">
                  <w:rPr>
                    <w:rStyle w:val="Hyperlink"/>
                    <w:rFonts w:ascii="Aptos" w:eastAsiaTheme="majorEastAsia" w:hAnsi="Aptos" w:cstheme="majorBidi"/>
                    <w:noProof/>
                    <w:lang w:val="en-GB"/>
                  </w:rPr>
                  <w:t>Public-Private-Partnerships (PPP-Projekte)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_Toc170983769 \h </w:instrText>
                </w:r>
                <w:r w:rsidR="00623AF8" w:rsidRPr="002E0E33">
                  <w:rPr>
                    <w:noProof/>
                    <w:webHidden/>
                  </w:rPr>
                </w:r>
                <w:r w:rsidR="00623AF8" w:rsidRPr="002E0E33">
                  <w:rPr>
                    <w:noProof/>
                    <w:webHidden/>
                  </w:rPr>
                  <w:fldChar w:fldCharType="separate"/>
                </w:r>
                <w:r w:rsidR="00623AF8">
                  <w:rPr>
                    <w:noProof/>
                    <w:webHidden/>
                  </w:rPr>
                  <w:t>152</w:t>
                </w:r>
                <w:r w:rsidR="00623AF8" w:rsidRPr="002E0E33">
                  <w:rPr>
                    <w:noProof/>
                    <w:webHidden/>
                  </w:rPr>
                  <w:fldChar w:fldCharType="end"/>
                </w:r>
              </w:hyperlink>
            </w:p>
            <w:p w14:paraId="28B1032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70" w:history="1">
                <w:r w:rsidR="00623AF8" w:rsidRPr="002E0E33">
                  <w:rPr>
                    <w:rStyle w:val="Hyperlink"/>
                    <w:rFonts w:ascii="Aptos" w:eastAsiaTheme="majorEastAsia" w:hAnsi="Aptos" w:cstheme="majorBidi"/>
                    <w:noProof/>
                  </w:rPr>
                  <w:t>Neue KMU-Definition für öffentliche Unternehmen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_Toc170983770 \h </w:instrText>
                </w:r>
                <w:r w:rsidR="00623AF8" w:rsidRPr="002E0E33">
                  <w:rPr>
                    <w:noProof/>
                    <w:webHidden/>
                  </w:rPr>
                </w:r>
                <w:r w:rsidR="00623AF8" w:rsidRPr="002E0E33">
                  <w:rPr>
                    <w:noProof/>
                    <w:webHidden/>
                  </w:rPr>
                  <w:fldChar w:fldCharType="separate"/>
                </w:r>
                <w:r w:rsidR="00623AF8">
                  <w:rPr>
                    <w:noProof/>
                    <w:webHidden/>
                  </w:rPr>
                  <w:t>153</w:t>
                </w:r>
                <w:r w:rsidR="00623AF8" w:rsidRPr="002E0E33">
                  <w:rPr>
                    <w:noProof/>
                    <w:webHidden/>
                  </w:rPr>
                  <w:fldChar w:fldCharType="end"/>
                </w:r>
              </w:hyperlink>
            </w:p>
            <w:p w14:paraId="29D3833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71" w:history="1">
                <w:r w:rsidR="00623AF8" w:rsidRPr="002E0E33">
                  <w:rPr>
                    <w:rStyle w:val="Hyperlink"/>
                    <w:rFonts w:ascii="Aptos" w:eastAsiaTheme="majorEastAsia" w:hAnsi="Aptos" w:cstheme="majorBidi"/>
                    <w:noProof/>
                  </w:rPr>
                  <w:t>Dual-Use-Kriterium – Klimaschutz und Versorgungssicherheit für kritische Infrastrukturen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_Toc170983771 \h </w:instrText>
                </w:r>
                <w:r w:rsidR="00623AF8" w:rsidRPr="002E0E33">
                  <w:rPr>
                    <w:noProof/>
                    <w:webHidden/>
                  </w:rPr>
                </w:r>
                <w:r w:rsidR="00623AF8" w:rsidRPr="002E0E33">
                  <w:rPr>
                    <w:noProof/>
                    <w:webHidden/>
                  </w:rPr>
                  <w:fldChar w:fldCharType="separate"/>
                </w:r>
                <w:r w:rsidR="00623AF8">
                  <w:rPr>
                    <w:noProof/>
                    <w:webHidden/>
                  </w:rPr>
                  <w:t>154</w:t>
                </w:r>
                <w:r w:rsidR="00623AF8" w:rsidRPr="002E0E33">
                  <w:rPr>
                    <w:noProof/>
                    <w:webHidden/>
                  </w:rPr>
                  <w:fldChar w:fldCharType="end"/>
                </w:r>
              </w:hyperlink>
            </w:p>
            <w:p w14:paraId="325D420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72" w:history="1">
                <w:r w:rsidR="00623AF8" w:rsidRPr="002E0E33">
                  <w:rPr>
                    <w:rStyle w:val="Hyperlink"/>
                    <w:rFonts w:ascii="Aptos" w:eastAsiaTheme="majorEastAsia" w:hAnsi="Aptos" w:cstheme="majorBidi"/>
                    <w:noProof/>
                  </w:rPr>
                  <w:t>Flexibilität von EU-Förderprogrammen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_Toc170983772 \h </w:instrText>
                </w:r>
                <w:r w:rsidR="00623AF8" w:rsidRPr="002E0E33">
                  <w:rPr>
                    <w:noProof/>
                    <w:webHidden/>
                  </w:rPr>
                </w:r>
                <w:r w:rsidR="00623AF8" w:rsidRPr="002E0E33">
                  <w:rPr>
                    <w:noProof/>
                    <w:webHidden/>
                  </w:rPr>
                  <w:fldChar w:fldCharType="separate"/>
                </w:r>
                <w:r w:rsidR="00623AF8">
                  <w:rPr>
                    <w:noProof/>
                    <w:webHidden/>
                  </w:rPr>
                  <w:t>155</w:t>
                </w:r>
                <w:r w:rsidR="00623AF8" w:rsidRPr="002E0E33">
                  <w:rPr>
                    <w:noProof/>
                    <w:webHidden/>
                  </w:rPr>
                  <w:fldChar w:fldCharType="end"/>
                </w:r>
              </w:hyperlink>
            </w:p>
            <w:p w14:paraId="3EBABBB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73" w:history="1">
                <w:r w:rsidR="00623AF8" w:rsidRPr="002E0E33">
                  <w:rPr>
                    <w:rStyle w:val="Hyperlink"/>
                    <w:rFonts w:ascii="Aptos" w:eastAsiaTheme="majorEastAsia" w:hAnsi="Aptos" w:cstheme="majorBidi"/>
                    <w:noProof/>
                  </w:rPr>
                  <w:t>Planbarkeit von EU-Förderprogrammen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_Toc170983773 \h </w:instrText>
                </w:r>
                <w:r w:rsidR="00623AF8" w:rsidRPr="002E0E33">
                  <w:rPr>
                    <w:noProof/>
                    <w:webHidden/>
                  </w:rPr>
                </w:r>
                <w:r w:rsidR="00623AF8" w:rsidRPr="002E0E33">
                  <w:rPr>
                    <w:noProof/>
                    <w:webHidden/>
                  </w:rPr>
                  <w:fldChar w:fldCharType="separate"/>
                </w:r>
                <w:r w:rsidR="00623AF8">
                  <w:rPr>
                    <w:noProof/>
                    <w:webHidden/>
                  </w:rPr>
                  <w:t>156</w:t>
                </w:r>
                <w:r w:rsidR="00623AF8" w:rsidRPr="002E0E33">
                  <w:rPr>
                    <w:noProof/>
                    <w:webHidden/>
                  </w:rPr>
                  <w:fldChar w:fldCharType="end"/>
                </w:r>
              </w:hyperlink>
            </w:p>
            <w:p w14:paraId="1CC1408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74" w:history="1">
                <w:r w:rsidR="00623AF8" w:rsidRPr="002E0E33">
                  <w:rPr>
                    <w:rStyle w:val="Hyperlink"/>
                    <w:rFonts w:ascii="Aptos" w:eastAsiaTheme="majorEastAsia" w:hAnsi="Aptos" w:cstheme="majorBidi"/>
                    <w:noProof/>
                  </w:rPr>
                  <w:t>Urban Nodes – Mobilitätsförderung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_Toc170983774 \h </w:instrText>
                </w:r>
                <w:r w:rsidR="00623AF8" w:rsidRPr="002E0E33">
                  <w:rPr>
                    <w:noProof/>
                    <w:webHidden/>
                  </w:rPr>
                </w:r>
                <w:r w:rsidR="00623AF8" w:rsidRPr="002E0E33">
                  <w:rPr>
                    <w:noProof/>
                    <w:webHidden/>
                  </w:rPr>
                  <w:fldChar w:fldCharType="separate"/>
                </w:r>
                <w:r w:rsidR="00623AF8">
                  <w:rPr>
                    <w:noProof/>
                    <w:webHidden/>
                  </w:rPr>
                  <w:t>157</w:t>
                </w:r>
                <w:r w:rsidR="00623AF8" w:rsidRPr="002E0E33">
                  <w:rPr>
                    <w:noProof/>
                    <w:webHidden/>
                  </w:rPr>
                  <w:fldChar w:fldCharType="end"/>
                </w:r>
              </w:hyperlink>
            </w:p>
            <w:p w14:paraId="3CD4CF4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75" w:history="1">
                <w:r w:rsidR="00623AF8" w:rsidRPr="002E0E33">
                  <w:rPr>
                    <w:rStyle w:val="Hyperlink"/>
                    <w:rFonts w:ascii="Aptos" w:eastAsiaTheme="majorEastAsia" w:hAnsi="Aptos" w:cstheme="majorBidi"/>
                    <w:noProof/>
                  </w:rPr>
                  <w:t>De-Minimis-Beihilfen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_Toc170983775 \h </w:instrText>
                </w:r>
                <w:r w:rsidR="00623AF8" w:rsidRPr="002E0E33">
                  <w:rPr>
                    <w:noProof/>
                    <w:webHidden/>
                  </w:rPr>
                </w:r>
                <w:r w:rsidR="00623AF8" w:rsidRPr="002E0E33">
                  <w:rPr>
                    <w:noProof/>
                    <w:webHidden/>
                  </w:rPr>
                  <w:fldChar w:fldCharType="separate"/>
                </w:r>
                <w:r w:rsidR="00623AF8">
                  <w:rPr>
                    <w:noProof/>
                    <w:webHidden/>
                  </w:rPr>
                  <w:t>158</w:t>
                </w:r>
                <w:r w:rsidR="00623AF8" w:rsidRPr="002E0E33">
                  <w:rPr>
                    <w:noProof/>
                    <w:webHidden/>
                  </w:rPr>
                  <w:fldChar w:fldCharType="end"/>
                </w:r>
              </w:hyperlink>
            </w:p>
            <w:p w14:paraId="4B20FA5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76" w:history="1">
                <w:r w:rsidR="00623AF8" w:rsidRPr="002E0E33">
                  <w:rPr>
                    <w:rStyle w:val="Hyperlink"/>
                    <w:rFonts w:ascii="Aptos" w:eastAsiaTheme="majorEastAsia" w:hAnsi="Aptos" w:cstheme="majorBidi"/>
                    <w:noProof/>
                  </w:rPr>
                  <w:t>Allgemeine Gruppenfreistellungsverordnung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_Toc170983776 \h </w:instrText>
                </w:r>
                <w:r w:rsidR="00623AF8" w:rsidRPr="002E0E33">
                  <w:rPr>
                    <w:noProof/>
                    <w:webHidden/>
                  </w:rPr>
                </w:r>
                <w:r w:rsidR="00623AF8" w:rsidRPr="002E0E33">
                  <w:rPr>
                    <w:noProof/>
                    <w:webHidden/>
                  </w:rPr>
                  <w:fldChar w:fldCharType="separate"/>
                </w:r>
                <w:r w:rsidR="00623AF8">
                  <w:rPr>
                    <w:noProof/>
                    <w:webHidden/>
                  </w:rPr>
                  <w:t>159</w:t>
                </w:r>
                <w:r w:rsidR="00623AF8" w:rsidRPr="002E0E33">
                  <w:rPr>
                    <w:noProof/>
                    <w:webHidden/>
                  </w:rPr>
                  <w:fldChar w:fldCharType="end"/>
                </w:r>
              </w:hyperlink>
            </w:p>
            <w:p w14:paraId="4B31894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77" w:history="1">
                <w:r w:rsidR="00623AF8" w:rsidRPr="002E0E33">
                  <w:rPr>
                    <w:rStyle w:val="Hyperlink"/>
                    <w:rFonts w:ascii="Aptos" w:eastAsiaTheme="majorEastAsia" w:hAnsi="Aptos" w:cstheme="majorBidi"/>
                    <w:noProof/>
                  </w:rPr>
                  <w:t>Skalierbarkeit von geförderten Projekten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_Toc170983777 \h </w:instrText>
                </w:r>
                <w:r w:rsidR="00623AF8" w:rsidRPr="002E0E33">
                  <w:rPr>
                    <w:noProof/>
                    <w:webHidden/>
                  </w:rPr>
                </w:r>
                <w:r w:rsidR="00623AF8" w:rsidRPr="002E0E33">
                  <w:rPr>
                    <w:noProof/>
                    <w:webHidden/>
                  </w:rPr>
                  <w:fldChar w:fldCharType="separate"/>
                </w:r>
                <w:r w:rsidR="00623AF8">
                  <w:rPr>
                    <w:noProof/>
                    <w:webHidden/>
                  </w:rPr>
                  <w:t>160</w:t>
                </w:r>
                <w:r w:rsidR="00623AF8" w:rsidRPr="002E0E33">
                  <w:rPr>
                    <w:noProof/>
                    <w:webHidden/>
                  </w:rPr>
                  <w:fldChar w:fldCharType="end"/>
                </w:r>
              </w:hyperlink>
            </w:p>
            <w:p w14:paraId="466BDA7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78" w:history="1">
                <w:r w:rsidR="00623AF8" w:rsidRPr="002E0E33">
                  <w:rPr>
                    <w:rStyle w:val="Hyperlink"/>
                    <w:rFonts w:ascii="Aptos" w:eastAsiaTheme="majorEastAsia" w:hAnsi="Aptos" w:cstheme="majorBidi"/>
                    <w:noProof/>
                    <w:lang w:val="en-GB"/>
                  </w:rPr>
                  <w:t>European Social Climate Fund (SCF)</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_Toc170983778 \h </w:instrText>
                </w:r>
                <w:r w:rsidR="00623AF8" w:rsidRPr="002E0E33">
                  <w:rPr>
                    <w:noProof/>
                    <w:webHidden/>
                  </w:rPr>
                </w:r>
                <w:r w:rsidR="00623AF8" w:rsidRPr="002E0E33">
                  <w:rPr>
                    <w:noProof/>
                    <w:webHidden/>
                  </w:rPr>
                  <w:fldChar w:fldCharType="separate"/>
                </w:r>
                <w:r w:rsidR="00623AF8">
                  <w:rPr>
                    <w:noProof/>
                    <w:webHidden/>
                  </w:rPr>
                  <w:t>161</w:t>
                </w:r>
                <w:r w:rsidR="00623AF8" w:rsidRPr="002E0E33">
                  <w:rPr>
                    <w:noProof/>
                    <w:webHidden/>
                  </w:rPr>
                  <w:fldChar w:fldCharType="end"/>
                </w:r>
              </w:hyperlink>
            </w:p>
            <w:p w14:paraId="32A9864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79" w:history="1">
                <w:r w:rsidR="00623AF8" w:rsidRPr="002E0E33">
                  <w:rPr>
                    <w:rStyle w:val="Hyperlink"/>
                    <w:rFonts w:ascii="Aptos" w:eastAsiaTheme="majorEastAsia" w:hAnsi="Aptos" w:cstheme="majorBidi"/>
                    <w:noProof/>
                  </w:rPr>
                  <w:t>Infrastrukturförderungen am Beginn der Wertschöpfungskette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_Toc170983779 \h </w:instrText>
                </w:r>
                <w:r w:rsidR="00623AF8" w:rsidRPr="002E0E33">
                  <w:rPr>
                    <w:noProof/>
                    <w:webHidden/>
                  </w:rPr>
                </w:r>
                <w:r w:rsidR="00623AF8" w:rsidRPr="002E0E33">
                  <w:rPr>
                    <w:noProof/>
                    <w:webHidden/>
                  </w:rPr>
                  <w:fldChar w:fldCharType="separate"/>
                </w:r>
                <w:r w:rsidR="00623AF8">
                  <w:rPr>
                    <w:noProof/>
                    <w:webHidden/>
                  </w:rPr>
                  <w:t>162</w:t>
                </w:r>
                <w:r w:rsidR="00623AF8" w:rsidRPr="002E0E33">
                  <w:rPr>
                    <w:noProof/>
                    <w:webHidden/>
                  </w:rPr>
                  <w:fldChar w:fldCharType="end"/>
                </w:r>
              </w:hyperlink>
            </w:p>
            <w:p w14:paraId="2C91840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80" w:history="1">
                <w:r w:rsidR="00623AF8" w:rsidRPr="002E0E33">
                  <w:rPr>
                    <w:rStyle w:val="Hyperlink"/>
                    <w:rFonts w:ascii="Aptos" w:eastAsiaTheme="majorEastAsia" w:hAnsi="Aptos" w:cstheme="majorBidi"/>
                    <w:noProof/>
                  </w:rPr>
                  <w:t>Bedeutung der EIB für klimaschützende Infrastrukturinvestitionen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_Toc170983780 \h </w:instrText>
                </w:r>
                <w:r w:rsidR="00623AF8" w:rsidRPr="002E0E33">
                  <w:rPr>
                    <w:noProof/>
                    <w:webHidden/>
                  </w:rPr>
                </w:r>
                <w:r w:rsidR="00623AF8" w:rsidRPr="002E0E33">
                  <w:rPr>
                    <w:noProof/>
                    <w:webHidden/>
                  </w:rPr>
                  <w:fldChar w:fldCharType="separate"/>
                </w:r>
                <w:r w:rsidR="00623AF8">
                  <w:rPr>
                    <w:noProof/>
                    <w:webHidden/>
                  </w:rPr>
                  <w:t>163</w:t>
                </w:r>
                <w:r w:rsidR="00623AF8" w:rsidRPr="002E0E33">
                  <w:rPr>
                    <w:noProof/>
                    <w:webHidden/>
                  </w:rPr>
                  <w:fldChar w:fldCharType="end"/>
                </w:r>
              </w:hyperlink>
            </w:p>
            <w:p w14:paraId="65839EEB" w14:textId="77777777" w:rsidR="00623AF8" w:rsidRPr="007121F4" w:rsidRDefault="00AC460E" w:rsidP="00623AF8">
              <w:pPr>
                <w:pStyle w:val="Verzeichnis1"/>
                <w:tabs>
                  <w:tab w:val="right" w:leader="dot" w:pos="9060"/>
                </w:tabs>
                <w:rPr>
                  <w:rFonts w:eastAsiaTheme="minorEastAsia"/>
                  <w:b/>
                  <w:bCs/>
                  <w:noProof/>
                  <w:kern w:val="2"/>
                  <w:sz w:val="22"/>
                  <w:szCs w:val="22"/>
                  <w:lang w:eastAsia="de-AT"/>
                  <w14:ligatures w14:val="standardContextual"/>
                </w:rPr>
              </w:pPr>
              <w:hyperlink w:anchor="_Toc170983781" w:history="1">
                <w:r w:rsidR="00623AF8" w:rsidRPr="007121F4">
                  <w:rPr>
                    <w:rStyle w:val="Hyperlink"/>
                    <w:rFonts w:ascii="Aptos" w:eastAsiaTheme="majorEastAsia" w:hAnsi="Aptos" w:cstheme="majorBidi"/>
                    <w:b/>
                    <w:bCs/>
                    <w:noProof/>
                  </w:rPr>
                  <w:t>Teilbereich III – Digitalpolitik</w:t>
                </w:r>
                <w:r w:rsidR="00623AF8" w:rsidRPr="007121F4">
                  <w:rPr>
                    <w:b/>
                    <w:bCs/>
                    <w:noProof/>
                    <w:webHidden/>
                  </w:rPr>
                  <w:tab/>
                </w:r>
                <w:r w:rsidR="00623AF8" w:rsidRPr="007121F4">
                  <w:rPr>
                    <w:b/>
                    <w:bCs/>
                    <w:noProof/>
                    <w:webHidden/>
                  </w:rPr>
                  <w:fldChar w:fldCharType="begin"/>
                </w:r>
                <w:r w:rsidR="00623AF8" w:rsidRPr="007121F4">
                  <w:rPr>
                    <w:b/>
                    <w:bCs/>
                    <w:noProof/>
                    <w:webHidden/>
                  </w:rPr>
                  <w:instrText xml:space="preserve"> PAGEREF _Toc170983781 \h </w:instrText>
                </w:r>
                <w:r w:rsidR="00623AF8" w:rsidRPr="007121F4">
                  <w:rPr>
                    <w:b/>
                    <w:bCs/>
                    <w:noProof/>
                    <w:webHidden/>
                  </w:rPr>
                </w:r>
                <w:r w:rsidR="00623AF8" w:rsidRPr="007121F4">
                  <w:rPr>
                    <w:b/>
                    <w:bCs/>
                    <w:noProof/>
                    <w:webHidden/>
                  </w:rPr>
                  <w:fldChar w:fldCharType="separate"/>
                </w:r>
                <w:r w:rsidR="00623AF8">
                  <w:rPr>
                    <w:b/>
                    <w:bCs/>
                    <w:noProof/>
                    <w:webHidden/>
                  </w:rPr>
                  <w:t>164</w:t>
                </w:r>
                <w:r w:rsidR="00623AF8" w:rsidRPr="007121F4">
                  <w:rPr>
                    <w:b/>
                    <w:bCs/>
                    <w:noProof/>
                    <w:webHidden/>
                  </w:rPr>
                  <w:fldChar w:fldCharType="end"/>
                </w:r>
              </w:hyperlink>
            </w:p>
            <w:p w14:paraId="0574800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82" w:history="1">
                <w:r w:rsidR="00623AF8" w:rsidRPr="002E0E33">
                  <w:rPr>
                    <w:rStyle w:val="Hyperlink"/>
                    <w:rFonts w:ascii="Aptos" w:eastAsiaTheme="majorEastAsia" w:hAnsi="Aptos" w:cstheme="majorBidi"/>
                    <w:noProof/>
                  </w:rPr>
                  <w:t>Marktverzerrungen durch Rezensionen in der Plattformökonomie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_Toc170983782 \h </w:instrText>
                </w:r>
                <w:r w:rsidR="00623AF8" w:rsidRPr="002E0E33">
                  <w:rPr>
                    <w:noProof/>
                    <w:webHidden/>
                  </w:rPr>
                </w:r>
                <w:r w:rsidR="00623AF8" w:rsidRPr="002E0E33">
                  <w:rPr>
                    <w:noProof/>
                    <w:webHidden/>
                  </w:rPr>
                  <w:fldChar w:fldCharType="separate"/>
                </w:r>
                <w:r w:rsidR="00623AF8">
                  <w:rPr>
                    <w:noProof/>
                    <w:webHidden/>
                  </w:rPr>
                  <w:t>164</w:t>
                </w:r>
                <w:r w:rsidR="00623AF8" w:rsidRPr="002E0E33">
                  <w:rPr>
                    <w:noProof/>
                    <w:webHidden/>
                  </w:rPr>
                  <w:fldChar w:fldCharType="end"/>
                </w:r>
              </w:hyperlink>
            </w:p>
            <w:p w14:paraId="6161550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83" w:history="1">
                <w:r w:rsidR="00623AF8" w:rsidRPr="002E0E33">
                  <w:rPr>
                    <w:rStyle w:val="Hyperlink"/>
                    <w:rFonts w:ascii="Aptos" w:eastAsiaTheme="majorEastAsia" w:hAnsi="Aptos" w:cstheme="majorBidi"/>
                    <w:noProof/>
                  </w:rPr>
                  <w:t>Fiskalische Instrumente für Digitalkonzernen am europäischen Binnenmarkt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_Toc170983783 \h </w:instrText>
                </w:r>
                <w:r w:rsidR="00623AF8" w:rsidRPr="002E0E33">
                  <w:rPr>
                    <w:noProof/>
                    <w:webHidden/>
                  </w:rPr>
                </w:r>
                <w:r w:rsidR="00623AF8" w:rsidRPr="002E0E33">
                  <w:rPr>
                    <w:noProof/>
                    <w:webHidden/>
                  </w:rPr>
                  <w:fldChar w:fldCharType="separate"/>
                </w:r>
                <w:r w:rsidR="00623AF8">
                  <w:rPr>
                    <w:noProof/>
                    <w:webHidden/>
                  </w:rPr>
                  <w:t>165</w:t>
                </w:r>
                <w:r w:rsidR="00623AF8" w:rsidRPr="002E0E33">
                  <w:rPr>
                    <w:noProof/>
                    <w:webHidden/>
                  </w:rPr>
                  <w:fldChar w:fldCharType="end"/>
                </w:r>
              </w:hyperlink>
            </w:p>
            <w:p w14:paraId="6E07D35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84" w:history="1">
                <w:r w:rsidR="00623AF8" w:rsidRPr="002E0E33">
                  <w:rPr>
                    <w:rStyle w:val="Hyperlink"/>
                    <w:rFonts w:ascii="Aptos" w:eastAsiaTheme="majorEastAsia" w:hAnsi="Aptos" w:cstheme="majorBidi"/>
                    <w:noProof/>
                  </w:rPr>
                  <w:t>Umsetzung von Digitalrechtsakten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_Toc170983784 \h </w:instrText>
                </w:r>
                <w:r w:rsidR="00623AF8" w:rsidRPr="002E0E33">
                  <w:rPr>
                    <w:noProof/>
                    <w:webHidden/>
                  </w:rPr>
                </w:r>
                <w:r w:rsidR="00623AF8" w:rsidRPr="002E0E33">
                  <w:rPr>
                    <w:noProof/>
                    <w:webHidden/>
                  </w:rPr>
                  <w:fldChar w:fldCharType="separate"/>
                </w:r>
                <w:r w:rsidR="00623AF8">
                  <w:rPr>
                    <w:noProof/>
                    <w:webHidden/>
                  </w:rPr>
                  <w:t>166</w:t>
                </w:r>
                <w:r w:rsidR="00623AF8" w:rsidRPr="002E0E33">
                  <w:rPr>
                    <w:noProof/>
                    <w:webHidden/>
                  </w:rPr>
                  <w:fldChar w:fldCharType="end"/>
                </w:r>
              </w:hyperlink>
            </w:p>
            <w:p w14:paraId="3D44B79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85" w:history="1">
                <w:r w:rsidR="00623AF8" w:rsidRPr="002E0E33">
                  <w:rPr>
                    <w:rStyle w:val="Hyperlink"/>
                    <w:rFonts w:ascii="Aptos" w:eastAsiaTheme="majorEastAsia" w:hAnsi="Aptos" w:cstheme="majorBidi"/>
                    <w:noProof/>
                  </w:rPr>
                  <w:t>Ausbau der digitalen Infrastruktur in technologisch strukturschwachen Regionen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_Toc170983785 \h </w:instrText>
                </w:r>
                <w:r w:rsidR="00623AF8" w:rsidRPr="002E0E33">
                  <w:rPr>
                    <w:noProof/>
                    <w:webHidden/>
                  </w:rPr>
                </w:r>
                <w:r w:rsidR="00623AF8" w:rsidRPr="002E0E33">
                  <w:rPr>
                    <w:noProof/>
                    <w:webHidden/>
                  </w:rPr>
                  <w:fldChar w:fldCharType="separate"/>
                </w:r>
                <w:r w:rsidR="00623AF8">
                  <w:rPr>
                    <w:noProof/>
                    <w:webHidden/>
                  </w:rPr>
                  <w:t>167</w:t>
                </w:r>
                <w:r w:rsidR="00623AF8" w:rsidRPr="002E0E33">
                  <w:rPr>
                    <w:noProof/>
                    <w:webHidden/>
                  </w:rPr>
                  <w:fldChar w:fldCharType="end"/>
                </w:r>
              </w:hyperlink>
            </w:p>
            <w:p w14:paraId="1043A17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86" w:history="1">
                <w:r w:rsidR="00623AF8" w:rsidRPr="002E0E33">
                  <w:rPr>
                    <w:rStyle w:val="Hyperlink"/>
                    <w:rFonts w:ascii="Aptos" w:eastAsiaTheme="majorEastAsia" w:hAnsi="Aptos" w:cstheme="majorBidi"/>
                    <w:noProof/>
                  </w:rPr>
                  <w:t>Kosten für die Datenbereitstellung öffentlicher &amp; kommunaler Akteure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_Toc170983786 \h </w:instrText>
                </w:r>
                <w:r w:rsidR="00623AF8" w:rsidRPr="002E0E33">
                  <w:rPr>
                    <w:noProof/>
                    <w:webHidden/>
                  </w:rPr>
                </w:r>
                <w:r w:rsidR="00623AF8" w:rsidRPr="002E0E33">
                  <w:rPr>
                    <w:noProof/>
                    <w:webHidden/>
                  </w:rPr>
                  <w:fldChar w:fldCharType="separate"/>
                </w:r>
                <w:r w:rsidR="00623AF8">
                  <w:rPr>
                    <w:noProof/>
                    <w:webHidden/>
                  </w:rPr>
                  <w:t>168</w:t>
                </w:r>
                <w:r w:rsidR="00623AF8" w:rsidRPr="002E0E33">
                  <w:rPr>
                    <w:noProof/>
                    <w:webHidden/>
                  </w:rPr>
                  <w:fldChar w:fldCharType="end"/>
                </w:r>
              </w:hyperlink>
            </w:p>
            <w:p w14:paraId="0D9690B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87" w:history="1">
                <w:r w:rsidR="00623AF8" w:rsidRPr="002E0E33">
                  <w:rPr>
                    <w:rStyle w:val="Hyperlink"/>
                    <w:rFonts w:ascii="Aptos" w:eastAsiaTheme="majorEastAsia" w:hAnsi="Aptos" w:cstheme="majorBidi"/>
                    <w:noProof/>
                  </w:rPr>
                  <w:t>Datenschutz in der kritischen Infrastruktur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_Toc170983787 \h </w:instrText>
                </w:r>
                <w:r w:rsidR="00623AF8" w:rsidRPr="002E0E33">
                  <w:rPr>
                    <w:noProof/>
                    <w:webHidden/>
                  </w:rPr>
                </w:r>
                <w:r w:rsidR="00623AF8" w:rsidRPr="002E0E33">
                  <w:rPr>
                    <w:noProof/>
                    <w:webHidden/>
                  </w:rPr>
                  <w:fldChar w:fldCharType="separate"/>
                </w:r>
                <w:r w:rsidR="00623AF8">
                  <w:rPr>
                    <w:noProof/>
                    <w:webHidden/>
                  </w:rPr>
                  <w:t>169</w:t>
                </w:r>
                <w:r w:rsidR="00623AF8" w:rsidRPr="002E0E33">
                  <w:rPr>
                    <w:noProof/>
                    <w:webHidden/>
                  </w:rPr>
                  <w:fldChar w:fldCharType="end"/>
                </w:r>
              </w:hyperlink>
            </w:p>
            <w:p w14:paraId="6439F28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88" w:history="1">
                <w:r w:rsidR="00623AF8" w:rsidRPr="002E0E33">
                  <w:rPr>
                    <w:rStyle w:val="Hyperlink"/>
                    <w:rFonts w:ascii="Aptos" w:eastAsiaTheme="majorEastAsia" w:hAnsi="Aptos" w:cstheme="majorBidi"/>
                    <w:noProof/>
                  </w:rPr>
                  <w:t>Einschränkung von Steueroptimierungsmaßnahmen großer Digitalkonzerne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_Toc170983788 \h </w:instrText>
                </w:r>
                <w:r w:rsidR="00623AF8" w:rsidRPr="002E0E33">
                  <w:rPr>
                    <w:noProof/>
                    <w:webHidden/>
                  </w:rPr>
                </w:r>
                <w:r w:rsidR="00623AF8" w:rsidRPr="002E0E33">
                  <w:rPr>
                    <w:noProof/>
                    <w:webHidden/>
                  </w:rPr>
                  <w:fldChar w:fldCharType="separate"/>
                </w:r>
                <w:r w:rsidR="00623AF8">
                  <w:rPr>
                    <w:noProof/>
                    <w:webHidden/>
                  </w:rPr>
                  <w:t>170</w:t>
                </w:r>
                <w:r w:rsidR="00623AF8" w:rsidRPr="002E0E33">
                  <w:rPr>
                    <w:noProof/>
                    <w:webHidden/>
                  </w:rPr>
                  <w:fldChar w:fldCharType="end"/>
                </w:r>
              </w:hyperlink>
            </w:p>
            <w:p w14:paraId="1E19F42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89" w:history="1">
                <w:r w:rsidR="00623AF8" w:rsidRPr="002E0E33">
                  <w:rPr>
                    <w:rStyle w:val="Hyperlink"/>
                    <w:rFonts w:ascii="Aptos" w:eastAsiaTheme="majorEastAsia" w:hAnsi="Aptos" w:cstheme="majorBidi"/>
                    <w:noProof/>
                  </w:rPr>
                  <w:t>Gemeinsame europäische Cyberabwehr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_Toc170983789 \h </w:instrText>
                </w:r>
                <w:r w:rsidR="00623AF8" w:rsidRPr="002E0E33">
                  <w:rPr>
                    <w:noProof/>
                    <w:webHidden/>
                  </w:rPr>
                </w:r>
                <w:r w:rsidR="00623AF8" w:rsidRPr="002E0E33">
                  <w:rPr>
                    <w:noProof/>
                    <w:webHidden/>
                  </w:rPr>
                  <w:fldChar w:fldCharType="separate"/>
                </w:r>
                <w:r w:rsidR="00623AF8">
                  <w:rPr>
                    <w:noProof/>
                    <w:webHidden/>
                  </w:rPr>
                  <w:t>171</w:t>
                </w:r>
                <w:r w:rsidR="00623AF8" w:rsidRPr="002E0E33">
                  <w:rPr>
                    <w:noProof/>
                    <w:webHidden/>
                  </w:rPr>
                  <w:fldChar w:fldCharType="end"/>
                </w:r>
              </w:hyperlink>
            </w:p>
            <w:p w14:paraId="64B8E84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90" w:history="1">
                <w:r w:rsidR="00623AF8" w:rsidRPr="002E0E33">
                  <w:rPr>
                    <w:rStyle w:val="Hyperlink"/>
                    <w:rFonts w:ascii="Aptos" w:eastAsiaTheme="majorEastAsia" w:hAnsi="Aptos" w:cstheme="majorBidi"/>
                    <w:noProof/>
                  </w:rPr>
                  <w:t>Kryptowährungen – Ausbau des Marktes für Stablecoins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_Toc170983790 \h </w:instrText>
                </w:r>
                <w:r w:rsidR="00623AF8" w:rsidRPr="002E0E33">
                  <w:rPr>
                    <w:noProof/>
                    <w:webHidden/>
                  </w:rPr>
                </w:r>
                <w:r w:rsidR="00623AF8" w:rsidRPr="002E0E33">
                  <w:rPr>
                    <w:noProof/>
                    <w:webHidden/>
                  </w:rPr>
                  <w:fldChar w:fldCharType="separate"/>
                </w:r>
                <w:r w:rsidR="00623AF8">
                  <w:rPr>
                    <w:noProof/>
                    <w:webHidden/>
                  </w:rPr>
                  <w:t>172</w:t>
                </w:r>
                <w:r w:rsidR="00623AF8" w:rsidRPr="002E0E33">
                  <w:rPr>
                    <w:noProof/>
                    <w:webHidden/>
                  </w:rPr>
                  <w:fldChar w:fldCharType="end"/>
                </w:r>
              </w:hyperlink>
            </w:p>
            <w:p w14:paraId="24B35FF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91" w:history="1">
                <w:r w:rsidR="00623AF8" w:rsidRPr="002E0E33">
                  <w:rPr>
                    <w:rStyle w:val="Hyperlink"/>
                    <w:rFonts w:ascii="Aptos" w:eastAsiaTheme="majorEastAsia" w:hAnsi="Aptos" w:cstheme="majorBidi"/>
                    <w:noProof/>
                  </w:rPr>
                  <w:t>Einführung des Digitalen Euro</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_Toc170983791 \h </w:instrText>
                </w:r>
                <w:r w:rsidR="00623AF8" w:rsidRPr="002E0E33">
                  <w:rPr>
                    <w:noProof/>
                    <w:webHidden/>
                  </w:rPr>
                </w:r>
                <w:r w:rsidR="00623AF8" w:rsidRPr="002E0E33">
                  <w:rPr>
                    <w:noProof/>
                    <w:webHidden/>
                  </w:rPr>
                  <w:fldChar w:fldCharType="separate"/>
                </w:r>
                <w:r w:rsidR="00623AF8">
                  <w:rPr>
                    <w:noProof/>
                    <w:webHidden/>
                  </w:rPr>
                  <w:t>173</w:t>
                </w:r>
                <w:r w:rsidR="00623AF8" w:rsidRPr="002E0E33">
                  <w:rPr>
                    <w:noProof/>
                    <w:webHidden/>
                  </w:rPr>
                  <w:fldChar w:fldCharType="end"/>
                </w:r>
              </w:hyperlink>
            </w:p>
            <w:p w14:paraId="1074F90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92" w:history="1">
                <w:r w:rsidR="00623AF8" w:rsidRPr="002E0E33">
                  <w:rPr>
                    <w:rStyle w:val="Hyperlink"/>
                    <w:rFonts w:ascii="Aptos" w:eastAsiaTheme="majorEastAsia" w:hAnsi="Aptos" w:cstheme="majorBidi"/>
                    <w:noProof/>
                  </w:rPr>
                  <w:t>Steueroasentransaktionssteuer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_Toc170983792 \h </w:instrText>
                </w:r>
                <w:r w:rsidR="00623AF8" w:rsidRPr="002E0E33">
                  <w:rPr>
                    <w:noProof/>
                    <w:webHidden/>
                  </w:rPr>
                </w:r>
                <w:r w:rsidR="00623AF8" w:rsidRPr="002E0E33">
                  <w:rPr>
                    <w:noProof/>
                    <w:webHidden/>
                  </w:rPr>
                  <w:fldChar w:fldCharType="separate"/>
                </w:r>
                <w:r w:rsidR="00623AF8">
                  <w:rPr>
                    <w:noProof/>
                    <w:webHidden/>
                  </w:rPr>
                  <w:t>174</w:t>
                </w:r>
                <w:r w:rsidR="00623AF8" w:rsidRPr="002E0E33">
                  <w:rPr>
                    <w:noProof/>
                    <w:webHidden/>
                  </w:rPr>
                  <w:fldChar w:fldCharType="end"/>
                </w:r>
              </w:hyperlink>
            </w:p>
            <w:p w14:paraId="72820570" w14:textId="77777777" w:rsidR="00623AF8" w:rsidRDefault="00AC460E" w:rsidP="00623AF8">
              <w:pPr>
                <w:pStyle w:val="Verzeichnis1"/>
                <w:tabs>
                  <w:tab w:val="right" w:leader="dot" w:pos="9060"/>
                </w:tabs>
                <w:rPr>
                  <w:rStyle w:val="Hyperlink"/>
                  <w:noProof/>
                </w:rPr>
              </w:pPr>
              <w:hyperlink w:anchor="_Toc170983793" w:history="1">
                <w:r w:rsidR="00623AF8" w:rsidRPr="002E0E33">
                  <w:rPr>
                    <w:rStyle w:val="Hyperlink"/>
                    <w:rFonts w:ascii="Aptos" w:eastAsiaTheme="majorEastAsia" w:hAnsi="Aptos" w:cstheme="majorBidi"/>
                    <w:noProof/>
                  </w:rPr>
                  <w:t>Widersprüche bei Digitalgesetzen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_Toc170983793 \h </w:instrText>
                </w:r>
                <w:r w:rsidR="00623AF8" w:rsidRPr="002E0E33">
                  <w:rPr>
                    <w:noProof/>
                    <w:webHidden/>
                  </w:rPr>
                </w:r>
                <w:r w:rsidR="00623AF8" w:rsidRPr="002E0E33">
                  <w:rPr>
                    <w:noProof/>
                    <w:webHidden/>
                  </w:rPr>
                  <w:fldChar w:fldCharType="separate"/>
                </w:r>
                <w:r w:rsidR="00623AF8">
                  <w:rPr>
                    <w:noProof/>
                    <w:webHidden/>
                  </w:rPr>
                  <w:t>175</w:t>
                </w:r>
                <w:r w:rsidR="00623AF8" w:rsidRPr="002E0E33">
                  <w:rPr>
                    <w:noProof/>
                    <w:webHidden/>
                  </w:rPr>
                  <w:fldChar w:fldCharType="end"/>
                </w:r>
              </w:hyperlink>
            </w:p>
            <w:p w14:paraId="0117849D" w14:textId="77777777" w:rsidR="00623AF8" w:rsidRPr="001F519C" w:rsidRDefault="00623AF8" w:rsidP="00623AF8">
              <w:pPr>
                <w:rPr>
                  <w:noProof/>
                </w:rPr>
              </w:pPr>
            </w:p>
            <w:p w14:paraId="7E47364D" w14:textId="77777777" w:rsidR="00623AF8" w:rsidRPr="00B8762C" w:rsidRDefault="00AC460E" w:rsidP="00623AF8">
              <w:pPr>
                <w:pStyle w:val="Verzeichnis1"/>
                <w:tabs>
                  <w:tab w:val="right" w:leader="dot" w:pos="9060"/>
                </w:tabs>
                <w:rPr>
                  <w:rFonts w:eastAsiaTheme="minorEastAsia"/>
                  <w:noProof/>
                  <w:color w:val="FF0000"/>
                  <w:kern w:val="2"/>
                  <w:sz w:val="28"/>
                  <w:szCs w:val="28"/>
                  <w:lang w:eastAsia="de-AT"/>
                  <w14:ligatures w14:val="standardContextual"/>
                </w:rPr>
              </w:pPr>
              <w:hyperlink w:anchor="_Toc170983794" w:history="1">
                <w:r w:rsidR="00623AF8" w:rsidRPr="00B8762C">
                  <w:rPr>
                    <w:rStyle w:val="Hyperlink"/>
                    <w:rFonts w:ascii="Aptos" w:hAnsi="Aptos"/>
                    <w:noProof/>
                    <w:color w:val="FF0000"/>
                    <w:sz w:val="28"/>
                    <w:szCs w:val="28"/>
                  </w:rPr>
                  <w:t>Wohn</w:t>
                </w:r>
                <w:r w:rsidR="00623AF8">
                  <w:rPr>
                    <w:rStyle w:val="Hyperlink"/>
                    <w:rFonts w:ascii="Aptos" w:hAnsi="Aptos"/>
                    <w:noProof/>
                    <w:color w:val="FF0000"/>
                    <w:sz w:val="28"/>
                    <w:szCs w:val="28"/>
                  </w:rPr>
                  <w:t>ungspolitik</w:t>
                </w:r>
                <w:r w:rsidR="00623AF8" w:rsidRPr="00B8762C">
                  <w:rPr>
                    <w:noProof/>
                    <w:webHidden/>
                    <w:sz w:val="28"/>
                    <w:szCs w:val="28"/>
                  </w:rPr>
                  <w:tab/>
                </w:r>
                <w:r w:rsidR="00623AF8" w:rsidRPr="00B8762C">
                  <w:rPr>
                    <w:noProof/>
                    <w:webHidden/>
                    <w:sz w:val="28"/>
                    <w:szCs w:val="28"/>
                  </w:rPr>
                  <w:fldChar w:fldCharType="begin"/>
                </w:r>
                <w:r w:rsidR="00623AF8" w:rsidRPr="00B8762C">
                  <w:rPr>
                    <w:noProof/>
                    <w:webHidden/>
                    <w:sz w:val="28"/>
                    <w:szCs w:val="28"/>
                  </w:rPr>
                  <w:instrText xml:space="preserve"> PAGEREF _Toc170983794 \h </w:instrText>
                </w:r>
                <w:r w:rsidR="00623AF8" w:rsidRPr="00B8762C">
                  <w:rPr>
                    <w:noProof/>
                    <w:webHidden/>
                    <w:sz w:val="28"/>
                    <w:szCs w:val="28"/>
                  </w:rPr>
                </w:r>
                <w:r w:rsidR="00623AF8" w:rsidRPr="00B8762C">
                  <w:rPr>
                    <w:noProof/>
                    <w:webHidden/>
                    <w:sz w:val="28"/>
                    <w:szCs w:val="28"/>
                  </w:rPr>
                  <w:fldChar w:fldCharType="separate"/>
                </w:r>
                <w:r w:rsidR="00623AF8">
                  <w:rPr>
                    <w:noProof/>
                    <w:webHidden/>
                    <w:sz w:val="28"/>
                    <w:szCs w:val="28"/>
                  </w:rPr>
                  <w:t>176</w:t>
                </w:r>
                <w:r w:rsidR="00623AF8" w:rsidRPr="00B8762C">
                  <w:rPr>
                    <w:noProof/>
                    <w:webHidden/>
                    <w:sz w:val="28"/>
                    <w:szCs w:val="28"/>
                  </w:rPr>
                  <w:fldChar w:fldCharType="end"/>
                </w:r>
              </w:hyperlink>
            </w:p>
            <w:p w14:paraId="0CFB1BD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95" w:history="1">
                <w:r w:rsidR="00623AF8" w:rsidRPr="002E0E33">
                  <w:rPr>
                    <w:rStyle w:val="Hyperlink"/>
                    <w:noProof/>
                  </w:rPr>
                  <w:t>Arbeitsbedingungen in der Bauwirtschaft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_Toc170983795 \h </w:instrText>
                </w:r>
                <w:r w:rsidR="00623AF8" w:rsidRPr="002E0E33">
                  <w:rPr>
                    <w:noProof/>
                    <w:webHidden/>
                  </w:rPr>
                </w:r>
                <w:r w:rsidR="00623AF8" w:rsidRPr="002E0E33">
                  <w:rPr>
                    <w:noProof/>
                    <w:webHidden/>
                  </w:rPr>
                  <w:fldChar w:fldCharType="separate"/>
                </w:r>
                <w:r w:rsidR="00623AF8">
                  <w:rPr>
                    <w:noProof/>
                    <w:webHidden/>
                  </w:rPr>
                  <w:t>176</w:t>
                </w:r>
                <w:r w:rsidR="00623AF8" w:rsidRPr="002E0E33">
                  <w:rPr>
                    <w:noProof/>
                    <w:webHidden/>
                  </w:rPr>
                  <w:fldChar w:fldCharType="end"/>
                </w:r>
              </w:hyperlink>
            </w:p>
            <w:p w14:paraId="1866D8E6"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96" w:history="1">
                <w:r w:rsidR="00623AF8" w:rsidRPr="002E0E33">
                  <w:rPr>
                    <w:rStyle w:val="Hyperlink"/>
                    <w:noProof/>
                  </w:rPr>
                  <w:t>Gemeinnütziger Wohnungsbau als Inflationsbekämpfung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_Toc170983796 \h </w:instrText>
                </w:r>
                <w:r w:rsidR="00623AF8" w:rsidRPr="002E0E33">
                  <w:rPr>
                    <w:noProof/>
                    <w:webHidden/>
                  </w:rPr>
                </w:r>
                <w:r w:rsidR="00623AF8" w:rsidRPr="002E0E33">
                  <w:rPr>
                    <w:noProof/>
                    <w:webHidden/>
                  </w:rPr>
                  <w:fldChar w:fldCharType="separate"/>
                </w:r>
                <w:r w:rsidR="00623AF8">
                  <w:rPr>
                    <w:noProof/>
                    <w:webHidden/>
                  </w:rPr>
                  <w:t>177</w:t>
                </w:r>
                <w:r w:rsidR="00623AF8" w:rsidRPr="002E0E33">
                  <w:rPr>
                    <w:noProof/>
                    <w:webHidden/>
                  </w:rPr>
                  <w:fldChar w:fldCharType="end"/>
                </w:r>
              </w:hyperlink>
            </w:p>
            <w:p w14:paraId="3C9BBD5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97" w:history="1">
                <w:r w:rsidR="00623AF8" w:rsidRPr="002E0E33">
                  <w:rPr>
                    <w:rStyle w:val="Hyperlink"/>
                    <w:noProof/>
                  </w:rPr>
                  <w:t>Rahmenbedingungen für gemeinnützige Akteure am Wohnungsmarkt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_Toc170983797 \h </w:instrText>
                </w:r>
                <w:r w:rsidR="00623AF8" w:rsidRPr="002E0E33">
                  <w:rPr>
                    <w:noProof/>
                    <w:webHidden/>
                  </w:rPr>
                </w:r>
                <w:r w:rsidR="00623AF8" w:rsidRPr="002E0E33">
                  <w:rPr>
                    <w:noProof/>
                    <w:webHidden/>
                  </w:rPr>
                  <w:fldChar w:fldCharType="separate"/>
                </w:r>
                <w:r w:rsidR="00623AF8">
                  <w:rPr>
                    <w:noProof/>
                    <w:webHidden/>
                  </w:rPr>
                  <w:t>178</w:t>
                </w:r>
                <w:r w:rsidR="00623AF8" w:rsidRPr="002E0E33">
                  <w:rPr>
                    <w:noProof/>
                    <w:webHidden/>
                  </w:rPr>
                  <w:fldChar w:fldCharType="end"/>
                </w:r>
              </w:hyperlink>
            </w:p>
            <w:p w14:paraId="3DBB2E2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98" w:history="1">
                <w:r w:rsidR="00623AF8" w:rsidRPr="002E0E33">
                  <w:rPr>
                    <w:rStyle w:val="Hyperlink"/>
                    <w:noProof/>
                  </w:rPr>
                  <w:t>Volkswirtschaftliche Effekte von leistbarem Wohnraum</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_Toc170983798 \h </w:instrText>
                </w:r>
                <w:r w:rsidR="00623AF8" w:rsidRPr="002E0E33">
                  <w:rPr>
                    <w:noProof/>
                    <w:webHidden/>
                  </w:rPr>
                </w:r>
                <w:r w:rsidR="00623AF8" w:rsidRPr="002E0E33">
                  <w:rPr>
                    <w:noProof/>
                    <w:webHidden/>
                  </w:rPr>
                  <w:fldChar w:fldCharType="separate"/>
                </w:r>
                <w:r w:rsidR="00623AF8">
                  <w:rPr>
                    <w:noProof/>
                    <w:webHidden/>
                  </w:rPr>
                  <w:t>179</w:t>
                </w:r>
                <w:r w:rsidR="00623AF8" w:rsidRPr="002E0E33">
                  <w:rPr>
                    <w:noProof/>
                    <w:webHidden/>
                  </w:rPr>
                  <w:fldChar w:fldCharType="end"/>
                </w:r>
              </w:hyperlink>
            </w:p>
            <w:p w14:paraId="50E7A5C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799" w:history="1">
                <w:r w:rsidR="00623AF8" w:rsidRPr="002E0E33">
                  <w:rPr>
                    <w:rStyle w:val="Hyperlink"/>
                    <w:noProof/>
                  </w:rPr>
                  <w:t>Zinswende und nachhaltige Wohnungswirtschaft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_Toc170983799 \h </w:instrText>
                </w:r>
                <w:r w:rsidR="00623AF8" w:rsidRPr="002E0E33">
                  <w:rPr>
                    <w:noProof/>
                    <w:webHidden/>
                  </w:rPr>
                </w:r>
                <w:r w:rsidR="00623AF8" w:rsidRPr="002E0E33">
                  <w:rPr>
                    <w:noProof/>
                    <w:webHidden/>
                  </w:rPr>
                  <w:fldChar w:fldCharType="separate"/>
                </w:r>
                <w:r w:rsidR="00623AF8">
                  <w:rPr>
                    <w:noProof/>
                    <w:webHidden/>
                  </w:rPr>
                  <w:t>180</w:t>
                </w:r>
                <w:r w:rsidR="00623AF8" w:rsidRPr="002E0E33">
                  <w:rPr>
                    <w:noProof/>
                    <w:webHidden/>
                  </w:rPr>
                  <w:fldChar w:fldCharType="end"/>
                </w:r>
              </w:hyperlink>
            </w:p>
            <w:p w14:paraId="61CFA1E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00" w:history="1">
                <w:r w:rsidR="00623AF8" w:rsidRPr="002E0E33">
                  <w:rPr>
                    <w:rStyle w:val="Hyperlink"/>
                    <w:noProof/>
                  </w:rPr>
                  <w:t>Förderung des seriellen und modularen Baues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_Toc170983800 \h </w:instrText>
                </w:r>
                <w:r w:rsidR="00623AF8" w:rsidRPr="002E0E33">
                  <w:rPr>
                    <w:noProof/>
                    <w:webHidden/>
                  </w:rPr>
                </w:r>
                <w:r w:rsidR="00623AF8" w:rsidRPr="002E0E33">
                  <w:rPr>
                    <w:noProof/>
                    <w:webHidden/>
                  </w:rPr>
                  <w:fldChar w:fldCharType="separate"/>
                </w:r>
                <w:r w:rsidR="00623AF8">
                  <w:rPr>
                    <w:noProof/>
                    <w:webHidden/>
                  </w:rPr>
                  <w:t>181</w:t>
                </w:r>
                <w:r w:rsidR="00623AF8" w:rsidRPr="002E0E33">
                  <w:rPr>
                    <w:noProof/>
                    <w:webHidden/>
                  </w:rPr>
                  <w:fldChar w:fldCharType="end"/>
                </w:r>
              </w:hyperlink>
            </w:p>
            <w:p w14:paraId="7583EAB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01" w:history="1">
                <w:r w:rsidR="00623AF8" w:rsidRPr="002E0E33">
                  <w:rPr>
                    <w:rStyle w:val="Hyperlink"/>
                    <w:noProof/>
                  </w:rPr>
                  <w:t>Energiewende in der Wohnungswirtschaft – Bestandsgebäude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_Toc170983801 \h </w:instrText>
                </w:r>
                <w:r w:rsidR="00623AF8" w:rsidRPr="002E0E33">
                  <w:rPr>
                    <w:noProof/>
                    <w:webHidden/>
                  </w:rPr>
                </w:r>
                <w:r w:rsidR="00623AF8" w:rsidRPr="002E0E33">
                  <w:rPr>
                    <w:noProof/>
                    <w:webHidden/>
                  </w:rPr>
                  <w:fldChar w:fldCharType="separate"/>
                </w:r>
                <w:r w:rsidR="00623AF8">
                  <w:rPr>
                    <w:noProof/>
                    <w:webHidden/>
                  </w:rPr>
                  <w:t>182</w:t>
                </w:r>
                <w:r w:rsidR="00623AF8" w:rsidRPr="002E0E33">
                  <w:rPr>
                    <w:noProof/>
                    <w:webHidden/>
                  </w:rPr>
                  <w:fldChar w:fldCharType="end"/>
                </w:r>
              </w:hyperlink>
            </w:p>
            <w:p w14:paraId="60D17F9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02" w:history="1">
                <w:r w:rsidR="00623AF8" w:rsidRPr="002E0E33">
                  <w:rPr>
                    <w:rStyle w:val="Hyperlink"/>
                    <w:noProof/>
                  </w:rPr>
                  <w:t>Soziale Aspekte der Energiewende in der Wohnungswirtschaft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_Toc170983802 \h </w:instrText>
                </w:r>
                <w:r w:rsidR="00623AF8" w:rsidRPr="002E0E33">
                  <w:rPr>
                    <w:noProof/>
                    <w:webHidden/>
                  </w:rPr>
                </w:r>
                <w:r w:rsidR="00623AF8" w:rsidRPr="002E0E33">
                  <w:rPr>
                    <w:noProof/>
                    <w:webHidden/>
                  </w:rPr>
                  <w:fldChar w:fldCharType="separate"/>
                </w:r>
                <w:r w:rsidR="00623AF8">
                  <w:rPr>
                    <w:noProof/>
                    <w:webHidden/>
                  </w:rPr>
                  <w:t>183</w:t>
                </w:r>
                <w:r w:rsidR="00623AF8" w:rsidRPr="002E0E33">
                  <w:rPr>
                    <w:noProof/>
                    <w:webHidden/>
                  </w:rPr>
                  <w:fldChar w:fldCharType="end"/>
                </w:r>
              </w:hyperlink>
            </w:p>
            <w:p w14:paraId="6017EA5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03" w:history="1">
                <w:r w:rsidR="00623AF8" w:rsidRPr="002E0E33">
                  <w:rPr>
                    <w:rStyle w:val="Hyperlink"/>
                    <w:noProof/>
                  </w:rPr>
                  <w:t>Bekämpfung der Obdachlosigkeit in Europa - Umsetzung der Lissabon Deklaration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_Toc170983803 \h </w:instrText>
                </w:r>
                <w:r w:rsidR="00623AF8" w:rsidRPr="002E0E33">
                  <w:rPr>
                    <w:noProof/>
                    <w:webHidden/>
                  </w:rPr>
                </w:r>
                <w:r w:rsidR="00623AF8" w:rsidRPr="002E0E33">
                  <w:rPr>
                    <w:noProof/>
                    <w:webHidden/>
                  </w:rPr>
                  <w:fldChar w:fldCharType="separate"/>
                </w:r>
                <w:r w:rsidR="00623AF8">
                  <w:rPr>
                    <w:noProof/>
                    <w:webHidden/>
                  </w:rPr>
                  <w:t>184</w:t>
                </w:r>
                <w:r w:rsidR="00623AF8" w:rsidRPr="002E0E33">
                  <w:rPr>
                    <w:noProof/>
                    <w:webHidden/>
                  </w:rPr>
                  <w:fldChar w:fldCharType="end"/>
                </w:r>
              </w:hyperlink>
            </w:p>
            <w:p w14:paraId="1084FCF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04" w:history="1">
                <w:r w:rsidR="00623AF8" w:rsidRPr="002E0E33">
                  <w:rPr>
                    <w:rStyle w:val="Hyperlink"/>
                    <w:noProof/>
                  </w:rPr>
                  <w:t>Bekämpfung der Wohnungslosigkeit in Europa – Präventionsmaßnahmen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_Toc170983804 \h </w:instrText>
                </w:r>
                <w:r w:rsidR="00623AF8" w:rsidRPr="002E0E33">
                  <w:rPr>
                    <w:noProof/>
                    <w:webHidden/>
                  </w:rPr>
                </w:r>
                <w:r w:rsidR="00623AF8" w:rsidRPr="002E0E33">
                  <w:rPr>
                    <w:noProof/>
                    <w:webHidden/>
                  </w:rPr>
                  <w:fldChar w:fldCharType="separate"/>
                </w:r>
                <w:r w:rsidR="00623AF8">
                  <w:rPr>
                    <w:noProof/>
                    <w:webHidden/>
                  </w:rPr>
                  <w:t>185</w:t>
                </w:r>
                <w:r w:rsidR="00623AF8" w:rsidRPr="002E0E33">
                  <w:rPr>
                    <w:noProof/>
                    <w:webHidden/>
                  </w:rPr>
                  <w:fldChar w:fldCharType="end"/>
                </w:r>
              </w:hyperlink>
            </w:p>
            <w:p w14:paraId="58E8896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05" w:history="1">
                <w:r w:rsidR="00623AF8" w:rsidRPr="002E0E33">
                  <w:rPr>
                    <w:rStyle w:val="Hyperlink"/>
                    <w:noProof/>
                  </w:rPr>
                  <w:t>Bekämpfung der Wohnungs- und Obdachlosigkeit in Europa – Monitoring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_Toc170983805 \h </w:instrText>
                </w:r>
                <w:r w:rsidR="00623AF8" w:rsidRPr="002E0E33">
                  <w:rPr>
                    <w:noProof/>
                    <w:webHidden/>
                  </w:rPr>
                </w:r>
                <w:r w:rsidR="00623AF8" w:rsidRPr="002E0E33">
                  <w:rPr>
                    <w:noProof/>
                    <w:webHidden/>
                  </w:rPr>
                  <w:fldChar w:fldCharType="separate"/>
                </w:r>
                <w:r w:rsidR="00623AF8">
                  <w:rPr>
                    <w:noProof/>
                    <w:webHidden/>
                  </w:rPr>
                  <w:t>186</w:t>
                </w:r>
                <w:r w:rsidR="00623AF8" w:rsidRPr="002E0E33">
                  <w:rPr>
                    <w:noProof/>
                    <w:webHidden/>
                  </w:rPr>
                  <w:fldChar w:fldCharType="end"/>
                </w:r>
              </w:hyperlink>
            </w:p>
            <w:p w14:paraId="6BEB5AA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06" w:history="1">
                <w:r w:rsidR="00623AF8" w:rsidRPr="002E0E33">
                  <w:rPr>
                    <w:rStyle w:val="Hyperlink"/>
                    <w:noProof/>
                  </w:rPr>
                  <w:t>Wiederaufbau in der Ukraine: die Relevanz des gemeinnützigen Wohnbaus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_Toc170983806 \h </w:instrText>
                </w:r>
                <w:r w:rsidR="00623AF8" w:rsidRPr="002E0E33">
                  <w:rPr>
                    <w:noProof/>
                    <w:webHidden/>
                  </w:rPr>
                </w:r>
                <w:r w:rsidR="00623AF8" w:rsidRPr="002E0E33">
                  <w:rPr>
                    <w:noProof/>
                    <w:webHidden/>
                  </w:rPr>
                  <w:fldChar w:fldCharType="separate"/>
                </w:r>
                <w:r w:rsidR="00623AF8">
                  <w:rPr>
                    <w:noProof/>
                    <w:webHidden/>
                  </w:rPr>
                  <w:t>187</w:t>
                </w:r>
                <w:r w:rsidR="00623AF8" w:rsidRPr="002E0E33">
                  <w:rPr>
                    <w:noProof/>
                    <w:webHidden/>
                  </w:rPr>
                  <w:fldChar w:fldCharType="end"/>
                </w:r>
              </w:hyperlink>
            </w:p>
            <w:p w14:paraId="3F01A1A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07" w:history="1">
                <w:r w:rsidR="00623AF8" w:rsidRPr="002E0E33">
                  <w:rPr>
                    <w:rStyle w:val="Hyperlink"/>
                    <w:noProof/>
                  </w:rPr>
                  <w:t>Leistbares Wohnen als Empfehlung im Europäischen Semester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_Toc170983807 \h </w:instrText>
                </w:r>
                <w:r w:rsidR="00623AF8" w:rsidRPr="002E0E33">
                  <w:rPr>
                    <w:noProof/>
                    <w:webHidden/>
                  </w:rPr>
                </w:r>
                <w:r w:rsidR="00623AF8" w:rsidRPr="002E0E33">
                  <w:rPr>
                    <w:noProof/>
                    <w:webHidden/>
                  </w:rPr>
                  <w:fldChar w:fldCharType="separate"/>
                </w:r>
                <w:r w:rsidR="00623AF8">
                  <w:rPr>
                    <w:noProof/>
                    <w:webHidden/>
                  </w:rPr>
                  <w:t>188</w:t>
                </w:r>
                <w:r w:rsidR="00623AF8" w:rsidRPr="002E0E33">
                  <w:rPr>
                    <w:noProof/>
                    <w:webHidden/>
                  </w:rPr>
                  <w:fldChar w:fldCharType="end"/>
                </w:r>
              </w:hyperlink>
            </w:p>
            <w:p w14:paraId="3CA2FCD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08" w:history="1">
                <w:r w:rsidR="00623AF8" w:rsidRPr="002E0E33">
                  <w:rPr>
                    <w:rStyle w:val="Hyperlink"/>
                    <w:noProof/>
                  </w:rPr>
                  <w:t>Gemeinnütziger Wohnbau im Stabilitäts- und Wachstumspakt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_Toc170983808 \h </w:instrText>
                </w:r>
                <w:r w:rsidR="00623AF8" w:rsidRPr="002E0E33">
                  <w:rPr>
                    <w:noProof/>
                    <w:webHidden/>
                  </w:rPr>
                </w:r>
                <w:r w:rsidR="00623AF8" w:rsidRPr="002E0E33">
                  <w:rPr>
                    <w:noProof/>
                    <w:webHidden/>
                  </w:rPr>
                  <w:fldChar w:fldCharType="separate"/>
                </w:r>
                <w:r w:rsidR="00623AF8">
                  <w:rPr>
                    <w:noProof/>
                    <w:webHidden/>
                  </w:rPr>
                  <w:t>189</w:t>
                </w:r>
                <w:r w:rsidR="00623AF8" w:rsidRPr="002E0E33">
                  <w:rPr>
                    <w:noProof/>
                    <w:webHidden/>
                  </w:rPr>
                  <w:fldChar w:fldCharType="end"/>
                </w:r>
              </w:hyperlink>
            </w:p>
            <w:p w14:paraId="53CAFCBA"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09" w:history="1">
                <w:r w:rsidR="00623AF8" w:rsidRPr="002E0E33">
                  <w:rPr>
                    <w:rStyle w:val="Hyperlink"/>
                    <w:noProof/>
                  </w:rPr>
                  <w:t>Objektförderung vor Subjektförderung im Wohnbau</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_Toc170983809 \h </w:instrText>
                </w:r>
                <w:r w:rsidR="00623AF8" w:rsidRPr="002E0E33">
                  <w:rPr>
                    <w:noProof/>
                    <w:webHidden/>
                  </w:rPr>
                </w:r>
                <w:r w:rsidR="00623AF8" w:rsidRPr="002E0E33">
                  <w:rPr>
                    <w:noProof/>
                    <w:webHidden/>
                  </w:rPr>
                  <w:fldChar w:fldCharType="separate"/>
                </w:r>
                <w:r w:rsidR="00623AF8">
                  <w:rPr>
                    <w:noProof/>
                    <w:webHidden/>
                  </w:rPr>
                  <w:t>190</w:t>
                </w:r>
                <w:r w:rsidR="00623AF8" w:rsidRPr="002E0E33">
                  <w:rPr>
                    <w:noProof/>
                    <w:webHidden/>
                  </w:rPr>
                  <w:fldChar w:fldCharType="end"/>
                </w:r>
              </w:hyperlink>
            </w:p>
            <w:p w14:paraId="2D4E5AF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10" w:history="1">
                <w:r w:rsidR="00623AF8" w:rsidRPr="002E0E33">
                  <w:rPr>
                    <w:rStyle w:val="Hyperlink"/>
                    <w:noProof/>
                  </w:rPr>
                  <w:t>Sozial-ökologische Modernisierung der Wohnbaubestände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_Toc170983810 \h </w:instrText>
                </w:r>
                <w:r w:rsidR="00623AF8" w:rsidRPr="002E0E33">
                  <w:rPr>
                    <w:noProof/>
                    <w:webHidden/>
                  </w:rPr>
                </w:r>
                <w:r w:rsidR="00623AF8" w:rsidRPr="002E0E33">
                  <w:rPr>
                    <w:noProof/>
                    <w:webHidden/>
                  </w:rPr>
                  <w:fldChar w:fldCharType="separate"/>
                </w:r>
                <w:r w:rsidR="00623AF8">
                  <w:rPr>
                    <w:noProof/>
                    <w:webHidden/>
                  </w:rPr>
                  <w:t>192</w:t>
                </w:r>
                <w:r w:rsidR="00623AF8" w:rsidRPr="002E0E33">
                  <w:rPr>
                    <w:noProof/>
                    <w:webHidden/>
                  </w:rPr>
                  <w:fldChar w:fldCharType="end"/>
                </w:r>
              </w:hyperlink>
            </w:p>
            <w:p w14:paraId="32057992" w14:textId="77777777" w:rsidR="00623AF8" w:rsidRDefault="00AC460E" w:rsidP="00623AF8">
              <w:pPr>
                <w:pStyle w:val="Verzeichnis1"/>
                <w:tabs>
                  <w:tab w:val="right" w:leader="dot" w:pos="9060"/>
                </w:tabs>
                <w:rPr>
                  <w:rStyle w:val="Hyperlink"/>
                  <w:noProof/>
                </w:rPr>
              </w:pPr>
              <w:hyperlink w:anchor="_Toc170983811" w:history="1">
                <w:r w:rsidR="00623AF8" w:rsidRPr="002E0E33">
                  <w:rPr>
                    <w:rStyle w:val="Hyperlink"/>
                    <w:noProof/>
                  </w:rPr>
                  <w:t>Vermeidung sozial segregierter und vulnerabler Stadtquartiere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_Toc170983811 \h </w:instrText>
                </w:r>
                <w:r w:rsidR="00623AF8" w:rsidRPr="002E0E33">
                  <w:rPr>
                    <w:noProof/>
                    <w:webHidden/>
                  </w:rPr>
                </w:r>
                <w:r w:rsidR="00623AF8" w:rsidRPr="002E0E33">
                  <w:rPr>
                    <w:noProof/>
                    <w:webHidden/>
                  </w:rPr>
                  <w:fldChar w:fldCharType="separate"/>
                </w:r>
                <w:r w:rsidR="00623AF8">
                  <w:rPr>
                    <w:noProof/>
                    <w:webHidden/>
                  </w:rPr>
                  <w:t>193</w:t>
                </w:r>
                <w:r w:rsidR="00623AF8" w:rsidRPr="002E0E33">
                  <w:rPr>
                    <w:noProof/>
                    <w:webHidden/>
                  </w:rPr>
                  <w:fldChar w:fldCharType="end"/>
                </w:r>
              </w:hyperlink>
            </w:p>
            <w:p w14:paraId="1715B1D4" w14:textId="77777777" w:rsidR="00623AF8" w:rsidRPr="001F519C" w:rsidRDefault="00623AF8" w:rsidP="00623AF8">
              <w:pPr>
                <w:rPr>
                  <w:noProof/>
                </w:rPr>
              </w:pPr>
            </w:p>
            <w:p w14:paraId="3653D90C" w14:textId="77777777" w:rsidR="00623AF8" w:rsidRPr="00B8762C" w:rsidRDefault="00AC460E" w:rsidP="00623AF8">
              <w:pPr>
                <w:pStyle w:val="Verzeichnis1"/>
                <w:tabs>
                  <w:tab w:val="right" w:leader="dot" w:pos="9060"/>
                </w:tabs>
                <w:rPr>
                  <w:rFonts w:eastAsiaTheme="minorEastAsia"/>
                  <w:noProof/>
                  <w:color w:val="FF0000"/>
                  <w:kern w:val="2"/>
                  <w:sz w:val="28"/>
                  <w:szCs w:val="28"/>
                  <w:lang w:eastAsia="de-AT"/>
                  <w14:ligatures w14:val="standardContextual"/>
                </w:rPr>
              </w:pPr>
              <w:hyperlink w:anchor="_Toc170983812" w:history="1">
                <w:r w:rsidR="00623AF8" w:rsidRPr="00B8762C">
                  <w:rPr>
                    <w:rStyle w:val="Hyperlink"/>
                    <w:rFonts w:ascii="Aptos" w:hAnsi="Aptos"/>
                    <w:noProof/>
                    <w:color w:val="FF0000"/>
                    <w:sz w:val="28"/>
                    <w:szCs w:val="28"/>
                  </w:rPr>
                  <w:t>Gesundheits- und- Sozialpolitik</w:t>
                </w:r>
                <w:r w:rsidR="00623AF8" w:rsidRPr="00B8762C">
                  <w:rPr>
                    <w:noProof/>
                    <w:webHidden/>
                    <w:sz w:val="28"/>
                    <w:szCs w:val="28"/>
                  </w:rPr>
                  <w:tab/>
                </w:r>
                <w:r w:rsidR="00623AF8" w:rsidRPr="00B8762C">
                  <w:rPr>
                    <w:noProof/>
                    <w:webHidden/>
                    <w:sz w:val="28"/>
                    <w:szCs w:val="28"/>
                  </w:rPr>
                  <w:fldChar w:fldCharType="begin"/>
                </w:r>
                <w:r w:rsidR="00623AF8" w:rsidRPr="00B8762C">
                  <w:rPr>
                    <w:noProof/>
                    <w:webHidden/>
                    <w:sz w:val="28"/>
                    <w:szCs w:val="28"/>
                  </w:rPr>
                  <w:instrText xml:space="preserve"> PAGEREF _Toc170983812 \h </w:instrText>
                </w:r>
                <w:r w:rsidR="00623AF8" w:rsidRPr="00B8762C">
                  <w:rPr>
                    <w:noProof/>
                    <w:webHidden/>
                    <w:sz w:val="28"/>
                    <w:szCs w:val="28"/>
                  </w:rPr>
                </w:r>
                <w:r w:rsidR="00623AF8" w:rsidRPr="00B8762C">
                  <w:rPr>
                    <w:noProof/>
                    <w:webHidden/>
                    <w:sz w:val="28"/>
                    <w:szCs w:val="28"/>
                  </w:rPr>
                  <w:fldChar w:fldCharType="separate"/>
                </w:r>
                <w:r w:rsidR="00623AF8">
                  <w:rPr>
                    <w:noProof/>
                    <w:webHidden/>
                    <w:sz w:val="28"/>
                    <w:szCs w:val="28"/>
                  </w:rPr>
                  <w:t>196</w:t>
                </w:r>
                <w:r w:rsidR="00623AF8" w:rsidRPr="00B8762C">
                  <w:rPr>
                    <w:noProof/>
                    <w:webHidden/>
                    <w:sz w:val="28"/>
                    <w:szCs w:val="28"/>
                  </w:rPr>
                  <w:fldChar w:fldCharType="end"/>
                </w:r>
              </w:hyperlink>
            </w:p>
            <w:p w14:paraId="49BA82B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13" w:history="1">
                <w:r w:rsidR="00623AF8" w:rsidRPr="002E0E33">
                  <w:rPr>
                    <w:rStyle w:val="Hyperlink"/>
                    <w:rFonts w:ascii="Aptos" w:hAnsi="Aptos"/>
                    <w:noProof/>
                  </w:rPr>
                  <w:t>Sicherung öffentlicher Aufträge für gemeinnützige und soziale Organisationen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_Toc170983813 \h </w:instrText>
                </w:r>
                <w:r w:rsidR="00623AF8" w:rsidRPr="002E0E33">
                  <w:rPr>
                    <w:noProof/>
                    <w:webHidden/>
                  </w:rPr>
                </w:r>
                <w:r w:rsidR="00623AF8" w:rsidRPr="002E0E33">
                  <w:rPr>
                    <w:noProof/>
                    <w:webHidden/>
                  </w:rPr>
                  <w:fldChar w:fldCharType="separate"/>
                </w:r>
                <w:r w:rsidR="00623AF8">
                  <w:rPr>
                    <w:noProof/>
                    <w:webHidden/>
                  </w:rPr>
                  <w:t>196</w:t>
                </w:r>
                <w:r w:rsidR="00623AF8" w:rsidRPr="002E0E33">
                  <w:rPr>
                    <w:noProof/>
                    <w:webHidden/>
                  </w:rPr>
                  <w:fldChar w:fldCharType="end"/>
                </w:r>
              </w:hyperlink>
            </w:p>
            <w:p w14:paraId="1334984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14" w:history="1">
                <w:r w:rsidR="00623AF8" w:rsidRPr="002E0E33">
                  <w:rPr>
                    <w:rStyle w:val="Hyperlink"/>
                    <w:rFonts w:ascii="Aptos" w:hAnsi="Aptos"/>
                    <w:noProof/>
                  </w:rPr>
                  <w:t>Finanzierung der sozialen Daseinsvorsorge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_Toc170983814 \h </w:instrText>
                </w:r>
                <w:r w:rsidR="00623AF8" w:rsidRPr="002E0E33">
                  <w:rPr>
                    <w:noProof/>
                    <w:webHidden/>
                  </w:rPr>
                </w:r>
                <w:r w:rsidR="00623AF8" w:rsidRPr="002E0E33">
                  <w:rPr>
                    <w:noProof/>
                    <w:webHidden/>
                  </w:rPr>
                  <w:fldChar w:fldCharType="separate"/>
                </w:r>
                <w:r w:rsidR="00623AF8">
                  <w:rPr>
                    <w:noProof/>
                    <w:webHidden/>
                  </w:rPr>
                  <w:t>197</w:t>
                </w:r>
                <w:r w:rsidR="00623AF8" w:rsidRPr="002E0E33">
                  <w:rPr>
                    <w:noProof/>
                    <w:webHidden/>
                  </w:rPr>
                  <w:fldChar w:fldCharType="end"/>
                </w:r>
              </w:hyperlink>
            </w:p>
            <w:p w14:paraId="63C24BF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15" w:history="1">
                <w:r w:rsidR="00623AF8" w:rsidRPr="002E0E33">
                  <w:rPr>
                    <w:rStyle w:val="Hyperlink"/>
                    <w:rFonts w:ascii="Aptos" w:hAnsi="Aptos"/>
                    <w:noProof/>
                  </w:rPr>
                  <w:t>Versorgung mit Pflegediensten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_Toc170983815 \h </w:instrText>
                </w:r>
                <w:r w:rsidR="00623AF8" w:rsidRPr="002E0E33">
                  <w:rPr>
                    <w:noProof/>
                    <w:webHidden/>
                  </w:rPr>
                </w:r>
                <w:r w:rsidR="00623AF8" w:rsidRPr="002E0E33">
                  <w:rPr>
                    <w:noProof/>
                    <w:webHidden/>
                  </w:rPr>
                  <w:fldChar w:fldCharType="separate"/>
                </w:r>
                <w:r w:rsidR="00623AF8">
                  <w:rPr>
                    <w:noProof/>
                    <w:webHidden/>
                  </w:rPr>
                  <w:t>198</w:t>
                </w:r>
                <w:r w:rsidR="00623AF8" w:rsidRPr="002E0E33">
                  <w:rPr>
                    <w:noProof/>
                    <w:webHidden/>
                  </w:rPr>
                  <w:fldChar w:fldCharType="end"/>
                </w:r>
              </w:hyperlink>
            </w:p>
            <w:p w14:paraId="2FE9CFE0"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16" w:history="1">
                <w:r w:rsidR="00623AF8" w:rsidRPr="002E0E33">
                  <w:rPr>
                    <w:rStyle w:val="Hyperlink"/>
                    <w:rFonts w:ascii="Aptos" w:hAnsi="Aptos"/>
                    <w:noProof/>
                  </w:rPr>
                  <w:t>Einsatz von Digitaltechnologien in der Pflege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_Toc170983816 \h </w:instrText>
                </w:r>
                <w:r w:rsidR="00623AF8" w:rsidRPr="002E0E33">
                  <w:rPr>
                    <w:noProof/>
                    <w:webHidden/>
                  </w:rPr>
                </w:r>
                <w:r w:rsidR="00623AF8" w:rsidRPr="002E0E33">
                  <w:rPr>
                    <w:noProof/>
                    <w:webHidden/>
                  </w:rPr>
                  <w:fldChar w:fldCharType="separate"/>
                </w:r>
                <w:r w:rsidR="00623AF8">
                  <w:rPr>
                    <w:noProof/>
                    <w:webHidden/>
                  </w:rPr>
                  <w:t>199</w:t>
                </w:r>
                <w:r w:rsidR="00623AF8" w:rsidRPr="002E0E33">
                  <w:rPr>
                    <w:noProof/>
                    <w:webHidden/>
                  </w:rPr>
                  <w:fldChar w:fldCharType="end"/>
                </w:r>
              </w:hyperlink>
            </w:p>
            <w:p w14:paraId="37D8893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17" w:history="1">
                <w:r w:rsidR="00623AF8" w:rsidRPr="002E0E33">
                  <w:rPr>
                    <w:rStyle w:val="Hyperlink"/>
                    <w:rFonts w:ascii="Aptos" w:hAnsi="Aptos"/>
                    <w:noProof/>
                  </w:rPr>
                  <w:t>Substanzen menschlichen Ursprungs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_Toc170983817 \h </w:instrText>
                </w:r>
                <w:r w:rsidR="00623AF8" w:rsidRPr="002E0E33">
                  <w:rPr>
                    <w:noProof/>
                    <w:webHidden/>
                  </w:rPr>
                </w:r>
                <w:r w:rsidR="00623AF8" w:rsidRPr="002E0E33">
                  <w:rPr>
                    <w:noProof/>
                    <w:webHidden/>
                  </w:rPr>
                  <w:fldChar w:fldCharType="separate"/>
                </w:r>
                <w:r w:rsidR="00623AF8">
                  <w:rPr>
                    <w:noProof/>
                    <w:webHidden/>
                  </w:rPr>
                  <w:t>200</w:t>
                </w:r>
                <w:r w:rsidR="00623AF8" w:rsidRPr="002E0E33">
                  <w:rPr>
                    <w:noProof/>
                    <w:webHidden/>
                  </w:rPr>
                  <w:fldChar w:fldCharType="end"/>
                </w:r>
              </w:hyperlink>
            </w:p>
            <w:p w14:paraId="091599D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18" w:history="1">
                <w:r w:rsidR="00623AF8" w:rsidRPr="002E0E33">
                  <w:rPr>
                    <w:rStyle w:val="Hyperlink"/>
                    <w:rFonts w:ascii="Aptos" w:hAnsi="Aptos"/>
                    <w:noProof/>
                  </w:rPr>
                  <w:t>Förderprogramme zur Bekämpfung des Fachkräftemangels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_Toc170983818 \h </w:instrText>
                </w:r>
                <w:r w:rsidR="00623AF8" w:rsidRPr="002E0E33">
                  <w:rPr>
                    <w:noProof/>
                    <w:webHidden/>
                  </w:rPr>
                </w:r>
                <w:r w:rsidR="00623AF8" w:rsidRPr="002E0E33">
                  <w:rPr>
                    <w:noProof/>
                    <w:webHidden/>
                  </w:rPr>
                  <w:fldChar w:fldCharType="separate"/>
                </w:r>
                <w:r w:rsidR="00623AF8">
                  <w:rPr>
                    <w:noProof/>
                    <w:webHidden/>
                  </w:rPr>
                  <w:t>201</w:t>
                </w:r>
                <w:r w:rsidR="00623AF8" w:rsidRPr="002E0E33">
                  <w:rPr>
                    <w:noProof/>
                    <w:webHidden/>
                  </w:rPr>
                  <w:fldChar w:fldCharType="end"/>
                </w:r>
              </w:hyperlink>
            </w:p>
            <w:p w14:paraId="1CBC8FA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19" w:history="1">
                <w:r w:rsidR="00623AF8" w:rsidRPr="002E0E33">
                  <w:rPr>
                    <w:rStyle w:val="Hyperlink"/>
                    <w:rFonts w:ascii="Aptos" w:hAnsi="Aptos"/>
                    <w:noProof/>
                  </w:rPr>
                  <w:t>Verwaltungsaufwand durch Berichtspflichten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_Toc170983819 \h </w:instrText>
                </w:r>
                <w:r w:rsidR="00623AF8" w:rsidRPr="002E0E33">
                  <w:rPr>
                    <w:noProof/>
                    <w:webHidden/>
                  </w:rPr>
                </w:r>
                <w:r w:rsidR="00623AF8" w:rsidRPr="002E0E33">
                  <w:rPr>
                    <w:noProof/>
                    <w:webHidden/>
                  </w:rPr>
                  <w:fldChar w:fldCharType="separate"/>
                </w:r>
                <w:r w:rsidR="00623AF8">
                  <w:rPr>
                    <w:noProof/>
                    <w:webHidden/>
                  </w:rPr>
                  <w:t>202</w:t>
                </w:r>
                <w:r w:rsidR="00623AF8" w:rsidRPr="002E0E33">
                  <w:rPr>
                    <w:noProof/>
                    <w:webHidden/>
                  </w:rPr>
                  <w:fldChar w:fldCharType="end"/>
                </w:r>
              </w:hyperlink>
            </w:p>
            <w:p w14:paraId="08E091E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20" w:history="1">
                <w:r w:rsidR="00623AF8" w:rsidRPr="002E0E33">
                  <w:rPr>
                    <w:rStyle w:val="Hyperlink"/>
                    <w:rFonts w:ascii="Aptos" w:hAnsi="Aptos"/>
                    <w:noProof/>
                  </w:rPr>
                  <w:t>Fachkräfte: Anerkennung von Qualifikationen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_Toc170983820 \h </w:instrText>
                </w:r>
                <w:r w:rsidR="00623AF8" w:rsidRPr="002E0E33">
                  <w:rPr>
                    <w:noProof/>
                    <w:webHidden/>
                  </w:rPr>
                </w:r>
                <w:r w:rsidR="00623AF8" w:rsidRPr="002E0E33">
                  <w:rPr>
                    <w:noProof/>
                    <w:webHidden/>
                  </w:rPr>
                  <w:fldChar w:fldCharType="separate"/>
                </w:r>
                <w:r w:rsidR="00623AF8">
                  <w:rPr>
                    <w:noProof/>
                    <w:webHidden/>
                  </w:rPr>
                  <w:t>203</w:t>
                </w:r>
                <w:r w:rsidR="00623AF8" w:rsidRPr="002E0E33">
                  <w:rPr>
                    <w:noProof/>
                    <w:webHidden/>
                  </w:rPr>
                  <w:fldChar w:fldCharType="end"/>
                </w:r>
              </w:hyperlink>
            </w:p>
            <w:p w14:paraId="2A4A0B4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21" w:history="1">
                <w:r w:rsidR="00623AF8" w:rsidRPr="002E0E33">
                  <w:rPr>
                    <w:rStyle w:val="Hyperlink"/>
                    <w:rFonts w:ascii="Aptos" w:hAnsi="Aptos"/>
                    <w:noProof/>
                  </w:rPr>
                  <w:t>Fachkräfte: Anwerbeabkommen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_Toc170983821 \h </w:instrText>
                </w:r>
                <w:r w:rsidR="00623AF8" w:rsidRPr="002E0E33">
                  <w:rPr>
                    <w:noProof/>
                    <w:webHidden/>
                  </w:rPr>
                </w:r>
                <w:r w:rsidR="00623AF8" w:rsidRPr="002E0E33">
                  <w:rPr>
                    <w:noProof/>
                    <w:webHidden/>
                  </w:rPr>
                  <w:fldChar w:fldCharType="separate"/>
                </w:r>
                <w:r w:rsidR="00623AF8">
                  <w:rPr>
                    <w:noProof/>
                    <w:webHidden/>
                  </w:rPr>
                  <w:t>204</w:t>
                </w:r>
                <w:r w:rsidR="00623AF8" w:rsidRPr="002E0E33">
                  <w:rPr>
                    <w:noProof/>
                    <w:webHidden/>
                  </w:rPr>
                  <w:fldChar w:fldCharType="end"/>
                </w:r>
              </w:hyperlink>
            </w:p>
            <w:p w14:paraId="759FA41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22" w:history="1">
                <w:r w:rsidR="00623AF8" w:rsidRPr="002E0E33">
                  <w:rPr>
                    <w:rStyle w:val="Hyperlink"/>
                    <w:rFonts w:ascii="Aptos" w:hAnsi="Aptos"/>
                    <w:noProof/>
                  </w:rPr>
                  <w:t>Koordinierte Anwerbung von Fachkräften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_Toc170983822 \h </w:instrText>
                </w:r>
                <w:r w:rsidR="00623AF8" w:rsidRPr="002E0E33">
                  <w:rPr>
                    <w:noProof/>
                    <w:webHidden/>
                  </w:rPr>
                </w:r>
                <w:r w:rsidR="00623AF8" w:rsidRPr="002E0E33">
                  <w:rPr>
                    <w:noProof/>
                    <w:webHidden/>
                  </w:rPr>
                  <w:fldChar w:fldCharType="separate"/>
                </w:r>
                <w:r w:rsidR="00623AF8">
                  <w:rPr>
                    <w:noProof/>
                    <w:webHidden/>
                  </w:rPr>
                  <w:t>205</w:t>
                </w:r>
                <w:r w:rsidR="00623AF8" w:rsidRPr="002E0E33">
                  <w:rPr>
                    <w:noProof/>
                    <w:webHidden/>
                  </w:rPr>
                  <w:fldChar w:fldCharType="end"/>
                </w:r>
              </w:hyperlink>
            </w:p>
            <w:p w14:paraId="0868005F"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23" w:history="1">
                <w:r w:rsidR="00623AF8" w:rsidRPr="002E0E33">
                  <w:rPr>
                    <w:rStyle w:val="Hyperlink"/>
                    <w:rFonts w:ascii="Aptos" w:hAnsi="Aptos"/>
                    <w:noProof/>
                  </w:rPr>
                  <w:t>Arbeitsmarktintegration von Menschen mit Vertriebenenstatus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_Toc170983823 \h </w:instrText>
                </w:r>
                <w:r w:rsidR="00623AF8" w:rsidRPr="002E0E33">
                  <w:rPr>
                    <w:noProof/>
                    <w:webHidden/>
                  </w:rPr>
                </w:r>
                <w:r w:rsidR="00623AF8" w:rsidRPr="002E0E33">
                  <w:rPr>
                    <w:noProof/>
                    <w:webHidden/>
                  </w:rPr>
                  <w:fldChar w:fldCharType="separate"/>
                </w:r>
                <w:r w:rsidR="00623AF8">
                  <w:rPr>
                    <w:noProof/>
                    <w:webHidden/>
                  </w:rPr>
                  <w:t>206</w:t>
                </w:r>
                <w:r w:rsidR="00623AF8" w:rsidRPr="002E0E33">
                  <w:rPr>
                    <w:noProof/>
                    <w:webHidden/>
                  </w:rPr>
                  <w:fldChar w:fldCharType="end"/>
                </w:r>
              </w:hyperlink>
            </w:p>
            <w:p w14:paraId="18E2FE8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24" w:history="1">
                <w:r w:rsidR="00623AF8" w:rsidRPr="002E0E33">
                  <w:rPr>
                    <w:rStyle w:val="Hyperlink"/>
                    <w:rFonts w:ascii="Aptos" w:hAnsi="Aptos"/>
                    <w:noProof/>
                  </w:rPr>
                  <w:t>Freiwilligenarbeit und Fachkräftemangel</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_Toc170983824 \h </w:instrText>
                </w:r>
                <w:r w:rsidR="00623AF8" w:rsidRPr="002E0E33">
                  <w:rPr>
                    <w:noProof/>
                    <w:webHidden/>
                  </w:rPr>
                </w:r>
                <w:r w:rsidR="00623AF8" w:rsidRPr="002E0E33">
                  <w:rPr>
                    <w:noProof/>
                    <w:webHidden/>
                  </w:rPr>
                  <w:fldChar w:fldCharType="separate"/>
                </w:r>
                <w:r w:rsidR="00623AF8">
                  <w:rPr>
                    <w:noProof/>
                    <w:webHidden/>
                  </w:rPr>
                  <w:t>207</w:t>
                </w:r>
                <w:r w:rsidR="00623AF8" w:rsidRPr="002E0E33">
                  <w:rPr>
                    <w:noProof/>
                    <w:webHidden/>
                  </w:rPr>
                  <w:fldChar w:fldCharType="end"/>
                </w:r>
              </w:hyperlink>
            </w:p>
            <w:p w14:paraId="574B357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25" w:history="1">
                <w:r w:rsidR="00623AF8" w:rsidRPr="002E0E33">
                  <w:rPr>
                    <w:rStyle w:val="Hyperlink"/>
                    <w:rFonts w:ascii="Aptos" w:hAnsi="Aptos"/>
                    <w:noProof/>
                  </w:rPr>
                  <w:t>Beschäftigungskriterien für Just-Transition-Förderungen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_Toc170983825 \h </w:instrText>
                </w:r>
                <w:r w:rsidR="00623AF8" w:rsidRPr="002E0E33">
                  <w:rPr>
                    <w:noProof/>
                    <w:webHidden/>
                  </w:rPr>
                </w:r>
                <w:r w:rsidR="00623AF8" w:rsidRPr="002E0E33">
                  <w:rPr>
                    <w:noProof/>
                    <w:webHidden/>
                  </w:rPr>
                  <w:fldChar w:fldCharType="separate"/>
                </w:r>
                <w:r w:rsidR="00623AF8">
                  <w:rPr>
                    <w:noProof/>
                    <w:webHidden/>
                  </w:rPr>
                  <w:t>208</w:t>
                </w:r>
                <w:r w:rsidR="00623AF8" w:rsidRPr="002E0E33">
                  <w:rPr>
                    <w:noProof/>
                    <w:webHidden/>
                  </w:rPr>
                  <w:fldChar w:fldCharType="end"/>
                </w:r>
              </w:hyperlink>
            </w:p>
            <w:p w14:paraId="7B50024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26" w:history="1">
                <w:r w:rsidR="00623AF8" w:rsidRPr="002E0E33">
                  <w:rPr>
                    <w:rStyle w:val="Hyperlink"/>
                    <w:rFonts w:ascii="Aptos" w:hAnsi="Aptos"/>
                    <w:noProof/>
                  </w:rPr>
                  <w:t>Umschulungsprojekte im Sinne des Just-Transition-Mechanismus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_Toc170983826 \h </w:instrText>
                </w:r>
                <w:r w:rsidR="00623AF8" w:rsidRPr="002E0E33">
                  <w:rPr>
                    <w:noProof/>
                    <w:webHidden/>
                  </w:rPr>
                </w:r>
                <w:r w:rsidR="00623AF8" w:rsidRPr="002E0E33">
                  <w:rPr>
                    <w:noProof/>
                    <w:webHidden/>
                  </w:rPr>
                  <w:fldChar w:fldCharType="separate"/>
                </w:r>
                <w:r w:rsidR="00623AF8">
                  <w:rPr>
                    <w:noProof/>
                    <w:webHidden/>
                  </w:rPr>
                  <w:t>209</w:t>
                </w:r>
                <w:r w:rsidR="00623AF8" w:rsidRPr="002E0E33">
                  <w:rPr>
                    <w:noProof/>
                    <w:webHidden/>
                  </w:rPr>
                  <w:fldChar w:fldCharType="end"/>
                </w:r>
              </w:hyperlink>
            </w:p>
            <w:p w14:paraId="47755AE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27" w:history="1">
                <w:r w:rsidR="00623AF8" w:rsidRPr="002E0E33">
                  <w:rPr>
                    <w:rStyle w:val="Hyperlink"/>
                    <w:rFonts w:ascii="Aptos" w:hAnsi="Aptos"/>
                    <w:noProof/>
                  </w:rPr>
                  <w:t>Qualität in der Angehörigenpflege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_Toc170983827 \h </w:instrText>
                </w:r>
                <w:r w:rsidR="00623AF8" w:rsidRPr="002E0E33">
                  <w:rPr>
                    <w:noProof/>
                    <w:webHidden/>
                  </w:rPr>
                </w:r>
                <w:r w:rsidR="00623AF8" w:rsidRPr="002E0E33">
                  <w:rPr>
                    <w:noProof/>
                    <w:webHidden/>
                  </w:rPr>
                  <w:fldChar w:fldCharType="separate"/>
                </w:r>
                <w:r w:rsidR="00623AF8">
                  <w:rPr>
                    <w:noProof/>
                    <w:webHidden/>
                  </w:rPr>
                  <w:t>210</w:t>
                </w:r>
                <w:r w:rsidR="00623AF8" w:rsidRPr="002E0E33">
                  <w:rPr>
                    <w:noProof/>
                    <w:webHidden/>
                  </w:rPr>
                  <w:fldChar w:fldCharType="end"/>
                </w:r>
              </w:hyperlink>
            </w:p>
            <w:p w14:paraId="7C2C3CFB"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28" w:history="1">
                <w:r w:rsidR="00623AF8" w:rsidRPr="002E0E33">
                  <w:rPr>
                    <w:rStyle w:val="Hyperlink"/>
                    <w:rFonts w:ascii="Aptos" w:hAnsi="Aptos"/>
                    <w:noProof/>
                  </w:rPr>
                  <w:t>Verteilung der Care-Arbeit und Erwerbsbeteiligung von Frauen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_Toc170983828 \h </w:instrText>
                </w:r>
                <w:r w:rsidR="00623AF8" w:rsidRPr="002E0E33">
                  <w:rPr>
                    <w:noProof/>
                    <w:webHidden/>
                  </w:rPr>
                </w:r>
                <w:r w:rsidR="00623AF8" w:rsidRPr="002E0E33">
                  <w:rPr>
                    <w:noProof/>
                    <w:webHidden/>
                  </w:rPr>
                  <w:fldChar w:fldCharType="separate"/>
                </w:r>
                <w:r w:rsidR="00623AF8">
                  <w:rPr>
                    <w:noProof/>
                    <w:webHidden/>
                  </w:rPr>
                  <w:t>211</w:t>
                </w:r>
                <w:r w:rsidR="00623AF8" w:rsidRPr="002E0E33">
                  <w:rPr>
                    <w:noProof/>
                    <w:webHidden/>
                  </w:rPr>
                  <w:fldChar w:fldCharType="end"/>
                </w:r>
              </w:hyperlink>
            </w:p>
            <w:p w14:paraId="482C61D1"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29" w:history="1">
                <w:r w:rsidR="00623AF8" w:rsidRPr="002E0E33">
                  <w:rPr>
                    <w:rStyle w:val="Hyperlink"/>
                    <w:rFonts w:ascii="Aptos" w:hAnsi="Aptos"/>
                    <w:noProof/>
                  </w:rPr>
                  <w:t>Unterstützungsangebote für obdach-/wohnungslose Menschen in den Herkunftsländern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_Toc170983829 \h </w:instrText>
                </w:r>
                <w:r w:rsidR="00623AF8" w:rsidRPr="002E0E33">
                  <w:rPr>
                    <w:noProof/>
                    <w:webHidden/>
                  </w:rPr>
                </w:r>
                <w:r w:rsidR="00623AF8" w:rsidRPr="002E0E33">
                  <w:rPr>
                    <w:noProof/>
                    <w:webHidden/>
                  </w:rPr>
                  <w:fldChar w:fldCharType="separate"/>
                </w:r>
                <w:r w:rsidR="00623AF8">
                  <w:rPr>
                    <w:noProof/>
                    <w:webHidden/>
                  </w:rPr>
                  <w:t>212</w:t>
                </w:r>
                <w:r w:rsidR="00623AF8" w:rsidRPr="002E0E33">
                  <w:rPr>
                    <w:noProof/>
                    <w:webHidden/>
                  </w:rPr>
                  <w:fldChar w:fldCharType="end"/>
                </w:r>
              </w:hyperlink>
            </w:p>
            <w:p w14:paraId="69B179D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30" w:history="1">
                <w:r w:rsidR="00623AF8" w:rsidRPr="002E0E33">
                  <w:rPr>
                    <w:rStyle w:val="Hyperlink"/>
                    <w:rFonts w:ascii="Aptos" w:hAnsi="Aptos"/>
                    <w:noProof/>
                  </w:rPr>
                  <w:t>Ausbau der Sozialsysteme in Nettoempfängerstaaten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_Toc170983830 \h </w:instrText>
                </w:r>
                <w:r w:rsidR="00623AF8" w:rsidRPr="002E0E33">
                  <w:rPr>
                    <w:noProof/>
                    <w:webHidden/>
                  </w:rPr>
                </w:r>
                <w:r w:rsidR="00623AF8" w:rsidRPr="002E0E33">
                  <w:rPr>
                    <w:noProof/>
                    <w:webHidden/>
                  </w:rPr>
                  <w:fldChar w:fldCharType="separate"/>
                </w:r>
                <w:r w:rsidR="00623AF8">
                  <w:rPr>
                    <w:noProof/>
                    <w:webHidden/>
                  </w:rPr>
                  <w:t>213</w:t>
                </w:r>
                <w:r w:rsidR="00623AF8" w:rsidRPr="002E0E33">
                  <w:rPr>
                    <w:noProof/>
                    <w:webHidden/>
                  </w:rPr>
                  <w:fldChar w:fldCharType="end"/>
                </w:r>
              </w:hyperlink>
            </w:p>
            <w:p w14:paraId="589C5B63"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31" w:history="1">
                <w:r w:rsidR="00623AF8" w:rsidRPr="002E0E33">
                  <w:rPr>
                    <w:rStyle w:val="Hyperlink"/>
                    <w:rFonts w:ascii="Aptos" w:hAnsi="Aptos"/>
                    <w:noProof/>
                  </w:rPr>
                  <w:t>Bekämpfung von Kinderarmut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_Toc170983831 \h </w:instrText>
                </w:r>
                <w:r w:rsidR="00623AF8" w:rsidRPr="002E0E33">
                  <w:rPr>
                    <w:noProof/>
                    <w:webHidden/>
                  </w:rPr>
                </w:r>
                <w:r w:rsidR="00623AF8" w:rsidRPr="002E0E33">
                  <w:rPr>
                    <w:noProof/>
                    <w:webHidden/>
                  </w:rPr>
                  <w:fldChar w:fldCharType="separate"/>
                </w:r>
                <w:r w:rsidR="00623AF8">
                  <w:rPr>
                    <w:noProof/>
                    <w:webHidden/>
                  </w:rPr>
                  <w:t>214</w:t>
                </w:r>
                <w:r w:rsidR="00623AF8" w:rsidRPr="002E0E33">
                  <w:rPr>
                    <w:noProof/>
                    <w:webHidden/>
                  </w:rPr>
                  <w:fldChar w:fldCharType="end"/>
                </w:r>
              </w:hyperlink>
            </w:p>
            <w:p w14:paraId="016AD1D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32" w:history="1">
                <w:r w:rsidR="00623AF8" w:rsidRPr="002E0E33">
                  <w:rPr>
                    <w:rStyle w:val="Hyperlink"/>
                    <w:rFonts w:ascii="Aptos" w:hAnsi="Aptos"/>
                    <w:noProof/>
                  </w:rPr>
                  <w:t>Ungleicher Zugang zu Digitaltechnologien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_Toc170983832 \h </w:instrText>
                </w:r>
                <w:r w:rsidR="00623AF8" w:rsidRPr="002E0E33">
                  <w:rPr>
                    <w:noProof/>
                    <w:webHidden/>
                  </w:rPr>
                </w:r>
                <w:r w:rsidR="00623AF8" w:rsidRPr="002E0E33">
                  <w:rPr>
                    <w:noProof/>
                    <w:webHidden/>
                  </w:rPr>
                  <w:fldChar w:fldCharType="separate"/>
                </w:r>
                <w:r w:rsidR="00623AF8">
                  <w:rPr>
                    <w:noProof/>
                    <w:webHidden/>
                  </w:rPr>
                  <w:t>215</w:t>
                </w:r>
                <w:r w:rsidR="00623AF8" w:rsidRPr="002E0E33">
                  <w:rPr>
                    <w:noProof/>
                    <w:webHidden/>
                  </w:rPr>
                  <w:fldChar w:fldCharType="end"/>
                </w:r>
              </w:hyperlink>
            </w:p>
            <w:p w14:paraId="7A00D5A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33" w:history="1">
                <w:r w:rsidR="00623AF8" w:rsidRPr="002E0E33">
                  <w:rPr>
                    <w:rStyle w:val="Hyperlink"/>
                    <w:rFonts w:ascii="Aptos" w:hAnsi="Aptos"/>
                    <w:noProof/>
                  </w:rPr>
                  <w:t>Senkung der Langzeitarbeitslosigkeit</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_Toc170983833 \h </w:instrText>
                </w:r>
                <w:r w:rsidR="00623AF8" w:rsidRPr="002E0E33">
                  <w:rPr>
                    <w:noProof/>
                    <w:webHidden/>
                  </w:rPr>
                </w:r>
                <w:r w:rsidR="00623AF8" w:rsidRPr="002E0E33">
                  <w:rPr>
                    <w:noProof/>
                    <w:webHidden/>
                  </w:rPr>
                  <w:fldChar w:fldCharType="separate"/>
                </w:r>
                <w:r w:rsidR="00623AF8">
                  <w:rPr>
                    <w:noProof/>
                    <w:webHidden/>
                  </w:rPr>
                  <w:t>216</w:t>
                </w:r>
                <w:r w:rsidR="00623AF8" w:rsidRPr="002E0E33">
                  <w:rPr>
                    <w:noProof/>
                    <w:webHidden/>
                  </w:rPr>
                  <w:fldChar w:fldCharType="end"/>
                </w:r>
              </w:hyperlink>
            </w:p>
            <w:p w14:paraId="0D1182D9"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34" w:history="1">
                <w:r w:rsidR="00623AF8" w:rsidRPr="002E0E33">
                  <w:rPr>
                    <w:rStyle w:val="Hyperlink"/>
                    <w:rFonts w:ascii="Aptos" w:hAnsi="Aptos"/>
                    <w:noProof/>
                  </w:rPr>
                  <w:t>Arbeitsbesteuerung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_Toc170983834 \h </w:instrText>
                </w:r>
                <w:r w:rsidR="00623AF8" w:rsidRPr="002E0E33">
                  <w:rPr>
                    <w:noProof/>
                    <w:webHidden/>
                  </w:rPr>
                </w:r>
                <w:r w:rsidR="00623AF8" w:rsidRPr="002E0E33">
                  <w:rPr>
                    <w:noProof/>
                    <w:webHidden/>
                  </w:rPr>
                  <w:fldChar w:fldCharType="separate"/>
                </w:r>
                <w:r w:rsidR="00623AF8">
                  <w:rPr>
                    <w:noProof/>
                    <w:webHidden/>
                  </w:rPr>
                  <w:t>217</w:t>
                </w:r>
                <w:r w:rsidR="00623AF8" w:rsidRPr="002E0E33">
                  <w:rPr>
                    <w:noProof/>
                    <w:webHidden/>
                  </w:rPr>
                  <w:fldChar w:fldCharType="end"/>
                </w:r>
              </w:hyperlink>
            </w:p>
            <w:p w14:paraId="73D584B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35" w:history="1">
                <w:r w:rsidR="00623AF8" w:rsidRPr="002E0E33">
                  <w:rPr>
                    <w:rStyle w:val="Hyperlink"/>
                    <w:rFonts w:ascii="Aptos" w:hAnsi="Aptos"/>
                    <w:noProof/>
                  </w:rPr>
                  <w:t>Europäische Mindestlöhne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_Toc170983835 \h </w:instrText>
                </w:r>
                <w:r w:rsidR="00623AF8" w:rsidRPr="002E0E33">
                  <w:rPr>
                    <w:noProof/>
                    <w:webHidden/>
                  </w:rPr>
                </w:r>
                <w:r w:rsidR="00623AF8" w:rsidRPr="002E0E33">
                  <w:rPr>
                    <w:noProof/>
                    <w:webHidden/>
                  </w:rPr>
                  <w:fldChar w:fldCharType="separate"/>
                </w:r>
                <w:r w:rsidR="00623AF8">
                  <w:rPr>
                    <w:noProof/>
                    <w:webHidden/>
                  </w:rPr>
                  <w:t>218</w:t>
                </w:r>
                <w:r w:rsidR="00623AF8" w:rsidRPr="002E0E33">
                  <w:rPr>
                    <w:noProof/>
                    <w:webHidden/>
                  </w:rPr>
                  <w:fldChar w:fldCharType="end"/>
                </w:r>
              </w:hyperlink>
            </w:p>
            <w:p w14:paraId="6152328E"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36" w:history="1">
                <w:r w:rsidR="00623AF8" w:rsidRPr="002E0E33">
                  <w:rPr>
                    <w:rStyle w:val="Hyperlink"/>
                    <w:rFonts w:ascii="Aptos" w:hAnsi="Aptos"/>
                    <w:noProof/>
                  </w:rPr>
                  <w:t>Soziale Brennpunkte in Städten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_Toc170983836 \h </w:instrText>
                </w:r>
                <w:r w:rsidR="00623AF8" w:rsidRPr="002E0E33">
                  <w:rPr>
                    <w:noProof/>
                    <w:webHidden/>
                  </w:rPr>
                </w:r>
                <w:r w:rsidR="00623AF8" w:rsidRPr="002E0E33">
                  <w:rPr>
                    <w:noProof/>
                    <w:webHidden/>
                  </w:rPr>
                  <w:fldChar w:fldCharType="separate"/>
                </w:r>
                <w:r w:rsidR="00623AF8">
                  <w:rPr>
                    <w:noProof/>
                    <w:webHidden/>
                  </w:rPr>
                  <w:t>219</w:t>
                </w:r>
                <w:r w:rsidR="00623AF8" w:rsidRPr="002E0E33">
                  <w:rPr>
                    <w:noProof/>
                    <w:webHidden/>
                  </w:rPr>
                  <w:fldChar w:fldCharType="end"/>
                </w:r>
              </w:hyperlink>
            </w:p>
            <w:p w14:paraId="296A610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37" w:history="1">
                <w:r w:rsidR="00623AF8" w:rsidRPr="002E0E33">
                  <w:rPr>
                    <w:rStyle w:val="Hyperlink"/>
                    <w:rFonts w:ascii="Aptos" w:hAnsi="Aptos"/>
                    <w:noProof/>
                  </w:rPr>
                  <w:t>Nachhaltigkeit auch für sozial benachteiligte Gruppen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_Toc170983837 \h </w:instrText>
                </w:r>
                <w:r w:rsidR="00623AF8" w:rsidRPr="002E0E33">
                  <w:rPr>
                    <w:noProof/>
                    <w:webHidden/>
                  </w:rPr>
                </w:r>
                <w:r w:rsidR="00623AF8" w:rsidRPr="002E0E33">
                  <w:rPr>
                    <w:noProof/>
                    <w:webHidden/>
                  </w:rPr>
                  <w:fldChar w:fldCharType="separate"/>
                </w:r>
                <w:r w:rsidR="00623AF8">
                  <w:rPr>
                    <w:noProof/>
                    <w:webHidden/>
                  </w:rPr>
                  <w:t>220</w:t>
                </w:r>
                <w:r w:rsidR="00623AF8" w:rsidRPr="002E0E33">
                  <w:rPr>
                    <w:noProof/>
                    <w:webHidden/>
                  </w:rPr>
                  <w:fldChar w:fldCharType="end"/>
                </w:r>
              </w:hyperlink>
            </w:p>
            <w:p w14:paraId="7118410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38" w:history="1">
                <w:r w:rsidR="00623AF8" w:rsidRPr="002E0E33">
                  <w:rPr>
                    <w:rStyle w:val="Hyperlink"/>
                    <w:rFonts w:ascii="Aptos" w:hAnsi="Aptos"/>
                    <w:noProof/>
                  </w:rPr>
                  <w:t>Klimawandelanpassung für sozial benachteiligte Gruppen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_Toc170983838 \h </w:instrText>
                </w:r>
                <w:r w:rsidR="00623AF8" w:rsidRPr="002E0E33">
                  <w:rPr>
                    <w:noProof/>
                    <w:webHidden/>
                  </w:rPr>
                </w:r>
                <w:r w:rsidR="00623AF8" w:rsidRPr="002E0E33">
                  <w:rPr>
                    <w:noProof/>
                    <w:webHidden/>
                  </w:rPr>
                  <w:fldChar w:fldCharType="separate"/>
                </w:r>
                <w:r w:rsidR="00623AF8">
                  <w:rPr>
                    <w:noProof/>
                    <w:webHidden/>
                  </w:rPr>
                  <w:t>221</w:t>
                </w:r>
                <w:r w:rsidR="00623AF8" w:rsidRPr="002E0E33">
                  <w:rPr>
                    <w:noProof/>
                    <w:webHidden/>
                  </w:rPr>
                  <w:fldChar w:fldCharType="end"/>
                </w:r>
              </w:hyperlink>
            </w:p>
            <w:p w14:paraId="4A835EF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39" w:history="1">
                <w:r w:rsidR="00623AF8" w:rsidRPr="002E0E33">
                  <w:rPr>
                    <w:rStyle w:val="Hyperlink"/>
                    <w:rFonts w:ascii="Aptos" w:hAnsi="Aptos"/>
                    <w:noProof/>
                  </w:rPr>
                  <w:t>Versorgung mit Pflegediensten in kleineren Gemeinden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_Toc170983839 \h </w:instrText>
                </w:r>
                <w:r w:rsidR="00623AF8" w:rsidRPr="002E0E33">
                  <w:rPr>
                    <w:noProof/>
                    <w:webHidden/>
                  </w:rPr>
                </w:r>
                <w:r w:rsidR="00623AF8" w:rsidRPr="002E0E33">
                  <w:rPr>
                    <w:noProof/>
                    <w:webHidden/>
                  </w:rPr>
                  <w:fldChar w:fldCharType="separate"/>
                </w:r>
                <w:r w:rsidR="00623AF8">
                  <w:rPr>
                    <w:noProof/>
                    <w:webHidden/>
                  </w:rPr>
                  <w:t>222</w:t>
                </w:r>
                <w:r w:rsidR="00623AF8" w:rsidRPr="002E0E33">
                  <w:rPr>
                    <w:noProof/>
                    <w:webHidden/>
                  </w:rPr>
                  <w:fldChar w:fldCharType="end"/>
                </w:r>
              </w:hyperlink>
            </w:p>
            <w:p w14:paraId="2CDF173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40" w:history="1">
                <w:r w:rsidR="00623AF8" w:rsidRPr="002E0E33">
                  <w:rPr>
                    <w:rStyle w:val="Hyperlink"/>
                    <w:rFonts w:ascii="Aptos" w:hAnsi="Aptos"/>
                    <w:noProof/>
                  </w:rPr>
                  <w:t>Soziale Teilhabe von älteren Menschen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_Toc170983840 \h </w:instrText>
                </w:r>
                <w:r w:rsidR="00623AF8" w:rsidRPr="002E0E33">
                  <w:rPr>
                    <w:noProof/>
                    <w:webHidden/>
                  </w:rPr>
                </w:r>
                <w:r w:rsidR="00623AF8" w:rsidRPr="002E0E33">
                  <w:rPr>
                    <w:noProof/>
                    <w:webHidden/>
                  </w:rPr>
                  <w:fldChar w:fldCharType="separate"/>
                </w:r>
                <w:r w:rsidR="00623AF8">
                  <w:rPr>
                    <w:noProof/>
                    <w:webHidden/>
                  </w:rPr>
                  <w:t>223</w:t>
                </w:r>
                <w:r w:rsidR="00623AF8" w:rsidRPr="002E0E33">
                  <w:rPr>
                    <w:noProof/>
                    <w:webHidden/>
                  </w:rPr>
                  <w:fldChar w:fldCharType="end"/>
                </w:r>
              </w:hyperlink>
            </w:p>
            <w:p w14:paraId="0589E7D5"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41" w:history="1">
                <w:r w:rsidR="00623AF8" w:rsidRPr="002E0E33">
                  <w:rPr>
                    <w:rStyle w:val="Hyperlink"/>
                    <w:rFonts w:ascii="Aptos" w:hAnsi="Aptos"/>
                    <w:noProof/>
                  </w:rPr>
                  <w:t>Inklusion von Menschen mit Behinderungen</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_Toc170983841 \h </w:instrText>
                </w:r>
                <w:r w:rsidR="00623AF8" w:rsidRPr="002E0E33">
                  <w:rPr>
                    <w:noProof/>
                    <w:webHidden/>
                  </w:rPr>
                </w:r>
                <w:r w:rsidR="00623AF8" w:rsidRPr="002E0E33">
                  <w:rPr>
                    <w:noProof/>
                    <w:webHidden/>
                  </w:rPr>
                  <w:fldChar w:fldCharType="separate"/>
                </w:r>
                <w:r w:rsidR="00623AF8">
                  <w:rPr>
                    <w:noProof/>
                    <w:webHidden/>
                  </w:rPr>
                  <w:t>224</w:t>
                </w:r>
                <w:r w:rsidR="00623AF8" w:rsidRPr="002E0E33">
                  <w:rPr>
                    <w:noProof/>
                    <w:webHidden/>
                  </w:rPr>
                  <w:fldChar w:fldCharType="end"/>
                </w:r>
              </w:hyperlink>
            </w:p>
            <w:p w14:paraId="168F83DD"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42" w:history="1">
                <w:r w:rsidR="00623AF8" w:rsidRPr="002E0E33">
                  <w:rPr>
                    <w:rStyle w:val="Hyperlink"/>
                    <w:rFonts w:ascii="Aptos" w:hAnsi="Aptos"/>
                    <w:noProof/>
                  </w:rPr>
                  <w:t>Europäische Säule sozialer Rechte im Europäischen Semester</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_Toc170983842 \h </w:instrText>
                </w:r>
                <w:r w:rsidR="00623AF8" w:rsidRPr="002E0E33">
                  <w:rPr>
                    <w:noProof/>
                    <w:webHidden/>
                  </w:rPr>
                </w:r>
                <w:r w:rsidR="00623AF8" w:rsidRPr="002E0E33">
                  <w:rPr>
                    <w:noProof/>
                    <w:webHidden/>
                  </w:rPr>
                  <w:fldChar w:fldCharType="separate"/>
                </w:r>
                <w:r w:rsidR="00623AF8">
                  <w:rPr>
                    <w:noProof/>
                    <w:webHidden/>
                  </w:rPr>
                  <w:t>225</w:t>
                </w:r>
                <w:r w:rsidR="00623AF8" w:rsidRPr="002E0E33">
                  <w:rPr>
                    <w:noProof/>
                    <w:webHidden/>
                  </w:rPr>
                  <w:fldChar w:fldCharType="end"/>
                </w:r>
              </w:hyperlink>
            </w:p>
            <w:p w14:paraId="1AC27294"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43" w:history="1">
                <w:r w:rsidR="00623AF8" w:rsidRPr="002E0E33">
                  <w:rPr>
                    <w:rStyle w:val="Hyperlink"/>
                    <w:rFonts w:ascii="Aptos" w:hAnsi="Aptos"/>
                    <w:noProof/>
                  </w:rPr>
                  <w:t>Weiterentwicklung des öffentlichen Auftragswesens der EU</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_Toc170983843 \h </w:instrText>
                </w:r>
                <w:r w:rsidR="00623AF8" w:rsidRPr="002E0E33">
                  <w:rPr>
                    <w:noProof/>
                    <w:webHidden/>
                  </w:rPr>
                </w:r>
                <w:r w:rsidR="00623AF8" w:rsidRPr="002E0E33">
                  <w:rPr>
                    <w:noProof/>
                    <w:webHidden/>
                  </w:rPr>
                  <w:fldChar w:fldCharType="separate"/>
                </w:r>
                <w:r w:rsidR="00623AF8">
                  <w:rPr>
                    <w:noProof/>
                    <w:webHidden/>
                  </w:rPr>
                  <w:t>226</w:t>
                </w:r>
                <w:r w:rsidR="00623AF8" w:rsidRPr="002E0E33">
                  <w:rPr>
                    <w:noProof/>
                    <w:webHidden/>
                  </w:rPr>
                  <w:fldChar w:fldCharType="end"/>
                </w:r>
              </w:hyperlink>
            </w:p>
            <w:p w14:paraId="30B26192"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44" w:history="1">
                <w:r w:rsidR="00623AF8" w:rsidRPr="002E0E33">
                  <w:rPr>
                    <w:rStyle w:val="Hyperlink"/>
                    <w:rFonts w:ascii="Aptos" w:hAnsi="Aptos"/>
                    <w:noProof/>
                  </w:rPr>
                  <w:t>Klima-Sozialfonds</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_Toc170983844 \h </w:instrText>
                </w:r>
                <w:r w:rsidR="00623AF8" w:rsidRPr="002E0E33">
                  <w:rPr>
                    <w:noProof/>
                    <w:webHidden/>
                  </w:rPr>
                </w:r>
                <w:r w:rsidR="00623AF8" w:rsidRPr="002E0E33">
                  <w:rPr>
                    <w:noProof/>
                    <w:webHidden/>
                  </w:rPr>
                  <w:fldChar w:fldCharType="separate"/>
                </w:r>
                <w:r w:rsidR="00623AF8">
                  <w:rPr>
                    <w:noProof/>
                    <w:webHidden/>
                  </w:rPr>
                  <w:t>227</w:t>
                </w:r>
                <w:r w:rsidR="00623AF8" w:rsidRPr="002E0E33">
                  <w:rPr>
                    <w:noProof/>
                    <w:webHidden/>
                  </w:rPr>
                  <w:fldChar w:fldCharType="end"/>
                </w:r>
              </w:hyperlink>
            </w:p>
            <w:p w14:paraId="4655F4A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45" w:history="1">
                <w:r w:rsidR="00623AF8" w:rsidRPr="002E0E33">
                  <w:rPr>
                    <w:rStyle w:val="Hyperlink"/>
                    <w:rFonts w:ascii="Aptos" w:hAnsi="Aptos"/>
                    <w:noProof/>
                  </w:rPr>
                  <w:t>Kompetenzen im Bereich Sozialschutz</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_Toc170983845 \h </w:instrText>
                </w:r>
                <w:r w:rsidR="00623AF8" w:rsidRPr="002E0E33">
                  <w:rPr>
                    <w:noProof/>
                    <w:webHidden/>
                  </w:rPr>
                </w:r>
                <w:r w:rsidR="00623AF8" w:rsidRPr="002E0E33">
                  <w:rPr>
                    <w:noProof/>
                    <w:webHidden/>
                  </w:rPr>
                  <w:fldChar w:fldCharType="separate"/>
                </w:r>
                <w:r w:rsidR="00623AF8">
                  <w:rPr>
                    <w:noProof/>
                    <w:webHidden/>
                  </w:rPr>
                  <w:t>228</w:t>
                </w:r>
                <w:r w:rsidR="00623AF8" w:rsidRPr="002E0E33">
                  <w:rPr>
                    <w:noProof/>
                    <w:webHidden/>
                  </w:rPr>
                  <w:fldChar w:fldCharType="end"/>
                </w:r>
              </w:hyperlink>
            </w:p>
            <w:p w14:paraId="6A97A9F8"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46" w:history="1">
                <w:r w:rsidR="00623AF8" w:rsidRPr="002E0E33">
                  <w:rPr>
                    <w:rStyle w:val="Hyperlink"/>
                    <w:rFonts w:ascii="Aptos" w:hAnsi="Aptos"/>
                    <w:noProof/>
                  </w:rPr>
                  <w:t>EU-Sozialtaxonomie</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_Toc170983846 \h </w:instrText>
                </w:r>
                <w:r w:rsidR="00623AF8" w:rsidRPr="002E0E33">
                  <w:rPr>
                    <w:noProof/>
                    <w:webHidden/>
                  </w:rPr>
                </w:r>
                <w:r w:rsidR="00623AF8" w:rsidRPr="002E0E33">
                  <w:rPr>
                    <w:noProof/>
                    <w:webHidden/>
                  </w:rPr>
                  <w:fldChar w:fldCharType="separate"/>
                </w:r>
                <w:r w:rsidR="00623AF8">
                  <w:rPr>
                    <w:noProof/>
                    <w:webHidden/>
                  </w:rPr>
                  <w:t>229</w:t>
                </w:r>
                <w:r w:rsidR="00623AF8" w:rsidRPr="002E0E33">
                  <w:rPr>
                    <w:noProof/>
                    <w:webHidden/>
                  </w:rPr>
                  <w:fldChar w:fldCharType="end"/>
                </w:r>
              </w:hyperlink>
            </w:p>
            <w:p w14:paraId="5760803C"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47" w:history="1">
                <w:r w:rsidR="00623AF8" w:rsidRPr="002E0E33">
                  <w:rPr>
                    <w:rStyle w:val="Hyperlink"/>
                    <w:noProof/>
                  </w:rPr>
                  <w:t>LGBTIQ – Schutz vor Diskriminierung</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_Toc170983847 \h </w:instrText>
                </w:r>
                <w:r w:rsidR="00623AF8" w:rsidRPr="002E0E33">
                  <w:rPr>
                    <w:noProof/>
                    <w:webHidden/>
                  </w:rPr>
                </w:r>
                <w:r w:rsidR="00623AF8" w:rsidRPr="002E0E33">
                  <w:rPr>
                    <w:noProof/>
                    <w:webHidden/>
                  </w:rPr>
                  <w:fldChar w:fldCharType="separate"/>
                </w:r>
                <w:r w:rsidR="00623AF8">
                  <w:rPr>
                    <w:noProof/>
                    <w:webHidden/>
                  </w:rPr>
                  <w:t>230</w:t>
                </w:r>
                <w:r w:rsidR="00623AF8" w:rsidRPr="002E0E33">
                  <w:rPr>
                    <w:noProof/>
                    <w:webHidden/>
                  </w:rPr>
                  <w:fldChar w:fldCharType="end"/>
                </w:r>
              </w:hyperlink>
            </w:p>
            <w:p w14:paraId="2C246247" w14:textId="77777777" w:rsidR="00623AF8" w:rsidRPr="002E0E33" w:rsidRDefault="00AC460E" w:rsidP="00623AF8">
              <w:pPr>
                <w:pStyle w:val="Verzeichnis1"/>
                <w:tabs>
                  <w:tab w:val="right" w:leader="dot" w:pos="9060"/>
                </w:tabs>
                <w:rPr>
                  <w:rFonts w:eastAsiaTheme="minorEastAsia"/>
                  <w:noProof/>
                  <w:kern w:val="2"/>
                  <w:sz w:val="22"/>
                  <w:szCs w:val="22"/>
                  <w:lang w:eastAsia="de-AT"/>
                  <w14:ligatures w14:val="standardContextual"/>
                </w:rPr>
              </w:pPr>
              <w:hyperlink w:anchor="_Toc170983848" w:history="1">
                <w:r w:rsidR="00623AF8" w:rsidRPr="002E0E33">
                  <w:rPr>
                    <w:rStyle w:val="Hyperlink"/>
                    <w:noProof/>
                  </w:rPr>
                  <w:t>Gewalt am Arbeitsplatz</w:t>
                </w:r>
                <w:r w:rsidR="00623AF8" w:rsidRPr="002E0E33">
                  <w:rPr>
                    <w:noProof/>
                    <w:webHidden/>
                  </w:rPr>
                  <w:tab/>
                </w:r>
                <w:r w:rsidR="00623AF8" w:rsidRPr="002E0E33">
                  <w:rPr>
                    <w:noProof/>
                    <w:webHidden/>
                  </w:rPr>
                  <w:fldChar w:fldCharType="begin"/>
                </w:r>
                <w:r w:rsidR="00623AF8" w:rsidRPr="002E0E33">
                  <w:rPr>
                    <w:noProof/>
                    <w:webHidden/>
                  </w:rPr>
                  <w:instrText xml:space="preserve"> PAGEREF _Toc170983848 \h </w:instrText>
                </w:r>
                <w:r w:rsidR="00623AF8" w:rsidRPr="002E0E33">
                  <w:rPr>
                    <w:noProof/>
                    <w:webHidden/>
                  </w:rPr>
                </w:r>
                <w:r w:rsidR="00623AF8" w:rsidRPr="002E0E33">
                  <w:rPr>
                    <w:noProof/>
                    <w:webHidden/>
                  </w:rPr>
                  <w:fldChar w:fldCharType="separate"/>
                </w:r>
                <w:r w:rsidR="00623AF8">
                  <w:rPr>
                    <w:noProof/>
                    <w:webHidden/>
                  </w:rPr>
                  <w:t>231</w:t>
                </w:r>
                <w:r w:rsidR="00623AF8" w:rsidRPr="002E0E33">
                  <w:rPr>
                    <w:noProof/>
                    <w:webHidden/>
                  </w:rPr>
                  <w:fldChar w:fldCharType="end"/>
                </w:r>
              </w:hyperlink>
            </w:p>
            <w:p w14:paraId="0ADB0787" w14:textId="77777777" w:rsidR="00623AF8" w:rsidRPr="00C21CA5" w:rsidRDefault="00623AF8" w:rsidP="00623AF8">
              <w:pPr>
                <w:jc w:val="both"/>
                <w:rPr>
                  <w:lang w:val="de-DE"/>
                </w:rPr>
              </w:pPr>
              <w:r w:rsidRPr="00FF2EF3">
                <w:rPr>
                  <w:lang w:val="de-DE"/>
                </w:rPr>
                <w:fldChar w:fldCharType="end"/>
              </w:r>
            </w:p>
          </w:sdtContent>
        </w:sdt>
      </w:sdtContent>
    </w:sdt>
    <w:p w14:paraId="0FBC6F55" w14:textId="77777777" w:rsidR="00623AF8" w:rsidRPr="00660A69" w:rsidRDefault="00623AF8" w:rsidP="00623AF8">
      <w:pPr>
        <w:rPr>
          <w:rFonts w:ascii="Aptos" w:hAnsi="Aptos"/>
          <w:sz w:val="22"/>
          <w:szCs w:val="22"/>
        </w:rPr>
      </w:pPr>
    </w:p>
    <w:p w14:paraId="4B07C694" w14:textId="77777777" w:rsidR="00623AF8" w:rsidRPr="00660A69" w:rsidRDefault="00623AF8" w:rsidP="00623AF8">
      <w:pPr>
        <w:jc w:val="both"/>
        <w:rPr>
          <w:rFonts w:ascii="Aptos" w:hAnsi="Aptos"/>
          <w:bCs/>
          <w:sz w:val="22"/>
          <w:szCs w:val="22"/>
          <w:u w:val="single"/>
        </w:rPr>
      </w:pPr>
    </w:p>
    <w:p w14:paraId="0459E62C" w14:textId="77777777" w:rsidR="00623AF8" w:rsidRPr="00660A69" w:rsidRDefault="00623AF8" w:rsidP="00623AF8">
      <w:pPr>
        <w:jc w:val="both"/>
        <w:rPr>
          <w:rFonts w:ascii="Aptos" w:hAnsi="Aptos"/>
          <w:bCs/>
          <w:sz w:val="22"/>
          <w:szCs w:val="22"/>
          <w:u w:val="single"/>
        </w:rPr>
      </w:pPr>
    </w:p>
    <w:p w14:paraId="07DFE7A0" w14:textId="77777777" w:rsidR="00623AF8" w:rsidRPr="00660A69" w:rsidRDefault="00623AF8" w:rsidP="00623AF8">
      <w:pPr>
        <w:jc w:val="both"/>
        <w:rPr>
          <w:rFonts w:ascii="Aptos" w:hAnsi="Aptos"/>
          <w:bCs/>
          <w:sz w:val="22"/>
          <w:szCs w:val="22"/>
          <w:u w:val="single"/>
        </w:rPr>
      </w:pPr>
    </w:p>
    <w:p w14:paraId="33C59D19" w14:textId="77777777" w:rsidR="00623AF8" w:rsidRPr="00660A69" w:rsidRDefault="00623AF8" w:rsidP="00623AF8">
      <w:pPr>
        <w:jc w:val="both"/>
        <w:rPr>
          <w:rFonts w:ascii="Aptos" w:hAnsi="Aptos"/>
          <w:bCs/>
          <w:sz w:val="22"/>
          <w:szCs w:val="22"/>
          <w:u w:val="single"/>
        </w:rPr>
      </w:pPr>
    </w:p>
    <w:p w14:paraId="3F2895DC" w14:textId="77777777" w:rsidR="00623AF8" w:rsidRPr="00660A69" w:rsidRDefault="00623AF8" w:rsidP="00623AF8">
      <w:pPr>
        <w:jc w:val="both"/>
        <w:rPr>
          <w:rFonts w:ascii="Aptos" w:hAnsi="Aptos"/>
          <w:bCs/>
          <w:sz w:val="22"/>
          <w:szCs w:val="22"/>
          <w:u w:val="single"/>
        </w:rPr>
      </w:pPr>
    </w:p>
    <w:p w14:paraId="1309E13B" w14:textId="77777777" w:rsidR="00623AF8" w:rsidRPr="00660A69" w:rsidRDefault="00623AF8" w:rsidP="00623AF8">
      <w:pPr>
        <w:jc w:val="both"/>
        <w:rPr>
          <w:rFonts w:ascii="Aptos" w:hAnsi="Aptos"/>
          <w:bCs/>
          <w:sz w:val="22"/>
          <w:szCs w:val="22"/>
          <w:u w:val="single"/>
        </w:rPr>
      </w:pPr>
    </w:p>
    <w:p w14:paraId="7D1252C5" w14:textId="77777777" w:rsidR="00623AF8" w:rsidRPr="00660A69" w:rsidRDefault="00623AF8" w:rsidP="00623AF8">
      <w:pPr>
        <w:jc w:val="both"/>
        <w:rPr>
          <w:rFonts w:ascii="Aptos" w:hAnsi="Aptos"/>
          <w:bCs/>
          <w:sz w:val="22"/>
          <w:szCs w:val="22"/>
          <w:u w:val="single"/>
        </w:rPr>
      </w:pPr>
    </w:p>
    <w:p w14:paraId="42FE5490" w14:textId="77777777" w:rsidR="00623AF8" w:rsidRPr="00660A69" w:rsidRDefault="00623AF8" w:rsidP="00623AF8">
      <w:pPr>
        <w:jc w:val="both"/>
        <w:rPr>
          <w:rFonts w:ascii="Aptos" w:hAnsi="Aptos"/>
          <w:bCs/>
          <w:sz w:val="22"/>
          <w:szCs w:val="22"/>
          <w:u w:val="single"/>
        </w:rPr>
      </w:pPr>
    </w:p>
    <w:p w14:paraId="31FF020A" w14:textId="77777777" w:rsidR="00623AF8" w:rsidRPr="00660A69" w:rsidRDefault="00623AF8" w:rsidP="00623AF8">
      <w:pPr>
        <w:jc w:val="both"/>
        <w:rPr>
          <w:rFonts w:ascii="Aptos" w:hAnsi="Aptos"/>
          <w:bCs/>
          <w:sz w:val="22"/>
          <w:szCs w:val="22"/>
          <w:u w:val="single"/>
        </w:rPr>
        <w:sectPr w:rsidR="00623AF8" w:rsidRPr="00660A69" w:rsidSect="00CB1AE7">
          <w:headerReference w:type="even" r:id="rId11"/>
          <w:headerReference w:type="default" r:id="rId12"/>
          <w:footerReference w:type="even" r:id="rId13"/>
          <w:footerReference w:type="default" r:id="rId14"/>
          <w:headerReference w:type="first" r:id="rId15"/>
          <w:footerReference w:type="first" r:id="rId16"/>
          <w:pgSz w:w="11906" w:h="16838"/>
          <w:pgMar w:top="1843" w:right="1418" w:bottom="1134" w:left="1418" w:header="709" w:footer="510" w:gutter="0"/>
          <w:cols w:space="708"/>
          <w:docGrid w:linePitch="360"/>
        </w:sectPr>
      </w:pPr>
    </w:p>
    <w:p w14:paraId="1EFDF86D" w14:textId="77777777" w:rsidR="00623AF8" w:rsidRPr="00946A50" w:rsidRDefault="00623AF8" w:rsidP="00623AF8">
      <w:pPr>
        <w:pStyle w:val="berschrift1"/>
        <w:jc w:val="center"/>
        <w:rPr>
          <w:rFonts w:ascii="Aptos" w:eastAsiaTheme="minorHAnsi" w:hAnsi="Aptos"/>
          <w:color w:val="A6A6A6" w:themeColor="background1" w:themeShade="A6"/>
          <w:sz w:val="28"/>
          <w:szCs w:val="28"/>
        </w:rPr>
      </w:pPr>
      <w:bookmarkStart w:id="0" w:name="_Toc170983620"/>
      <w:r w:rsidRPr="00946A50">
        <w:rPr>
          <w:rFonts w:ascii="Aptos" w:hAnsi="Aptos"/>
          <w:color w:val="A6A6A6" w:themeColor="background1" w:themeShade="A6"/>
          <w:sz w:val="28"/>
          <w:szCs w:val="28"/>
        </w:rPr>
        <w:lastRenderedPageBreak/>
        <w:t>Ausarbeitung von Fragen aus dem Bereich der Kreislaufwirtschaft</w:t>
      </w:r>
      <w:bookmarkEnd w:id="0"/>
    </w:p>
    <w:p w14:paraId="10302952" w14:textId="77777777" w:rsidR="00623AF8" w:rsidRPr="00660A69" w:rsidRDefault="00623AF8" w:rsidP="00623AF8">
      <w:pPr>
        <w:keepNext/>
        <w:keepLines/>
        <w:spacing w:before="240"/>
        <w:outlineLvl w:val="0"/>
        <w:rPr>
          <w:rFonts w:ascii="Aptos" w:eastAsiaTheme="majorEastAsia" w:hAnsi="Aptos" w:cstheme="majorBidi"/>
          <w:b/>
          <w:color w:val="E4342D"/>
          <w:szCs w:val="32"/>
          <w:lang w:val="en-GB"/>
        </w:rPr>
      </w:pPr>
      <w:bookmarkStart w:id="1" w:name="_Toc170983621"/>
      <w:r w:rsidRPr="00660A69">
        <w:rPr>
          <w:rFonts w:ascii="Aptos" w:eastAsiaTheme="majorEastAsia" w:hAnsi="Aptos" w:cstheme="majorBidi"/>
          <w:b/>
          <w:color w:val="E4342D"/>
          <w:szCs w:val="32"/>
          <w:lang w:val="en-GB"/>
        </w:rPr>
        <w:t>Marktüberschwemmung durch Drittland-Produkte</w:t>
      </w:r>
      <w:bookmarkEnd w:id="1"/>
      <w:r>
        <w:rPr>
          <w:rFonts w:ascii="Aptos" w:eastAsiaTheme="majorEastAsia" w:hAnsi="Aptos" w:cstheme="majorBidi"/>
          <w:b/>
          <w:color w:val="E4342D"/>
          <w:szCs w:val="32"/>
          <w:lang w:val="en-GB"/>
        </w:rPr>
        <w:t xml:space="preserve"> </w:t>
      </w:r>
    </w:p>
    <w:p w14:paraId="22ADD95A"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52682F46" w14:textId="77777777" w:rsidTr="00875DD0">
        <w:tc>
          <w:tcPr>
            <w:tcW w:w="9060" w:type="dxa"/>
            <w:shd w:val="clear" w:color="auto" w:fill="D9D9D9" w:themeFill="background1" w:themeFillShade="D9"/>
          </w:tcPr>
          <w:p w14:paraId="02780BC5"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1C0F5E4F" w14:textId="77777777" w:rsidTr="00875DD0">
        <w:tc>
          <w:tcPr>
            <w:tcW w:w="9060" w:type="dxa"/>
          </w:tcPr>
          <w:p w14:paraId="01EA7ECE" w14:textId="77777777" w:rsidR="00623AF8" w:rsidRPr="00660A69" w:rsidRDefault="00623AF8" w:rsidP="00875DD0">
            <w:pPr>
              <w:spacing w:before="120" w:after="120"/>
              <w:jc w:val="both"/>
              <w:rPr>
                <w:rFonts w:ascii="Aptos" w:hAnsi="Aptos"/>
              </w:rPr>
            </w:pPr>
            <w:r w:rsidRPr="00660A69">
              <w:rPr>
                <w:rFonts w:ascii="Aptos" w:hAnsi="Aptos"/>
                <w:sz w:val="22"/>
                <w:szCs w:val="22"/>
              </w:rPr>
              <w:t xml:space="preserve">Die Flut von Billigproduktimporten aus dem außereuropäischen Ausland, vor allem über Quick Commerce- Plattformen schwächt den heimischen Handel und nutzt Lücken im Zollrecht bewusst aus. So wirft etwa die Volksrepublik China große Mengen günstiger Produkte auf den Weltmarkt und bedroht damit ganze Branchen. Neben einer Überlastung der Zollbehörden übersteigen die Kosten einer ordnungsgemäßen Abfallentsorgung oft die Erzeugungskosten der Produkte selbst. Gleichzeitig gelangen durch die fehlende Anpassung geltender Gesetze and die digitale Welt Produkte mit gesundheitsschädlichen Chemikalien in den europäischen Markt. </w:t>
            </w:r>
            <w:r w:rsidRPr="00660A69">
              <w:rPr>
                <w:rFonts w:ascii="Aptos" w:hAnsi="Aptos"/>
                <w:b/>
                <w:bCs/>
                <w:sz w:val="22"/>
                <w:szCs w:val="22"/>
              </w:rPr>
              <w:t xml:space="preserve">Wie wollen sie eine innereuropäische Nachhaltigkeit von Produkten gewährleisten, da Importe oft keinerlei Restriktionen unterliegen und eine Überschwemmung des Marktes bedeuten? </w:t>
            </w:r>
          </w:p>
        </w:tc>
      </w:tr>
      <w:tr w:rsidR="00623AF8" w:rsidRPr="00660A69" w14:paraId="1BC521F2" w14:textId="77777777" w:rsidTr="00875DD0">
        <w:tc>
          <w:tcPr>
            <w:tcW w:w="9060" w:type="dxa"/>
            <w:shd w:val="clear" w:color="auto" w:fill="D9D9D9" w:themeFill="background1" w:themeFillShade="D9"/>
          </w:tcPr>
          <w:p w14:paraId="14A1BC65"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3817E1F7" w14:textId="77777777" w:rsidTr="00875DD0">
        <w:tc>
          <w:tcPr>
            <w:tcW w:w="9060" w:type="dxa"/>
          </w:tcPr>
          <w:p w14:paraId="74B3FDAE" w14:textId="77777777" w:rsidR="00623AF8" w:rsidRPr="00660A69" w:rsidRDefault="00623AF8" w:rsidP="00F63BE8">
            <w:pPr>
              <w:numPr>
                <w:ilvl w:val="0"/>
                <w:numId w:val="2"/>
              </w:numPr>
              <w:spacing w:before="120" w:after="120"/>
              <w:contextualSpacing/>
              <w:jc w:val="both"/>
              <w:rPr>
                <w:rFonts w:ascii="Aptos" w:hAnsi="Aptos"/>
                <w:i/>
                <w:iCs/>
                <w:sz w:val="22"/>
                <w:szCs w:val="22"/>
                <w:u w:val="single"/>
              </w:rPr>
            </w:pPr>
            <w:r w:rsidRPr="00660A69">
              <w:rPr>
                <w:rFonts w:ascii="Aptos" w:hAnsi="Aptos"/>
                <w:sz w:val="22"/>
                <w:szCs w:val="22"/>
              </w:rPr>
              <w:t>Würden Sie eine Senkung der Zollfreigrenze auf null Euro befürworten?</w:t>
            </w:r>
          </w:p>
        </w:tc>
      </w:tr>
    </w:tbl>
    <w:p w14:paraId="07448DFC" w14:textId="77777777" w:rsidR="00623AF8" w:rsidRPr="00660A69" w:rsidRDefault="00623AF8" w:rsidP="00623AF8">
      <w:pPr>
        <w:spacing w:after="120"/>
        <w:jc w:val="both"/>
        <w:rPr>
          <w:rFonts w:ascii="Aptos" w:hAnsi="Aptos"/>
          <w:i/>
          <w:iCs/>
          <w:sz w:val="22"/>
          <w:szCs w:val="22"/>
          <w:u w:val="single"/>
        </w:rPr>
      </w:pPr>
      <w:bookmarkStart w:id="2" w:name="_Hlk170299737"/>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7F8835DF" w14:textId="77777777" w:rsidTr="00875DD0">
        <w:tc>
          <w:tcPr>
            <w:tcW w:w="9060" w:type="dxa"/>
            <w:shd w:val="clear" w:color="auto" w:fill="D9D9D9" w:themeFill="background1" w:themeFillShade="D9"/>
          </w:tcPr>
          <w:p w14:paraId="6C07BA6F" w14:textId="77777777" w:rsidR="00623AF8" w:rsidRPr="00660A69" w:rsidRDefault="00623AF8" w:rsidP="00875DD0">
            <w:pPr>
              <w:widowControl w:val="0"/>
              <w:tabs>
                <w:tab w:val="left" w:pos="2796"/>
              </w:tabs>
              <w:autoSpaceDE w:val="0"/>
              <w:autoSpaceDN w:val="0"/>
              <w:spacing w:line="258" w:lineRule="exact"/>
              <w:jc w:val="both"/>
              <w:rPr>
                <w:rFonts w:ascii="Aptos" w:eastAsia="Arial MT" w:hAnsi="Aptos" w:cs="Arial MT"/>
                <w:b/>
                <w:sz w:val="22"/>
                <w:szCs w:val="22"/>
                <w:highlight w:val="lightGray"/>
                <w:lang w:val="en-GB"/>
              </w:rPr>
            </w:pPr>
            <w:bookmarkStart w:id="3" w:name="_Hlk170191086"/>
            <w:r w:rsidRPr="00660A69">
              <w:rPr>
                <w:rFonts w:ascii="Aptos" w:eastAsia="Arial MT" w:hAnsi="Aptos" w:cs="Arial MT"/>
                <w:b/>
                <w:sz w:val="22"/>
                <w:szCs w:val="22"/>
                <w:highlight w:val="lightGray"/>
                <w:lang w:val="en-GB"/>
              </w:rPr>
              <w:t>Hintergrund</w:t>
            </w:r>
            <w:r w:rsidRPr="00660A69">
              <w:rPr>
                <w:rFonts w:ascii="Aptos" w:eastAsia="Arial MT" w:hAnsi="Aptos" w:cs="Arial MT"/>
                <w:b/>
                <w:sz w:val="22"/>
                <w:szCs w:val="22"/>
                <w:highlight w:val="lightGray"/>
                <w:lang w:val="en-GB"/>
              </w:rPr>
              <w:tab/>
            </w:r>
          </w:p>
        </w:tc>
      </w:tr>
    </w:tbl>
    <w:bookmarkEnd w:id="2"/>
    <w:bookmarkEnd w:id="3"/>
    <w:p w14:paraId="2787AE77" w14:textId="77777777" w:rsidR="00623AF8" w:rsidRPr="00660A69" w:rsidRDefault="00623AF8" w:rsidP="00623AF8">
      <w:pPr>
        <w:jc w:val="both"/>
        <w:rPr>
          <w:rFonts w:ascii="Aptos" w:hAnsi="Aptos"/>
          <w:bCs/>
          <w:sz w:val="22"/>
          <w:szCs w:val="22"/>
        </w:rPr>
      </w:pPr>
      <w:r w:rsidRPr="00660A69">
        <w:rPr>
          <w:rFonts w:ascii="Aptos" w:hAnsi="Aptos"/>
          <w:bCs/>
          <w:sz w:val="22"/>
          <w:szCs w:val="22"/>
        </w:rPr>
        <w:t>Solarpanels, E-Autos, Windkraftanlagen, Billigkleidung und Plastikramsch – Chinesische Konzerne schlagen ihre Produkte um jeden Preis im Ausland los und exportieren damit ihre Probleme vor allem nach Europa. Viele Hersteller sitzen auf gewaltigen Überkapazitäten und bieten ihre Waren zur Auslastung ihrer Fabriken zu Dumpingpreisen in Europa an. So verfügt die chinesische Industrie über so große Produktionskapazitäten für die Herstellung von Solarpanels, um damit die ganze Nachfrage auf der Welt mindestens 2,5-mal zu befriedigen. Um nicht gänzlich aus dem Markt gedrängt zu werden, erhalten Forderungen nach Anti-Dumping-Verfahren europäischer Branchen immer mehr Berechtigung. Zusätzlich kann etwa im Internet gekauftes Spielzeug für Kinder kann gesundheitsschädliche Chemikalien in hohen Konzentrationen enthalten, die in der EU eigentlich verboten sind. Durch den boomenden Onlinehandel fallen immer häufiger Produkte auf, die mit Weichmachern oder anderen krebserregenden Stoffen belastet sind. Einer vergleichbaren Überprüfung der Produkte wie etwa bei stationärem Handel hinkt man deutlich hinterher. Plattformen wie Amazon, Ebay oder Alibaba befinden sich in einem „rechtlichen Freiraum“, in dem sie die Schutzvorschriften aufgrund fehlender Konsequenzen leicht umgehen können.</w:t>
      </w:r>
    </w:p>
    <w:p w14:paraId="1B3CC7DA" w14:textId="77777777" w:rsidR="00623AF8" w:rsidRPr="00660A69" w:rsidRDefault="00623AF8" w:rsidP="00623AF8">
      <w:pPr>
        <w:jc w:val="both"/>
        <w:rPr>
          <w:rFonts w:ascii="Aptos" w:hAnsi="Aptos"/>
          <w:bCs/>
          <w:sz w:val="22"/>
          <w:szCs w:val="22"/>
        </w:rPr>
      </w:pPr>
    </w:p>
    <w:p w14:paraId="05CBA7A7" w14:textId="77777777" w:rsidR="00623AF8" w:rsidRPr="00660A69" w:rsidRDefault="00623AF8" w:rsidP="00623AF8">
      <w:pPr>
        <w:jc w:val="both"/>
        <w:rPr>
          <w:rFonts w:ascii="Aptos" w:hAnsi="Aptos"/>
          <w:bCs/>
          <w:sz w:val="22"/>
          <w:szCs w:val="22"/>
        </w:rPr>
      </w:pPr>
    </w:p>
    <w:p w14:paraId="70EB60A5" w14:textId="77777777" w:rsidR="00623AF8" w:rsidRPr="00660A69" w:rsidRDefault="00623AF8" w:rsidP="00623AF8">
      <w:pPr>
        <w:jc w:val="both"/>
        <w:rPr>
          <w:rFonts w:ascii="Aptos" w:hAnsi="Aptos"/>
          <w:bCs/>
          <w:sz w:val="22"/>
          <w:szCs w:val="22"/>
        </w:rPr>
      </w:pPr>
    </w:p>
    <w:p w14:paraId="10E795E0" w14:textId="77777777" w:rsidR="00623AF8" w:rsidRPr="00660A69" w:rsidRDefault="00623AF8" w:rsidP="00623AF8">
      <w:pPr>
        <w:jc w:val="both"/>
        <w:rPr>
          <w:rFonts w:ascii="Aptos" w:hAnsi="Aptos"/>
          <w:bCs/>
          <w:sz w:val="22"/>
          <w:szCs w:val="22"/>
        </w:rPr>
      </w:pPr>
    </w:p>
    <w:p w14:paraId="1F6D76A3" w14:textId="77777777" w:rsidR="00623AF8" w:rsidRPr="00660A69" w:rsidRDefault="00623AF8" w:rsidP="00623AF8">
      <w:pPr>
        <w:jc w:val="both"/>
        <w:rPr>
          <w:rFonts w:ascii="Aptos" w:hAnsi="Aptos"/>
          <w:bCs/>
          <w:sz w:val="22"/>
          <w:szCs w:val="22"/>
        </w:rPr>
      </w:pPr>
    </w:p>
    <w:p w14:paraId="456D10E6" w14:textId="77777777" w:rsidR="00623AF8" w:rsidRPr="00660A69" w:rsidRDefault="00623AF8" w:rsidP="00623AF8">
      <w:pPr>
        <w:jc w:val="both"/>
        <w:rPr>
          <w:rFonts w:ascii="Aptos" w:hAnsi="Aptos"/>
          <w:bCs/>
          <w:sz w:val="22"/>
          <w:szCs w:val="22"/>
        </w:rPr>
      </w:pPr>
    </w:p>
    <w:p w14:paraId="042E1E8D" w14:textId="77777777" w:rsidR="00623AF8" w:rsidRPr="00660A69" w:rsidRDefault="00623AF8" w:rsidP="00623AF8">
      <w:pPr>
        <w:jc w:val="both"/>
        <w:rPr>
          <w:rFonts w:ascii="Aptos" w:hAnsi="Aptos"/>
          <w:bCs/>
          <w:sz w:val="22"/>
          <w:szCs w:val="22"/>
        </w:rPr>
      </w:pPr>
    </w:p>
    <w:p w14:paraId="7856B646" w14:textId="77777777" w:rsidR="00623AF8" w:rsidRDefault="00623AF8" w:rsidP="00623AF8">
      <w:pPr>
        <w:jc w:val="both"/>
        <w:rPr>
          <w:rFonts w:ascii="Aptos" w:hAnsi="Aptos"/>
          <w:bCs/>
          <w:sz w:val="22"/>
          <w:szCs w:val="22"/>
        </w:rPr>
      </w:pPr>
    </w:p>
    <w:p w14:paraId="319B9E55" w14:textId="77777777" w:rsidR="00623AF8" w:rsidRDefault="00623AF8" w:rsidP="00623AF8">
      <w:pPr>
        <w:jc w:val="both"/>
        <w:rPr>
          <w:rFonts w:ascii="Aptos" w:hAnsi="Aptos"/>
          <w:bCs/>
          <w:sz w:val="22"/>
          <w:szCs w:val="22"/>
        </w:rPr>
      </w:pPr>
    </w:p>
    <w:p w14:paraId="3A15E2F1" w14:textId="77777777" w:rsidR="00623AF8" w:rsidRPr="00660A69" w:rsidRDefault="00623AF8" w:rsidP="00623AF8">
      <w:pPr>
        <w:jc w:val="both"/>
        <w:rPr>
          <w:rFonts w:ascii="Aptos" w:hAnsi="Aptos"/>
          <w:bCs/>
          <w:sz w:val="22"/>
          <w:szCs w:val="22"/>
        </w:rPr>
      </w:pPr>
    </w:p>
    <w:p w14:paraId="74B01D00" w14:textId="77777777" w:rsidR="00623AF8" w:rsidRPr="00660A69" w:rsidRDefault="00623AF8" w:rsidP="00623AF8">
      <w:pPr>
        <w:jc w:val="both"/>
        <w:rPr>
          <w:rFonts w:ascii="Aptos" w:hAnsi="Aptos"/>
          <w:bCs/>
          <w:sz w:val="22"/>
          <w:szCs w:val="22"/>
        </w:rPr>
      </w:pPr>
    </w:p>
    <w:p w14:paraId="235586F5" w14:textId="77777777" w:rsidR="00623AF8" w:rsidRDefault="00623AF8" w:rsidP="00623AF8">
      <w:pPr>
        <w:jc w:val="both"/>
        <w:rPr>
          <w:rFonts w:ascii="Aptos" w:hAnsi="Aptos"/>
          <w:bCs/>
          <w:sz w:val="22"/>
          <w:szCs w:val="22"/>
        </w:rPr>
      </w:pPr>
    </w:p>
    <w:p w14:paraId="23272585" w14:textId="77777777" w:rsidR="00623AF8" w:rsidRDefault="00623AF8" w:rsidP="00623AF8">
      <w:pPr>
        <w:jc w:val="both"/>
        <w:rPr>
          <w:rFonts w:ascii="Aptos" w:hAnsi="Aptos"/>
          <w:bCs/>
          <w:sz w:val="22"/>
          <w:szCs w:val="22"/>
        </w:rPr>
      </w:pPr>
    </w:p>
    <w:p w14:paraId="2FD721DB" w14:textId="77777777" w:rsidR="00623AF8" w:rsidRPr="00660A69" w:rsidRDefault="00623AF8" w:rsidP="00623AF8">
      <w:pPr>
        <w:jc w:val="both"/>
        <w:rPr>
          <w:rFonts w:ascii="Aptos" w:hAnsi="Aptos"/>
          <w:bCs/>
          <w:sz w:val="22"/>
          <w:szCs w:val="22"/>
        </w:rPr>
      </w:pPr>
    </w:p>
    <w:p w14:paraId="6B3A8D6C"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4" w:name="_Toc170983622"/>
      <w:r w:rsidRPr="00660A69">
        <w:rPr>
          <w:rFonts w:ascii="Aptos" w:eastAsiaTheme="majorEastAsia" w:hAnsi="Aptos" w:cstheme="majorBidi"/>
          <w:b/>
          <w:color w:val="E4342D"/>
          <w:sz w:val="22"/>
          <w:szCs w:val="22"/>
        </w:rPr>
        <w:t>Abfalltourismus</w:t>
      </w:r>
      <w:bookmarkEnd w:id="4"/>
    </w:p>
    <w:p w14:paraId="40505149"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32A92C57" w14:textId="77777777" w:rsidTr="00875DD0">
        <w:tc>
          <w:tcPr>
            <w:tcW w:w="9060" w:type="dxa"/>
            <w:shd w:val="clear" w:color="auto" w:fill="D9D9D9" w:themeFill="background1" w:themeFillShade="D9"/>
          </w:tcPr>
          <w:p w14:paraId="644B2A78"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0A71D158" w14:textId="77777777" w:rsidTr="00875DD0">
        <w:tc>
          <w:tcPr>
            <w:tcW w:w="9060" w:type="dxa"/>
          </w:tcPr>
          <w:p w14:paraId="1F16CAEB" w14:textId="77777777" w:rsidR="00623AF8" w:rsidRPr="00660A69" w:rsidRDefault="00623AF8" w:rsidP="00875DD0">
            <w:pPr>
              <w:jc w:val="both"/>
              <w:rPr>
                <w:rFonts w:ascii="Aptos" w:hAnsi="Aptos"/>
                <w:sz w:val="22"/>
                <w:szCs w:val="22"/>
              </w:rPr>
            </w:pPr>
            <w:bookmarkStart w:id="5" w:name="_Hlk164427361"/>
            <w:r w:rsidRPr="00660A69">
              <w:rPr>
                <w:rFonts w:ascii="Aptos" w:hAnsi="Aptos"/>
                <w:sz w:val="22"/>
                <w:szCs w:val="22"/>
              </w:rPr>
              <w:t xml:space="preserve">Die Abfallverbringungsverordnung </w:t>
            </w:r>
            <w:r w:rsidRPr="00660A69">
              <w:rPr>
                <w:rFonts w:ascii="Aptos" w:hAnsi="Aptos"/>
                <w:b/>
                <w:bCs/>
                <w:color w:val="333333"/>
                <w:sz w:val="22"/>
                <w:szCs w:val="22"/>
                <w:shd w:val="clear" w:color="auto" w:fill="FFFFFF"/>
              </w:rPr>
              <w:t xml:space="preserve">1013/2006 </w:t>
            </w:r>
            <w:r w:rsidRPr="00660A69">
              <w:rPr>
                <w:rFonts w:ascii="Aptos" w:hAnsi="Aptos"/>
                <w:sz w:val="22"/>
                <w:szCs w:val="22"/>
              </w:rPr>
              <w:t>regelt die Verfahren und Kontrollregelungen für die Verbringung von Abfällen, die von dem Ursprung, der Bestimmung, dem Transportweg, der Art der verbrachten Abfälle und der Behandlung der verbrachten Abfälle am Bestimmungsort abhängen. Ungeachtet der Bestimmungen wurden Abfälle aus der Europäischen Union häufig in Drittländer exportiert, deren Qualitätsbestimmungen nicht jenen der EU entsprechen. Mit den im Februar 2024 beschlossenen strengeren Regeln zur Abfallverbringung setzt die EU nun einen Schritt für eine umweltgerechte Verbringung von Abfällen in Drittländer.</w:t>
            </w:r>
          </w:p>
          <w:p w14:paraId="48734D85" w14:textId="77777777" w:rsidR="00623AF8" w:rsidRPr="00660A69" w:rsidRDefault="00623AF8" w:rsidP="00875DD0">
            <w:pPr>
              <w:jc w:val="both"/>
              <w:rPr>
                <w:rFonts w:ascii="Aptos" w:hAnsi="Aptos"/>
                <w:b/>
                <w:bCs/>
                <w:sz w:val="22"/>
                <w:szCs w:val="22"/>
              </w:rPr>
            </w:pPr>
            <w:r w:rsidRPr="00660A69">
              <w:rPr>
                <w:rFonts w:ascii="Aptos" w:hAnsi="Aptos"/>
                <w:b/>
                <w:bCs/>
                <w:sz w:val="22"/>
                <w:szCs w:val="22"/>
              </w:rPr>
              <w:t xml:space="preserve">Wie können Sie sicherstellen, dass jene strengeren Entsorgungspraktiken umgesetzt werden und Umgehungsstrukturen der Abfallverbringung durch Exporte in Drittländer Einhalt geboten wird? </w:t>
            </w:r>
            <w:bookmarkEnd w:id="5"/>
          </w:p>
        </w:tc>
      </w:tr>
      <w:tr w:rsidR="00623AF8" w:rsidRPr="00660A69" w14:paraId="750115A9" w14:textId="77777777" w:rsidTr="00875DD0">
        <w:tc>
          <w:tcPr>
            <w:tcW w:w="9060" w:type="dxa"/>
            <w:shd w:val="clear" w:color="auto" w:fill="D9D9D9" w:themeFill="background1" w:themeFillShade="D9"/>
          </w:tcPr>
          <w:p w14:paraId="4B78D145"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7C9FD00E" w14:textId="77777777" w:rsidTr="00875DD0">
        <w:tc>
          <w:tcPr>
            <w:tcW w:w="9060" w:type="dxa"/>
          </w:tcPr>
          <w:p w14:paraId="45A8ED2E" w14:textId="77777777" w:rsidR="00623AF8" w:rsidRPr="00660A69" w:rsidRDefault="00623AF8" w:rsidP="00875DD0">
            <w:pPr>
              <w:spacing w:before="120" w:after="120"/>
              <w:jc w:val="both"/>
              <w:rPr>
                <w:rFonts w:ascii="Aptos" w:hAnsi="Aptos"/>
                <w:i/>
                <w:iCs/>
                <w:sz w:val="22"/>
                <w:szCs w:val="22"/>
                <w:u w:val="single"/>
              </w:rPr>
            </w:pPr>
            <w:r w:rsidRPr="00660A69">
              <w:rPr>
                <w:rFonts w:ascii="Aptos" w:hAnsi="Aptos"/>
                <w:i/>
                <w:iCs/>
                <w:sz w:val="22"/>
                <w:szCs w:val="22"/>
                <w:u w:val="single"/>
              </w:rPr>
              <w:t>-</w:t>
            </w:r>
          </w:p>
        </w:tc>
      </w:tr>
    </w:tbl>
    <w:p w14:paraId="19FD9AD4"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212004D2" w14:textId="77777777" w:rsidTr="00875DD0">
        <w:tc>
          <w:tcPr>
            <w:tcW w:w="9060" w:type="dxa"/>
            <w:shd w:val="clear" w:color="auto" w:fill="D9D9D9" w:themeFill="background1" w:themeFillShade="D9"/>
          </w:tcPr>
          <w:p w14:paraId="312986AA"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bookmarkStart w:id="6" w:name="_Hlk170299500"/>
            <w:r w:rsidRPr="00660A69">
              <w:rPr>
                <w:rFonts w:ascii="Aptos" w:eastAsia="Arial MT" w:hAnsi="Aptos" w:cs="Arial MT"/>
                <w:b/>
                <w:szCs w:val="22"/>
                <w:highlight w:val="lightGray"/>
                <w:lang w:val="en-GB"/>
              </w:rPr>
              <w:t>Hintergrund</w:t>
            </w:r>
          </w:p>
        </w:tc>
      </w:tr>
    </w:tbl>
    <w:bookmarkEnd w:id="6"/>
    <w:p w14:paraId="6465B6B1" w14:textId="77777777" w:rsidR="00623AF8" w:rsidRPr="00660A69" w:rsidRDefault="00623AF8" w:rsidP="00623AF8">
      <w:pPr>
        <w:jc w:val="both"/>
        <w:rPr>
          <w:rFonts w:ascii="Aptos" w:hAnsi="Aptos"/>
          <w:sz w:val="22"/>
          <w:szCs w:val="22"/>
        </w:rPr>
      </w:pPr>
      <w:r w:rsidRPr="00660A69">
        <w:rPr>
          <w:rFonts w:ascii="Aptos" w:hAnsi="Aptos"/>
          <w:sz w:val="22"/>
          <w:szCs w:val="22"/>
        </w:rPr>
        <w:t>In der EU fallen jedes Jahr rund 2,1 Milliarden Tonnen Abfall an. Neben dem Ziel, 60 Prozent der von den Kommunen gesammelten und behandelten Alltagsabfälle bis 2030 wiederzuverwenden oder zu recyceln, müssen EU-Mitgliedstaaten gemäß der Richtlinie über Abfalldeponien die Menge der auf Deponien verbrachten Siedlungsabfälle bis 2035 auf zehn Prozent oder weniger des gesamten Siedlungsabfallaufkommens reduzieren. Einen beträchtlichen Anteil ihrer Abfälle exportiert die EU in Länder außerhalb der europäischen Union – Im Jahr 2022 betrug dieser Anteil rund 32,1 Millionen Tonnen und damit etwa 16% der globalen Abfallverbringung. Der Großteil der in Drittstaaten verbrachten Abfälle (55 Prozent) besteht aus Eisenmetallabfällen (Eisen und Stahl), die hauptsächlich in die Türkei gehen. Weiters exportiert die EU auch viele Papierabfälle (15 Prozent), primär nach Indien.</w:t>
      </w:r>
    </w:p>
    <w:p w14:paraId="2D1E8C4D" w14:textId="77777777" w:rsidR="00623AF8" w:rsidRPr="00660A69" w:rsidRDefault="00623AF8" w:rsidP="00623AF8">
      <w:pPr>
        <w:jc w:val="both"/>
        <w:rPr>
          <w:rFonts w:ascii="Aptos" w:hAnsi="Aptos"/>
          <w:sz w:val="22"/>
          <w:szCs w:val="22"/>
        </w:rPr>
        <w:sectPr w:rsidR="00623AF8" w:rsidRPr="00660A69" w:rsidSect="00CB1AE7">
          <w:headerReference w:type="default" r:id="rId17"/>
          <w:footerReference w:type="default" r:id="rId18"/>
          <w:pgSz w:w="11906" w:h="16838"/>
          <w:pgMar w:top="1843" w:right="1418" w:bottom="1134" w:left="1418" w:header="709" w:footer="510" w:gutter="0"/>
          <w:cols w:space="708"/>
          <w:docGrid w:linePitch="360"/>
        </w:sectPr>
      </w:pPr>
      <w:r w:rsidRPr="00660A69">
        <w:rPr>
          <w:rFonts w:ascii="Aptos" w:hAnsi="Aptos"/>
          <w:sz w:val="22"/>
          <w:szCs w:val="22"/>
        </w:rPr>
        <w:t>Um gegen illegale Ausfuhren vorzugehen und sicherzustellen, dass die Abfälle in den Bestimmungsländern umweltgerecht entsorgt werden, wurden erst im Februar 2024 strengere Regeln für die Verbringung von Abfällen in Drittländer vom EU-Parlament gebilligt, deren Regeln die Ausfuhr von Kunststoffabfällen in Nicht-OECD-Länder verbieten und strengere Bedingungen für die Ausfuhr in OECD-Länder einführen. Die Verbringung von Abfällen in einen anderen EU-Mitgliedstaat wird nur in Ausnahmefällen möglich sein.</w:t>
      </w:r>
    </w:p>
    <w:p w14:paraId="07F94450"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00BE587B"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215508A1"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7" w:name="_Toc170983623"/>
      <w:r w:rsidRPr="00660A69">
        <w:rPr>
          <w:rFonts w:ascii="Aptos" w:eastAsiaTheme="majorEastAsia" w:hAnsi="Aptos" w:cstheme="majorBidi"/>
          <w:b/>
          <w:color w:val="E4342D"/>
          <w:sz w:val="22"/>
          <w:szCs w:val="22"/>
        </w:rPr>
        <w:t>Abwanderung der Industrie</w:t>
      </w:r>
      <w:bookmarkEnd w:id="7"/>
    </w:p>
    <w:p w14:paraId="5638C6D4"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7309B323" w14:textId="77777777" w:rsidTr="00875DD0">
        <w:tc>
          <w:tcPr>
            <w:tcW w:w="9060" w:type="dxa"/>
            <w:shd w:val="clear" w:color="auto" w:fill="D9D9D9" w:themeFill="background1" w:themeFillShade="D9"/>
          </w:tcPr>
          <w:p w14:paraId="5B309D26"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2D256D00" w14:textId="77777777" w:rsidTr="00875DD0">
        <w:tc>
          <w:tcPr>
            <w:tcW w:w="9060" w:type="dxa"/>
          </w:tcPr>
          <w:p w14:paraId="562A3AFA" w14:textId="77777777" w:rsidR="00623AF8" w:rsidRPr="00660A69" w:rsidRDefault="00623AF8" w:rsidP="00875DD0">
            <w:pPr>
              <w:spacing w:before="120" w:after="120"/>
              <w:jc w:val="both"/>
              <w:rPr>
                <w:rFonts w:ascii="Aptos" w:hAnsi="Aptos"/>
                <w:sz w:val="22"/>
                <w:szCs w:val="22"/>
              </w:rPr>
            </w:pPr>
            <w:r w:rsidRPr="00660A69">
              <w:rPr>
                <w:rFonts w:ascii="Aptos" w:hAnsi="Aptos"/>
                <w:sz w:val="22"/>
                <w:szCs w:val="22"/>
              </w:rPr>
              <w:t xml:space="preserve">Die Weltwirtschaft steht am Beginn einer fundamentalen grünen Wende hin zu klimafreundlichen Technologien. Im Sommer 2022 haben die USA mit dem Inflation Reduction Act (IRA) für die kommenden zehn Jahre ein Maßnahmenpaket zur Unterstützung grüner und klimafreundlicher Industrien verabschiedet, unter der Prämisse, dass dazugehörige Produkte in den USA hergestellt werden. Im internationalen Wettbewerb spricht viel dafür, dass es ein Verlustgeschäft für Industrielle sein könnte, noch länger in Europa zu bleiben. </w:t>
            </w:r>
            <w:r w:rsidRPr="00660A69">
              <w:rPr>
                <w:rFonts w:ascii="Aptos" w:hAnsi="Aptos"/>
                <w:b/>
                <w:bCs/>
                <w:sz w:val="22"/>
                <w:szCs w:val="22"/>
              </w:rPr>
              <w:t>Welche Maßnahmen gedenken Sie zu unternehmen, um Rahmenbedingungen für eine Re- statt Deindustrialisierung zu schaffen und eine Abwanderung der Industrie zu vermeiden?</w:t>
            </w:r>
            <w:r w:rsidRPr="00660A69">
              <w:rPr>
                <w:rFonts w:ascii="Aptos" w:hAnsi="Aptos"/>
                <w:sz w:val="22"/>
                <w:szCs w:val="22"/>
              </w:rPr>
              <w:t xml:space="preserve"> </w:t>
            </w:r>
          </w:p>
        </w:tc>
      </w:tr>
      <w:tr w:rsidR="00623AF8" w:rsidRPr="00660A69" w14:paraId="3D11DD7A" w14:textId="77777777" w:rsidTr="00875DD0">
        <w:tc>
          <w:tcPr>
            <w:tcW w:w="9060" w:type="dxa"/>
            <w:shd w:val="clear" w:color="auto" w:fill="D9D9D9" w:themeFill="background1" w:themeFillShade="D9"/>
          </w:tcPr>
          <w:p w14:paraId="0FD36D39"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Nachfrage</w:t>
            </w:r>
          </w:p>
        </w:tc>
      </w:tr>
      <w:tr w:rsidR="00623AF8" w:rsidRPr="00660A69" w14:paraId="1ADFF298" w14:textId="77777777" w:rsidTr="00875DD0">
        <w:tc>
          <w:tcPr>
            <w:tcW w:w="9060" w:type="dxa"/>
          </w:tcPr>
          <w:p w14:paraId="716A6CE1" w14:textId="77777777" w:rsidR="00623AF8" w:rsidRPr="00660A69" w:rsidRDefault="00623AF8" w:rsidP="00875DD0">
            <w:pPr>
              <w:spacing w:before="120" w:after="120"/>
              <w:jc w:val="both"/>
              <w:rPr>
                <w:rFonts w:ascii="Aptos" w:hAnsi="Aptos"/>
                <w:i/>
                <w:iCs/>
                <w:sz w:val="22"/>
                <w:szCs w:val="22"/>
                <w:u w:val="single"/>
              </w:rPr>
            </w:pPr>
            <w:r w:rsidRPr="00660A69">
              <w:rPr>
                <w:rFonts w:ascii="Aptos" w:hAnsi="Aptos"/>
                <w:i/>
                <w:iCs/>
                <w:sz w:val="22"/>
                <w:szCs w:val="22"/>
                <w:u w:val="single"/>
              </w:rPr>
              <w:t>-</w:t>
            </w:r>
          </w:p>
        </w:tc>
      </w:tr>
    </w:tbl>
    <w:p w14:paraId="1C6A78A1"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61AD0D8C" w14:textId="77777777" w:rsidTr="00875DD0">
        <w:tc>
          <w:tcPr>
            <w:tcW w:w="9060" w:type="dxa"/>
            <w:shd w:val="clear" w:color="auto" w:fill="D9D9D9" w:themeFill="background1" w:themeFillShade="D9"/>
          </w:tcPr>
          <w:p w14:paraId="3BA26FF0" w14:textId="77777777" w:rsidR="00623AF8" w:rsidRPr="00660A69" w:rsidRDefault="00623AF8" w:rsidP="00875DD0">
            <w:pPr>
              <w:widowControl w:val="0"/>
              <w:autoSpaceDE w:val="0"/>
              <w:autoSpaceDN w:val="0"/>
              <w:spacing w:line="258" w:lineRule="exact"/>
              <w:jc w:val="both"/>
              <w:rPr>
                <w:rFonts w:ascii="Aptos" w:eastAsia="Arial MT" w:hAnsi="Aptos" w:cs="Arial MT"/>
                <w:b/>
                <w:sz w:val="22"/>
                <w:szCs w:val="22"/>
                <w:highlight w:val="lightGray"/>
                <w:lang w:val="en-GB"/>
              </w:rPr>
            </w:pPr>
            <w:r w:rsidRPr="00660A69">
              <w:rPr>
                <w:rFonts w:ascii="Aptos" w:eastAsia="Arial MT" w:hAnsi="Aptos" w:cs="Arial MT"/>
                <w:b/>
                <w:sz w:val="22"/>
                <w:szCs w:val="22"/>
                <w:highlight w:val="lightGray"/>
                <w:lang w:val="en-GB"/>
              </w:rPr>
              <w:t>Hintergrund</w:t>
            </w:r>
          </w:p>
        </w:tc>
      </w:tr>
    </w:tbl>
    <w:p w14:paraId="46ED9903" w14:textId="77777777" w:rsidR="00623AF8" w:rsidRPr="00660A69" w:rsidRDefault="00623AF8" w:rsidP="00623AF8">
      <w:pPr>
        <w:jc w:val="both"/>
        <w:rPr>
          <w:rFonts w:ascii="Aptos" w:hAnsi="Aptos"/>
          <w:bCs/>
          <w:sz w:val="22"/>
          <w:szCs w:val="22"/>
        </w:rPr>
      </w:pPr>
      <w:r w:rsidRPr="00660A69">
        <w:rPr>
          <w:rFonts w:ascii="Aptos" w:hAnsi="Aptos"/>
          <w:bCs/>
          <w:sz w:val="22"/>
          <w:szCs w:val="22"/>
        </w:rPr>
        <w:t xml:space="preserve">Fehlende Fachkräfte, hohe Energiekosten und steigende regulatorische Anforderungen gefährden zunehmend den Standort Europa: Während strengere Anforderungen an Qualität und Nachhaltigkeit umgesetzt werden müssen, schmälern explodierende Kosten für Personal, Energie, Rohstoffe, Logistik und Nachhaltigkeitsberichterstattung die Profitabilität der europäischen Industrie und nähren damit die Gefahr einer beschleunigten Abwanderung ins Ausland. Staatlich subventionierte Unternehmen in China setzen europäische Konkurrenten unter Druck, während der US-Inflation Reduction Act (IRA) viele Unternehmen mit günstigeren Energiekosten anlockt und Indien als Produktions-, Entwicklungs- und Absatzmarkt immer mehr an Relevanz gewinnt. </w:t>
      </w:r>
    </w:p>
    <w:p w14:paraId="2413EA2C" w14:textId="77777777" w:rsidR="00623AF8" w:rsidRPr="00660A69" w:rsidRDefault="00623AF8" w:rsidP="00623AF8">
      <w:pPr>
        <w:jc w:val="both"/>
        <w:rPr>
          <w:rFonts w:ascii="Aptos" w:hAnsi="Aptos"/>
          <w:bCs/>
          <w:sz w:val="22"/>
          <w:szCs w:val="22"/>
        </w:rPr>
        <w:sectPr w:rsidR="00623AF8" w:rsidRPr="00660A69" w:rsidSect="00CB1AE7">
          <w:pgSz w:w="11906" w:h="16838"/>
          <w:pgMar w:top="1843" w:right="1418" w:bottom="1134" w:left="1418" w:header="709" w:footer="510" w:gutter="0"/>
          <w:cols w:space="708"/>
          <w:docGrid w:linePitch="360"/>
        </w:sectPr>
      </w:pPr>
      <w:r w:rsidRPr="00660A69">
        <w:rPr>
          <w:rFonts w:ascii="Aptos" w:hAnsi="Aptos"/>
          <w:bCs/>
          <w:sz w:val="22"/>
          <w:szCs w:val="22"/>
        </w:rPr>
        <w:t>Zwar hat die EU auf ihre Abhängigkeit von China und die Folgen des russischen Einmarschs in die Ukraine reagiert, indem sie ihre Industriepolitik neu ausgerichtet und staatliche Beihilfen ausgeweitet hat. Dennoch fehlt es an einem umfassenden Budget für gemeinsame Investitionen. Ohne stärkere Maßnahmen könnten europäische Industrien laut Wirtschaftsverbänden aussterben. Für den Verbleib wichtiger industrieller Wertschöpfungsteile müssen die Verfügbarkeit von Energie, Fachkräften und Rohstoffen zu vertretbaren Rahmenbedingungen deutlich verbessert werden, um die Zukunft und die globale Relevanz des Industriestandortes Europa abzusichern.</w:t>
      </w:r>
    </w:p>
    <w:p w14:paraId="2B0B6AE9"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701126B6"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5D070B8D"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8" w:name="_Toc170983624"/>
      <w:r w:rsidRPr="00660A69">
        <w:rPr>
          <w:rFonts w:ascii="Aptos" w:eastAsiaTheme="majorEastAsia" w:hAnsi="Aptos" w:cstheme="majorBidi"/>
          <w:b/>
          <w:color w:val="E4342D"/>
          <w:sz w:val="22"/>
          <w:szCs w:val="22"/>
        </w:rPr>
        <w:t>Umsetzung des Deponieverbotes</w:t>
      </w:r>
      <w:bookmarkEnd w:id="8"/>
    </w:p>
    <w:p w14:paraId="72530EBD"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2172DD69" w14:textId="77777777" w:rsidTr="00875DD0">
        <w:tc>
          <w:tcPr>
            <w:tcW w:w="9060" w:type="dxa"/>
            <w:shd w:val="clear" w:color="auto" w:fill="D9D9D9" w:themeFill="background1" w:themeFillShade="D9"/>
          </w:tcPr>
          <w:p w14:paraId="776965CA"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24A6CB42" w14:textId="77777777" w:rsidTr="00875DD0">
        <w:tc>
          <w:tcPr>
            <w:tcW w:w="9060" w:type="dxa"/>
          </w:tcPr>
          <w:p w14:paraId="4EA4D5B1" w14:textId="77777777" w:rsidR="00623AF8" w:rsidRPr="00660A69" w:rsidRDefault="00623AF8" w:rsidP="00875DD0">
            <w:pPr>
              <w:spacing w:before="120" w:after="120"/>
              <w:jc w:val="both"/>
              <w:rPr>
                <w:rFonts w:ascii="Aptos" w:hAnsi="Aptos"/>
                <w:sz w:val="22"/>
                <w:szCs w:val="22"/>
              </w:rPr>
            </w:pPr>
            <w:r w:rsidRPr="00660A69">
              <w:rPr>
                <w:rFonts w:ascii="Aptos" w:hAnsi="Aptos"/>
                <w:sz w:val="22"/>
                <w:szCs w:val="22"/>
              </w:rPr>
              <w:t xml:space="preserve">Als Teil des Pakets zur Kreislaufwirtschaft wurde 2018 die Deponierichtlinie aktualisiert und damit neue Höchstwerte für die auf Deponien abgelagerten Siedlungsabfälle festgelegt – Damit bleiben trotz der nötigen Förderung für Recycling in der Abfallhierarchie bis 2040 weiterhin Ausnahmeregelungen bestehen - Die langjährige Verzögerung bei der Umsetzung der Deponierichtlinie verdeutlicht die Herausforderungen einer Treibhausgassenkung in der Abfallwirtschaft und dessen Auswirkungen auf die Recycling- und Klimaziele. </w:t>
            </w:r>
            <w:r w:rsidRPr="00660A69">
              <w:rPr>
                <w:rFonts w:ascii="Aptos" w:hAnsi="Aptos"/>
                <w:b/>
                <w:bCs/>
                <w:sz w:val="22"/>
                <w:szCs w:val="22"/>
              </w:rPr>
              <w:t>Wie gedenken Sie, nach einer Verzögerung von mittlerweile 15 Jahren, das Deponierungsverbot effektiv und schnell umzusetzen, um die Recyclingbemühungen zu unterstützen und die gesetzten Klimaziele zu erreichen?</w:t>
            </w:r>
          </w:p>
        </w:tc>
      </w:tr>
      <w:tr w:rsidR="00623AF8" w:rsidRPr="00660A69" w14:paraId="2E579D61" w14:textId="77777777" w:rsidTr="00875DD0">
        <w:tc>
          <w:tcPr>
            <w:tcW w:w="9060" w:type="dxa"/>
            <w:shd w:val="clear" w:color="auto" w:fill="D9D9D9" w:themeFill="background1" w:themeFillShade="D9"/>
          </w:tcPr>
          <w:p w14:paraId="2DD0624B"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397F0BE7" w14:textId="77777777" w:rsidTr="00875DD0">
        <w:tc>
          <w:tcPr>
            <w:tcW w:w="9060" w:type="dxa"/>
          </w:tcPr>
          <w:p w14:paraId="723D6CAD" w14:textId="77777777" w:rsidR="00623AF8" w:rsidRPr="00660A69" w:rsidRDefault="00623AF8" w:rsidP="00875DD0">
            <w:pPr>
              <w:spacing w:before="120" w:after="120"/>
              <w:jc w:val="both"/>
              <w:rPr>
                <w:rFonts w:ascii="Aptos" w:hAnsi="Aptos"/>
                <w:i/>
                <w:iCs/>
                <w:sz w:val="22"/>
                <w:szCs w:val="22"/>
                <w:u w:val="single"/>
              </w:rPr>
            </w:pPr>
            <w:r w:rsidRPr="00660A69">
              <w:rPr>
                <w:rFonts w:ascii="Aptos" w:hAnsi="Aptos"/>
                <w:i/>
                <w:iCs/>
                <w:sz w:val="22"/>
                <w:szCs w:val="22"/>
                <w:u w:val="single"/>
              </w:rPr>
              <w:t>-</w:t>
            </w:r>
          </w:p>
        </w:tc>
      </w:tr>
    </w:tbl>
    <w:p w14:paraId="59F87BDA"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190925C3" w14:textId="77777777" w:rsidTr="00875DD0">
        <w:tc>
          <w:tcPr>
            <w:tcW w:w="9060" w:type="dxa"/>
            <w:shd w:val="clear" w:color="auto" w:fill="D9D9D9" w:themeFill="background1" w:themeFillShade="D9"/>
          </w:tcPr>
          <w:p w14:paraId="2CB4395B" w14:textId="77777777" w:rsidR="00623AF8" w:rsidRPr="00660A69" w:rsidRDefault="00623AF8" w:rsidP="00875DD0">
            <w:pPr>
              <w:widowControl w:val="0"/>
              <w:autoSpaceDE w:val="0"/>
              <w:autoSpaceDN w:val="0"/>
              <w:spacing w:line="258" w:lineRule="exact"/>
              <w:jc w:val="both"/>
              <w:rPr>
                <w:rFonts w:ascii="Aptos" w:eastAsia="Arial MT" w:hAnsi="Aptos" w:cs="Arial MT"/>
                <w:b/>
                <w:sz w:val="22"/>
                <w:szCs w:val="22"/>
                <w:highlight w:val="lightGray"/>
                <w:lang w:val="en-GB"/>
              </w:rPr>
            </w:pPr>
            <w:r w:rsidRPr="00660A69">
              <w:rPr>
                <w:rFonts w:ascii="Aptos" w:eastAsia="Arial MT" w:hAnsi="Aptos" w:cs="Arial MT"/>
                <w:b/>
                <w:sz w:val="22"/>
                <w:szCs w:val="22"/>
                <w:highlight w:val="lightGray"/>
                <w:lang w:val="en-GB"/>
              </w:rPr>
              <w:t>Hintergrund</w:t>
            </w:r>
          </w:p>
        </w:tc>
      </w:tr>
    </w:tbl>
    <w:p w14:paraId="0EFA6B2E" w14:textId="77777777" w:rsidR="00623AF8" w:rsidRPr="00660A69" w:rsidRDefault="00623AF8" w:rsidP="00623AF8">
      <w:pPr>
        <w:spacing w:after="120"/>
        <w:jc w:val="both"/>
        <w:rPr>
          <w:rFonts w:ascii="Aptos" w:hAnsi="Aptos"/>
          <w:bCs/>
          <w:sz w:val="22"/>
          <w:szCs w:val="22"/>
        </w:rPr>
      </w:pPr>
      <w:r w:rsidRPr="00660A69">
        <w:rPr>
          <w:rFonts w:ascii="Aptos" w:hAnsi="Aptos"/>
          <w:bCs/>
          <w:sz w:val="22"/>
          <w:szCs w:val="22"/>
        </w:rPr>
        <w:t>In der 1999 beschlossenen Deponierichtlinie 1999/31/EG über Abfalldeponien sind neben der Verpflichtung, das Entstehen von Methangas in Deponien zu verhindern und damit die Erwärmung der Erdatmosphäre einzudämmen, eine effektive Gaskontrolle für Deponien zu gewährleisten und die die Ablagerung von organischem Abfall deutlich zu reduzieren, Hauptziele der Richtlinie.</w:t>
      </w:r>
    </w:p>
    <w:p w14:paraId="37EE862C" w14:textId="77777777" w:rsidR="00623AF8" w:rsidRPr="00660A69" w:rsidRDefault="00623AF8" w:rsidP="00623AF8">
      <w:pPr>
        <w:spacing w:after="120"/>
        <w:jc w:val="both"/>
        <w:rPr>
          <w:rFonts w:ascii="Aptos" w:hAnsi="Aptos"/>
          <w:bCs/>
          <w:sz w:val="22"/>
          <w:szCs w:val="22"/>
        </w:rPr>
      </w:pPr>
      <w:r w:rsidRPr="00660A69">
        <w:rPr>
          <w:rFonts w:ascii="Aptos" w:hAnsi="Aptos"/>
          <w:bCs/>
          <w:sz w:val="22"/>
          <w:szCs w:val="22"/>
        </w:rPr>
        <w:t>Für letzteres gibt die Richtlinie eine schrittweise Verringerung der zu deponierenden biologisch abbaubaren Siedlungsabfälle vor, deren Zielvorgaben im Jahr 2018 mit der EU-Richtlinie 2018/850 als Teil des Pakets zur Kreislaufwirtschaft aktualisiert und um eine weitere Zielvorgabe ergänzt wurde. (Artikel 5 Absatz 5). Wesentlicher Inhalt dieser Ergänzung ist, dass die maximale Deponierate ab dem Jahr 2035 nur noch 10 % betragen darf. Damit bleiben bis 2040 weiterhin Ausnahmereglungen bestehen, die nicht im Einklang mit der Erreichung der gesetzten europäischen Klimaziele stehen.</w:t>
      </w:r>
    </w:p>
    <w:p w14:paraId="549E243E" w14:textId="77777777" w:rsidR="00623AF8" w:rsidRPr="00660A69" w:rsidRDefault="00623AF8" w:rsidP="00623AF8">
      <w:pPr>
        <w:spacing w:after="120"/>
        <w:jc w:val="both"/>
        <w:rPr>
          <w:rFonts w:ascii="Aptos" w:hAnsi="Aptos"/>
          <w:sz w:val="22"/>
          <w:szCs w:val="22"/>
        </w:rPr>
        <w:sectPr w:rsidR="00623AF8" w:rsidRPr="00660A69" w:rsidSect="00CB1AE7">
          <w:pgSz w:w="11906" w:h="16838"/>
          <w:pgMar w:top="1843" w:right="1418" w:bottom="1134" w:left="1418" w:header="709" w:footer="510" w:gutter="0"/>
          <w:cols w:space="708"/>
          <w:docGrid w:linePitch="360"/>
        </w:sectPr>
      </w:pPr>
    </w:p>
    <w:p w14:paraId="51E14BB1"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4B21B817"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67A02EAF"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9" w:name="_Toc170983625"/>
      <w:r w:rsidRPr="00660A69">
        <w:rPr>
          <w:rFonts w:ascii="Aptos" w:eastAsiaTheme="majorEastAsia" w:hAnsi="Aptos" w:cstheme="majorBidi"/>
          <w:b/>
          <w:color w:val="E4342D"/>
          <w:sz w:val="22"/>
          <w:szCs w:val="22"/>
        </w:rPr>
        <w:t>Batteriepfand</w:t>
      </w:r>
      <w:bookmarkEnd w:id="9"/>
    </w:p>
    <w:p w14:paraId="072BD1BC"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7386DCF6" w14:textId="77777777" w:rsidTr="00875DD0">
        <w:tc>
          <w:tcPr>
            <w:tcW w:w="9060" w:type="dxa"/>
            <w:shd w:val="clear" w:color="auto" w:fill="D9D9D9" w:themeFill="background1" w:themeFillShade="D9"/>
          </w:tcPr>
          <w:p w14:paraId="3719CAD3"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4B1AC645" w14:textId="77777777" w:rsidTr="00875DD0">
        <w:tc>
          <w:tcPr>
            <w:tcW w:w="9060" w:type="dxa"/>
          </w:tcPr>
          <w:p w14:paraId="17D7C12E" w14:textId="77777777" w:rsidR="00623AF8" w:rsidRPr="00660A69" w:rsidRDefault="00623AF8" w:rsidP="00875DD0">
            <w:pPr>
              <w:jc w:val="both"/>
              <w:rPr>
                <w:rFonts w:ascii="Aptos" w:hAnsi="Aptos"/>
                <w:sz w:val="22"/>
                <w:szCs w:val="22"/>
              </w:rPr>
            </w:pPr>
            <w:r w:rsidRPr="00660A69">
              <w:rPr>
                <w:rFonts w:ascii="Aptos" w:hAnsi="Aptos"/>
                <w:sz w:val="22"/>
                <w:szCs w:val="22"/>
              </w:rPr>
              <w:t xml:space="preserve">Als Teil des Europäischen Green Deals umfasst die bereits im Februar 2024 in Kraft getretene Batterieverordnung den gesamten Lebenszyklus der Batterie, von der Herstellung bis zum Recycling. Im Schnitt befinden sich in Österreich in einer Tonne Restmüll derzeit etwa zwei Lithium-Batterien, jährlich summiert sich dies auf etwa drei Millionen Stück. Wegen ihrer hohen Energiedichte bergen Batterien ein großes Brandrisiko, das Ergebnis daraus sind massive Folgeschäden auf der gewerblichen und kommunalen Versorgerseite und exorbitante Summen, die von keiner Versicherung abgedeckt werden. </w:t>
            </w:r>
            <w:r w:rsidRPr="00660A69">
              <w:rPr>
                <w:rFonts w:ascii="Aptos" w:hAnsi="Aptos"/>
                <w:b/>
                <w:bCs/>
                <w:sz w:val="22"/>
                <w:szCs w:val="22"/>
              </w:rPr>
              <w:t xml:space="preserve">Wie gedenken Sie, mit Lithium-Ionen-Batterien und Akkus umzugehen und das Problem steigender Stückzahlen im Restmüll zu lösen? </w:t>
            </w:r>
          </w:p>
        </w:tc>
      </w:tr>
      <w:tr w:rsidR="00623AF8" w:rsidRPr="00660A69" w14:paraId="5B178EA2" w14:textId="77777777" w:rsidTr="00875DD0">
        <w:tc>
          <w:tcPr>
            <w:tcW w:w="9060" w:type="dxa"/>
            <w:shd w:val="clear" w:color="auto" w:fill="D9D9D9" w:themeFill="background1" w:themeFillShade="D9"/>
          </w:tcPr>
          <w:p w14:paraId="5D35269F"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55485B04" w14:textId="77777777" w:rsidTr="00875DD0">
        <w:tc>
          <w:tcPr>
            <w:tcW w:w="9060" w:type="dxa"/>
          </w:tcPr>
          <w:p w14:paraId="31C7B3C5" w14:textId="77777777" w:rsidR="00623AF8" w:rsidRPr="00660A69" w:rsidRDefault="00623AF8" w:rsidP="00F63BE8">
            <w:pPr>
              <w:numPr>
                <w:ilvl w:val="0"/>
                <w:numId w:val="2"/>
              </w:numPr>
              <w:spacing w:before="120" w:after="120"/>
              <w:contextualSpacing/>
              <w:jc w:val="both"/>
              <w:rPr>
                <w:rFonts w:ascii="Aptos" w:hAnsi="Aptos"/>
                <w:i/>
                <w:iCs/>
                <w:sz w:val="22"/>
                <w:szCs w:val="22"/>
                <w:u w:val="single"/>
              </w:rPr>
            </w:pPr>
            <w:r w:rsidRPr="00660A69">
              <w:rPr>
                <w:rFonts w:ascii="Aptos" w:hAnsi="Aptos"/>
                <w:sz w:val="22"/>
                <w:szCs w:val="22"/>
              </w:rPr>
              <w:t>Können Sie sich vorstellen, ein Pfandsystem zu etablieren oder sehen sie andere Lösungen, um Batterien fachgerecht zu sammeln und aus gemischten Abfällen zu entfernen?</w:t>
            </w:r>
          </w:p>
        </w:tc>
      </w:tr>
    </w:tbl>
    <w:p w14:paraId="53D8891C"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6300DCCF" w14:textId="77777777" w:rsidTr="00875DD0">
        <w:tc>
          <w:tcPr>
            <w:tcW w:w="9060" w:type="dxa"/>
            <w:shd w:val="clear" w:color="auto" w:fill="D9D9D9" w:themeFill="background1" w:themeFillShade="D9"/>
          </w:tcPr>
          <w:p w14:paraId="3510DD26"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3323E185" w14:textId="77777777" w:rsidR="00623AF8" w:rsidRPr="00660A69" w:rsidRDefault="00623AF8" w:rsidP="00623AF8">
      <w:pPr>
        <w:spacing w:after="120"/>
        <w:jc w:val="both"/>
        <w:rPr>
          <w:rFonts w:ascii="Aptos" w:hAnsi="Aptos"/>
          <w:sz w:val="22"/>
          <w:szCs w:val="22"/>
        </w:rPr>
      </w:pPr>
      <w:r w:rsidRPr="00660A69">
        <w:rPr>
          <w:rFonts w:ascii="Aptos" w:hAnsi="Aptos"/>
          <w:sz w:val="22"/>
          <w:szCs w:val="22"/>
        </w:rPr>
        <w:t xml:space="preserve">Über elektrische Einweg-Zigaretten oder kabellose Knopf-Kopfhörer landen Lithium-Ionen-Batterien immer häufiger im Restmüll. So finden sich pro Tonne Abfall zwei Batterien oder jährlich fast drei Millionen Stück allein in Österreich im Restmüll. Batterien im Restmüll bergen wegen ihrer hohen Energiedichte bereits bei kleinster Reibung ein großes Brandrisiko, gefährden Mitarbeiter und verursachen bei Entsorgungsbetrieben Schäden in Millionenhöhe, denn die Akkus können sich in Müllfahrzeugen, Sortier- oder Recyclinganlagen leicht entzünden. Die Batteriemenge im Restmüll hat sich allein in Österreich in den letzten sechs Jahren verdoppelt, ohne Gegenmaßnahmen wird eine weitere Verdoppelung auf sechs Millionen Stück erwartet. Ein wesentlicher Grund dafür ist die massive Zunahme von im Umlauf befindlichen Lithiumbatterien und der niedrigen gesetzlichen Sammelquote von 45 Prozent. In der seit Februar 2024 geltenden EU-Batterieverordnung, die </w:t>
      </w:r>
      <w:r w:rsidRPr="00660A69">
        <w:t>den gesamten Lebenszyklus der Batterie, von der Herstellung bis zum Recycling</w:t>
      </w:r>
      <w:r w:rsidRPr="00660A69">
        <w:rPr>
          <w:rFonts w:ascii="Aptos" w:hAnsi="Aptos"/>
          <w:sz w:val="22"/>
          <w:szCs w:val="22"/>
        </w:rPr>
        <w:t xml:space="preserve"> umfasst, ist derzeit kein Batteriepfand vorgesehen.</w:t>
      </w:r>
    </w:p>
    <w:p w14:paraId="028F6983" w14:textId="77777777" w:rsidR="00623AF8" w:rsidRPr="00660A69" w:rsidRDefault="00623AF8" w:rsidP="00623AF8">
      <w:pPr>
        <w:spacing w:after="120"/>
        <w:jc w:val="both"/>
        <w:rPr>
          <w:rFonts w:ascii="Aptos" w:hAnsi="Aptos"/>
          <w:b/>
          <w:iCs/>
          <w:sz w:val="22"/>
          <w:szCs w:val="22"/>
        </w:rPr>
      </w:pPr>
    </w:p>
    <w:p w14:paraId="52CF70EC" w14:textId="77777777" w:rsidR="00623AF8" w:rsidRPr="00660A69" w:rsidRDefault="00623AF8" w:rsidP="00623AF8">
      <w:pPr>
        <w:spacing w:after="120"/>
        <w:jc w:val="both"/>
        <w:rPr>
          <w:rFonts w:ascii="Aptos" w:hAnsi="Aptos"/>
          <w:b/>
          <w:iCs/>
          <w:sz w:val="22"/>
          <w:szCs w:val="22"/>
        </w:rPr>
      </w:pPr>
    </w:p>
    <w:p w14:paraId="7B2BFFA0" w14:textId="77777777" w:rsidR="00623AF8" w:rsidRPr="00660A69" w:rsidRDefault="00623AF8" w:rsidP="00623AF8">
      <w:pPr>
        <w:spacing w:after="120"/>
        <w:jc w:val="both"/>
        <w:rPr>
          <w:rFonts w:ascii="Aptos" w:hAnsi="Aptos"/>
          <w:b/>
          <w:iCs/>
          <w:sz w:val="22"/>
          <w:szCs w:val="22"/>
        </w:rPr>
      </w:pPr>
    </w:p>
    <w:p w14:paraId="61FA9190" w14:textId="77777777" w:rsidR="00623AF8" w:rsidRPr="00660A69" w:rsidRDefault="00623AF8" w:rsidP="00623AF8">
      <w:pPr>
        <w:spacing w:after="120"/>
        <w:jc w:val="both"/>
        <w:rPr>
          <w:rFonts w:ascii="Aptos" w:hAnsi="Aptos"/>
          <w:b/>
          <w:iCs/>
          <w:sz w:val="22"/>
          <w:szCs w:val="22"/>
        </w:rPr>
      </w:pPr>
    </w:p>
    <w:p w14:paraId="64AF25A4" w14:textId="77777777" w:rsidR="00623AF8" w:rsidRPr="00660A69" w:rsidRDefault="00623AF8" w:rsidP="00623AF8">
      <w:pPr>
        <w:spacing w:after="120"/>
        <w:jc w:val="both"/>
        <w:rPr>
          <w:rFonts w:ascii="Aptos" w:hAnsi="Aptos"/>
          <w:b/>
          <w:iCs/>
          <w:sz w:val="22"/>
          <w:szCs w:val="22"/>
        </w:rPr>
      </w:pPr>
    </w:p>
    <w:p w14:paraId="2E43E6BC" w14:textId="77777777" w:rsidR="00623AF8" w:rsidRPr="00660A69" w:rsidRDefault="00623AF8" w:rsidP="00623AF8">
      <w:pPr>
        <w:spacing w:after="120"/>
        <w:jc w:val="both"/>
        <w:rPr>
          <w:rFonts w:ascii="Aptos" w:hAnsi="Aptos"/>
          <w:b/>
          <w:iCs/>
          <w:sz w:val="22"/>
          <w:szCs w:val="22"/>
        </w:rPr>
      </w:pPr>
    </w:p>
    <w:p w14:paraId="7DF7922F" w14:textId="77777777" w:rsidR="00623AF8" w:rsidRPr="00660A69" w:rsidRDefault="00623AF8" w:rsidP="00623AF8">
      <w:pPr>
        <w:spacing w:after="120"/>
        <w:jc w:val="both"/>
        <w:rPr>
          <w:rFonts w:ascii="Aptos" w:hAnsi="Aptos"/>
          <w:b/>
          <w:iCs/>
          <w:sz w:val="22"/>
          <w:szCs w:val="22"/>
        </w:rPr>
      </w:pPr>
    </w:p>
    <w:p w14:paraId="1DB017C0" w14:textId="77777777" w:rsidR="00623AF8" w:rsidRPr="00660A69" w:rsidRDefault="00623AF8" w:rsidP="00623AF8">
      <w:pPr>
        <w:spacing w:after="120"/>
        <w:jc w:val="both"/>
        <w:rPr>
          <w:rFonts w:ascii="Aptos" w:hAnsi="Aptos"/>
          <w:b/>
          <w:iCs/>
          <w:sz w:val="22"/>
          <w:szCs w:val="22"/>
        </w:rPr>
      </w:pPr>
    </w:p>
    <w:p w14:paraId="078BF233" w14:textId="77777777" w:rsidR="00623AF8" w:rsidRPr="00660A69" w:rsidRDefault="00623AF8" w:rsidP="00623AF8">
      <w:pPr>
        <w:spacing w:after="120"/>
        <w:jc w:val="both"/>
        <w:rPr>
          <w:rFonts w:ascii="Aptos" w:hAnsi="Aptos"/>
          <w:b/>
          <w:iCs/>
          <w:sz w:val="22"/>
          <w:szCs w:val="22"/>
        </w:rPr>
      </w:pPr>
    </w:p>
    <w:p w14:paraId="1ED75304" w14:textId="77777777" w:rsidR="00623AF8" w:rsidRPr="00660A69" w:rsidRDefault="00623AF8" w:rsidP="00623AF8">
      <w:pPr>
        <w:spacing w:after="120"/>
        <w:jc w:val="both"/>
        <w:rPr>
          <w:rFonts w:ascii="Aptos" w:hAnsi="Aptos"/>
          <w:b/>
          <w:iCs/>
          <w:sz w:val="22"/>
          <w:szCs w:val="22"/>
        </w:rPr>
      </w:pPr>
    </w:p>
    <w:p w14:paraId="459874AE" w14:textId="77777777" w:rsidR="00623AF8" w:rsidRPr="00660A69" w:rsidRDefault="00623AF8" w:rsidP="00623AF8">
      <w:pPr>
        <w:spacing w:after="120"/>
        <w:jc w:val="both"/>
        <w:rPr>
          <w:rFonts w:ascii="Aptos" w:hAnsi="Aptos"/>
          <w:b/>
          <w:iCs/>
          <w:sz w:val="22"/>
          <w:szCs w:val="22"/>
        </w:rPr>
      </w:pPr>
    </w:p>
    <w:p w14:paraId="04C101D8"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10" w:name="_Toc170983626"/>
      <w:r w:rsidRPr="00660A69">
        <w:rPr>
          <w:rFonts w:ascii="Aptos" w:eastAsiaTheme="majorEastAsia" w:hAnsi="Aptos" w:cstheme="majorBidi"/>
          <w:b/>
          <w:color w:val="E4342D"/>
          <w:sz w:val="22"/>
          <w:szCs w:val="22"/>
        </w:rPr>
        <w:t>Rohstoffsicherheit</w:t>
      </w:r>
      <w:bookmarkEnd w:id="10"/>
      <w:r w:rsidRPr="00660A69">
        <w:rPr>
          <w:rFonts w:ascii="Aptos" w:eastAsiaTheme="majorEastAsia" w:hAnsi="Aptos" w:cstheme="majorBidi"/>
          <w:b/>
          <w:color w:val="E4342D"/>
          <w:sz w:val="22"/>
          <w:szCs w:val="22"/>
        </w:rPr>
        <w:t xml:space="preserve"> </w:t>
      </w:r>
    </w:p>
    <w:p w14:paraId="7B706BA5"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4F781FD7" w14:textId="77777777" w:rsidTr="00875DD0">
        <w:tc>
          <w:tcPr>
            <w:tcW w:w="9060" w:type="dxa"/>
            <w:shd w:val="clear" w:color="auto" w:fill="D9D9D9" w:themeFill="background1" w:themeFillShade="D9"/>
          </w:tcPr>
          <w:p w14:paraId="22DE9147"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63EA0FD0" w14:textId="77777777" w:rsidTr="00875DD0">
        <w:tc>
          <w:tcPr>
            <w:tcW w:w="9060" w:type="dxa"/>
          </w:tcPr>
          <w:p w14:paraId="4E6A6D25" w14:textId="77777777" w:rsidR="00623AF8" w:rsidRPr="00660A69" w:rsidRDefault="00623AF8" w:rsidP="00875DD0">
            <w:pPr>
              <w:spacing w:before="120" w:after="120"/>
              <w:jc w:val="both"/>
              <w:rPr>
                <w:rFonts w:ascii="Aptos" w:hAnsi="Aptos"/>
                <w:sz w:val="22"/>
                <w:szCs w:val="22"/>
              </w:rPr>
            </w:pPr>
            <w:r w:rsidRPr="00660A69">
              <w:rPr>
                <w:rFonts w:ascii="Aptos" w:hAnsi="Aptos"/>
                <w:bCs/>
                <w:sz w:val="22"/>
                <w:szCs w:val="22"/>
              </w:rPr>
              <w:t xml:space="preserve">In vielen industriellen Sektoren, etwa in der Bauindustrie, ist die Verwendung recyclingfähiger Materialen integraler Bestandteil der europäischen Klimastrategie. </w:t>
            </w:r>
            <w:r w:rsidRPr="00660A69">
              <w:rPr>
                <w:rFonts w:ascii="Aptos" w:hAnsi="Aptos"/>
                <w:b/>
                <w:bCs/>
                <w:sz w:val="22"/>
                <w:szCs w:val="22"/>
              </w:rPr>
              <w:t>Wie beabsichtigt die Kommission, die Verfügbarkeit von Recyclingbaustoffen sowie anderen wichtigen Rohstoffen wie Phosphor und anderen Materialien sicherzustellen, um den Bedarf verschiedener Sektoren im Rahmen der Dekarbonisierung und der Energiewende zu decken?</w:t>
            </w:r>
          </w:p>
        </w:tc>
      </w:tr>
      <w:tr w:rsidR="00623AF8" w:rsidRPr="00660A69" w14:paraId="755D25D1" w14:textId="77777777" w:rsidTr="00875DD0">
        <w:tc>
          <w:tcPr>
            <w:tcW w:w="9060" w:type="dxa"/>
            <w:shd w:val="clear" w:color="auto" w:fill="D9D9D9" w:themeFill="background1" w:themeFillShade="D9"/>
          </w:tcPr>
          <w:p w14:paraId="256D8391"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13B0BBFA" w14:textId="77777777" w:rsidTr="00875DD0">
        <w:tc>
          <w:tcPr>
            <w:tcW w:w="9060" w:type="dxa"/>
          </w:tcPr>
          <w:p w14:paraId="1180C275" w14:textId="77777777" w:rsidR="00623AF8" w:rsidRPr="00660A69" w:rsidRDefault="00623AF8" w:rsidP="00F63BE8">
            <w:pPr>
              <w:numPr>
                <w:ilvl w:val="0"/>
                <w:numId w:val="2"/>
              </w:numPr>
              <w:spacing w:before="120" w:after="120"/>
              <w:contextualSpacing/>
              <w:jc w:val="both"/>
              <w:rPr>
                <w:rFonts w:ascii="Aptos" w:hAnsi="Aptos"/>
                <w:sz w:val="22"/>
                <w:szCs w:val="22"/>
              </w:rPr>
            </w:pPr>
            <w:r w:rsidRPr="00660A69">
              <w:rPr>
                <w:rFonts w:ascii="Aptos" w:hAnsi="Aptos"/>
                <w:sz w:val="22"/>
                <w:szCs w:val="22"/>
              </w:rPr>
              <w:t>In Österreich ist dies durch die Recyclingbaustoffverordnung gut geregelt - Unklar ist jedoch, welche Stoffe als Anrechnung an die Recyclingquote gehen könnten. Gedenken Sie, Recyclingquoten für jene Baustoffe zu etablieren?</w:t>
            </w:r>
          </w:p>
        </w:tc>
      </w:tr>
    </w:tbl>
    <w:p w14:paraId="7E282582"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1086F1CD" w14:textId="77777777" w:rsidTr="00875DD0">
        <w:tc>
          <w:tcPr>
            <w:tcW w:w="9060" w:type="dxa"/>
            <w:shd w:val="clear" w:color="auto" w:fill="D9D9D9" w:themeFill="background1" w:themeFillShade="D9"/>
          </w:tcPr>
          <w:p w14:paraId="6533D533"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23F70B02" w14:textId="77777777" w:rsidR="00623AF8" w:rsidRPr="00660A69" w:rsidRDefault="00623AF8" w:rsidP="00623AF8">
      <w:pPr>
        <w:spacing w:after="120"/>
        <w:jc w:val="both"/>
        <w:rPr>
          <w:rFonts w:ascii="Aptos" w:hAnsi="Aptos"/>
          <w:sz w:val="22"/>
          <w:szCs w:val="22"/>
        </w:rPr>
      </w:pPr>
      <w:r w:rsidRPr="00660A69">
        <w:rPr>
          <w:rFonts w:ascii="Aptos" w:hAnsi="Aptos"/>
          <w:sz w:val="22"/>
          <w:szCs w:val="22"/>
        </w:rPr>
        <w:t>Die weltweit fortschreitende Urbanisierung führt zu einer anhaltend steigenden Nachfrage nach Flächen und Rohstoffen. Nicht nur Beton, auch Stahl, Glas, Holz und zahlreiche weitere Materialien sind regional so stark gefragt, dass die Nachfrage oft nicht zeitnah bedient werden kann. Die Bauindustrie ist weltweit einer der größten Verbraucher natürlicher Ressourcen und erheblicher Treibhausgasemittent. Die damit verbundenen Auswirkungen auf die Umwelt und das Klima sind vielfältig. Mit Blick auf eine nachhaltige Entwicklung steht die Baubranche daher vor einer großen Herausforderung, alternative Recyclingbaustoffe sind gefragt. Zementproduktion verursacht erhebliche CO2-Emissionen, und der Abbau von Sand und Kies gefährdet die Biodiversität. Nachhaltige Alternativen und ressourcenschonende Bauweisen sind nötig, um die Umweltbelastung zu reduzieren und die Klimaziele zu erreichen.</w:t>
      </w:r>
      <w:r w:rsidRPr="00660A69">
        <w:t xml:space="preserve"> So können beispielsweise </w:t>
      </w:r>
      <w:r w:rsidRPr="00660A69">
        <w:rPr>
          <w:rFonts w:ascii="Aptos" w:hAnsi="Aptos"/>
          <w:sz w:val="22"/>
          <w:szCs w:val="22"/>
        </w:rPr>
        <w:t xml:space="preserve">Materialien für die Wärmedämmung aus nachwachsenden Rohstoffen gewonnen werden. Dazu zählen Holzfasern, Zellulose aus Altpapier, Hanf, Flachs, Schafwolle, Stroh, Schilf und Seegras, die in ihrer Dämmleistung mit nicht nachwachsenden Dämmstoffen wie Polystyrol vergleichbar sind und ebenfalls die Brandschutzvorgaben erfüllen. </w:t>
      </w:r>
    </w:p>
    <w:p w14:paraId="576E14C8" w14:textId="77777777" w:rsidR="00623AF8" w:rsidRPr="00660A69" w:rsidRDefault="00623AF8" w:rsidP="00623AF8">
      <w:pPr>
        <w:spacing w:after="120"/>
        <w:jc w:val="both"/>
        <w:rPr>
          <w:rFonts w:ascii="Aptos" w:hAnsi="Aptos"/>
          <w:sz w:val="22"/>
          <w:szCs w:val="22"/>
        </w:rPr>
      </w:pPr>
    </w:p>
    <w:p w14:paraId="35201A51" w14:textId="77777777" w:rsidR="00623AF8" w:rsidRPr="00660A69" w:rsidRDefault="00623AF8" w:rsidP="00623AF8">
      <w:pPr>
        <w:spacing w:after="120"/>
        <w:jc w:val="both"/>
        <w:rPr>
          <w:rFonts w:ascii="Aptos" w:hAnsi="Aptos"/>
          <w:sz w:val="22"/>
          <w:szCs w:val="22"/>
        </w:rPr>
      </w:pPr>
    </w:p>
    <w:p w14:paraId="2B9E7137" w14:textId="77777777" w:rsidR="00623AF8" w:rsidRPr="00660A69" w:rsidRDefault="00623AF8" w:rsidP="00623AF8">
      <w:pPr>
        <w:spacing w:after="120"/>
        <w:jc w:val="both"/>
        <w:rPr>
          <w:rFonts w:ascii="Aptos" w:hAnsi="Aptos"/>
          <w:sz w:val="22"/>
          <w:szCs w:val="22"/>
        </w:rPr>
      </w:pPr>
    </w:p>
    <w:p w14:paraId="786A1202" w14:textId="77777777" w:rsidR="00623AF8" w:rsidRPr="00660A69" w:rsidRDefault="00623AF8" w:rsidP="00623AF8">
      <w:pPr>
        <w:spacing w:after="120"/>
        <w:jc w:val="both"/>
        <w:rPr>
          <w:rFonts w:ascii="Aptos" w:hAnsi="Aptos"/>
          <w:sz w:val="22"/>
          <w:szCs w:val="22"/>
        </w:rPr>
      </w:pPr>
    </w:p>
    <w:p w14:paraId="1841DE6D" w14:textId="77777777" w:rsidR="00623AF8" w:rsidRPr="00660A69" w:rsidRDefault="00623AF8" w:rsidP="00623AF8">
      <w:pPr>
        <w:spacing w:after="120"/>
        <w:jc w:val="both"/>
        <w:rPr>
          <w:rFonts w:ascii="Aptos" w:hAnsi="Aptos"/>
          <w:sz w:val="22"/>
          <w:szCs w:val="22"/>
        </w:rPr>
      </w:pPr>
    </w:p>
    <w:p w14:paraId="31FEAD47" w14:textId="77777777" w:rsidR="00623AF8" w:rsidRPr="00660A69" w:rsidRDefault="00623AF8" w:rsidP="00623AF8">
      <w:pPr>
        <w:spacing w:after="120"/>
        <w:jc w:val="both"/>
        <w:rPr>
          <w:rFonts w:ascii="Aptos" w:hAnsi="Aptos"/>
          <w:sz w:val="22"/>
          <w:szCs w:val="22"/>
        </w:rPr>
      </w:pPr>
    </w:p>
    <w:p w14:paraId="124A40AE" w14:textId="77777777" w:rsidR="00623AF8" w:rsidRPr="00660A69" w:rsidRDefault="00623AF8" w:rsidP="00623AF8">
      <w:pPr>
        <w:spacing w:after="120"/>
        <w:jc w:val="both"/>
        <w:rPr>
          <w:rFonts w:ascii="Aptos" w:hAnsi="Aptos"/>
          <w:sz w:val="22"/>
          <w:szCs w:val="22"/>
        </w:rPr>
      </w:pPr>
    </w:p>
    <w:p w14:paraId="45A01C6A" w14:textId="77777777" w:rsidR="00623AF8" w:rsidRPr="00660A69" w:rsidRDefault="00623AF8" w:rsidP="00623AF8">
      <w:pPr>
        <w:spacing w:after="120"/>
        <w:jc w:val="both"/>
        <w:rPr>
          <w:rFonts w:ascii="Aptos" w:hAnsi="Aptos"/>
          <w:sz w:val="22"/>
          <w:szCs w:val="22"/>
        </w:rPr>
      </w:pPr>
    </w:p>
    <w:p w14:paraId="2A6EFA1B" w14:textId="77777777" w:rsidR="00623AF8" w:rsidRPr="00660A69" w:rsidRDefault="00623AF8" w:rsidP="00623AF8">
      <w:pPr>
        <w:spacing w:after="120"/>
        <w:jc w:val="both"/>
        <w:rPr>
          <w:rFonts w:ascii="Aptos" w:hAnsi="Aptos"/>
          <w:sz w:val="22"/>
          <w:szCs w:val="22"/>
        </w:rPr>
      </w:pPr>
    </w:p>
    <w:p w14:paraId="7E7DB15A" w14:textId="77777777" w:rsidR="00623AF8" w:rsidRPr="00660A69" w:rsidRDefault="00623AF8" w:rsidP="00623AF8">
      <w:pPr>
        <w:spacing w:after="120"/>
        <w:jc w:val="both"/>
        <w:rPr>
          <w:rFonts w:ascii="Aptos" w:hAnsi="Aptos"/>
          <w:i/>
          <w:iCs/>
          <w:sz w:val="22"/>
          <w:szCs w:val="22"/>
          <w:u w:val="single"/>
        </w:rPr>
      </w:pPr>
    </w:p>
    <w:p w14:paraId="3709B7D7"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0ADE8D8C"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11" w:name="_Toc170983627"/>
      <w:r w:rsidRPr="00660A69">
        <w:rPr>
          <w:rFonts w:ascii="Aptos" w:eastAsiaTheme="majorEastAsia" w:hAnsi="Aptos" w:cstheme="majorBidi"/>
          <w:b/>
          <w:color w:val="E4342D"/>
          <w:sz w:val="22"/>
          <w:szCs w:val="22"/>
        </w:rPr>
        <w:t>Verbrennungsrückstände</w:t>
      </w:r>
      <w:bookmarkEnd w:id="11"/>
    </w:p>
    <w:p w14:paraId="16E8F08E"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087B8DF4" w14:textId="77777777" w:rsidTr="00875DD0">
        <w:tc>
          <w:tcPr>
            <w:tcW w:w="9060" w:type="dxa"/>
            <w:shd w:val="clear" w:color="auto" w:fill="D9D9D9" w:themeFill="background1" w:themeFillShade="D9"/>
          </w:tcPr>
          <w:p w14:paraId="01613003"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7A2CA942" w14:textId="77777777" w:rsidTr="00875DD0">
        <w:tc>
          <w:tcPr>
            <w:tcW w:w="9060" w:type="dxa"/>
          </w:tcPr>
          <w:p w14:paraId="0701793A" w14:textId="77777777" w:rsidR="00623AF8" w:rsidRPr="00660A69" w:rsidRDefault="00623AF8" w:rsidP="00875DD0">
            <w:pPr>
              <w:jc w:val="both"/>
              <w:rPr>
                <w:rFonts w:ascii="Aptos" w:hAnsi="Aptos"/>
                <w:sz w:val="22"/>
                <w:szCs w:val="22"/>
              </w:rPr>
            </w:pPr>
            <w:r w:rsidRPr="00660A69">
              <w:rPr>
                <w:rFonts w:ascii="Aptos" w:hAnsi="Aptos"/>
                <w:sz w:val="22"/>
                <w:szCs w:val="22"/>
              </w:rPr>
              <w:t>In der Abfallrahmenrichtlinie ist unter anderem festgelegt, dass Metalle, die im Anschluss an die Verbrennung von Siedlungsabfällen von den Verbrennungsrückständen getrennt wurden, für die Berechnung der Recyclingquote berücksichtigt werden können, wenn die Metalle bestimmte Qualitätskriterien erfüllen.</w:t>
            </w:r>
          </w:p>
          <w:p w14:paraId="5E944BCC" w14:textId="77777777" w:rsidR="00623AF8" w:rsidRPr="00660A69" w:rsidRDefault="00623AF8" w:rsidP="00875DD0">
            <w:pPr>
              <w:jc w:val="both"/>
              <w:rPr>
                <w:b/>
                <w:bCs/>
              </w:rPr>
            </w:pPr>
            <w:r w:rsidRPr="00660A69">
              <w:rPr>
                <w:rFonts w:ascii="Aptos" w:hAnsi="Aptos"/>
                <w:b/>
                <w:bCs/>
                <w:sz w:val="22"/>
                <w:szCs w:val="22"/>
              </w:rPr>
              <w:t>Gedenken Sie, dass neben den Metallen auch andere Wertstoffe (wie Glas, mineralische Bestandteile oder Salze), die aus Verbrennungsrückständen abgetrennt und einem Recycling zugeführt werden, für die Berechnung von Recyclingquoten berücksichtigt werden können?</w:t>
            </w:r>
          </w:p>
        </w:tc>
      </w:tr>
      <w:tr w:rsidR="00623AF8" w:rsidRPr="00660A69" w14:paraId="563A4E36" w14:textId="77777777" w:rsidTr="00875DD0">
        <w:tc>
          <w:tcPr>
            <w:tcW w:w="9060" w:type="dxa"/>
            <w:shd w:val="clear" w:color="auto" w:fill="D9D9D9" w:themeFill="background1" w:themeFillShade="D9"/>
          </w:tcPr>
          <w:p w14:paraId="1E6650E6"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Nachfrage</w:t>
            </w:r>
          </w:p>
        </w:tc>
      </w:tr>
      <w:tr w:rsidR="00623AF8" w:rsidRPr="00660A69" w14:paraId="0083B22B" w14:textId="77777777" w:rsidTr="00875DD0">
        <w:tc>
          <w:tcPr>
            <w:tcW w:w="9060" w:type="dxa"/>
          </w:tcPr>
          <w:p w14:paraId="15D75279" w14:textId="77777777" w:rsidR="00623AF8" w:rsidRPr="00660A69" w:rsidRDefault="00623AF8" w:rsidP="00875DD0">
            <w:pPr>
              <w:spacing w:before="120" w:after="120"/>
              <w:jc w:val="both"/>
              <w:rPr>
                <w:rFonts w:ascii="Aptos" w:hAnsi="Aptos"/>
                <w:i/>
                <w:iCs/>
                <w:sz w:val="22"/>
                <w:szCs w:val="22"/>
                <w:u w:val="single"/>
              </w:rPr>
            </w:pPr>
            <w:r w:rsidRPr="00660A69">
              <w:rPr>
                <w:rFonts w:ascii="Aptos" w:hAnsi="Aptos"/>
                <w:i/>
                <w:iCs/>
                <w:sz w:val="22"/>
                <w:szCs w:val="22"/>
                <w:u w:val="single"/>
              </w:rPr>
              <w:t>-</w:t>
            </w:r>
          </w:p>
        </w:tc>
      </w:tr>
    </w:tbl>
    <w:p w14:paraId="5756D6AA"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02516EEE" w14:textId="77777777" w:rsidTr="00875DD0">
        <w:tc>
          <w:tcPr>
            <w:tcW w:w="9060" w:type="dxa"/>
            <w:shd w:val="clear" w:color="auto" w:fill="D9D9D9" w:themeFill="background1" w:themeFillShade="D9"/>
          </w:tcPr>
          <w:p w14:paraId="397616B2"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09193FC9" w14:textId="77777777" w:rsidR="00623AF8" w:rsidRPr="00660A69" w:rsidRDefault="00623AF8" w:rsidP="00623AF8">
      <w:pPr>
        <w:spacing w:after="120"/>
        <w:jc w:val="both"/>
        <w:rPr>
          <w:rFonts w:ascii="Aptos" w:hAnsi="Aptos"/>
          <w:sz w:val="22"/>
          <w:szCs w:val="22"/>
        </w:rPr>
      </w:pPr>
      <w:r w:rsidRPr="00660A69">
        <w:rPr>
          <w:rFonts w:ascii="Aptos" w:hAnsi="Aptos"/>
          <w:sz w:val="22"/>
          <w:szCs w:val="22"/>
        </w:rPr>
        <w:t>Die Abfallrahmenrichtlinie 2018/851 legt unter Artikel 11a Absatz 6, den Bestimmungen für die Berechnung der Erreichung der Zielvorgaben, fest, dass bei der Berechnung, ob die Zielvorgaben für die Vorbereitung zur Wiederverwendung und das Recycling erreicht werden, die Mitgliedstaaten das Recycling von Metallen berücksichtigen können, die im Anschluss an die Verbrennung von Siedlungsabfällen von den Verbrennungsrückständen getrennt werden.</w:t>
      </w:r>
    </w:p>
    <w:p w14:paraId="28B0B2A7" w14:textId="77777777" w:rsidR="00623AF8" w:rsidRPr="00660A69" w:rsidRDefault="00623AF8" w:rsidP="00623AF8">
      <w:pPr>
        <w:spacing w:after="120"/>
        <w:jc w:val="both"/>
        <w:rPr>
          <w:rFonts w:ascii="Aptos" w:hAnsi="Aptos"/>
          <w:sz w:val="22"/>
          <w:szCs w:val="22"/>
        </w:rPr>
        <w:sectPr w:rsidR="00623AF8" w:rsidRPr="00660A69" w:rsidSect="0032427E">
          <w:pgSz w:w="11906" w:h="16838"/>
          <w:pgMar w:top="1843" w:right="1418" w:bottom="1134" w:left="1418" w:header="709" w:footer="510" w:gutter="0"/>
          <w:cols w:space="708"/>
          <w:docGrid w:linePitch="360"/>
        </w:sectPr>
      </w:pPr>
      <w:r w:rsidRPr="00660A69">
        <w:rPr>
          <w:rFonts w:ascii="Aptos" w:hAnsi="Aptos"/>
          <w:sz w:val="22"/>
          <w:szCs w:val="22"/>
        </w:rPr>
        <w:t>Im Juli 2023 veröffentlichte die EU-Kommission ihren neuen Vorschlag zur Überarbeitung der Abfallrahmenrichtlinie, die sich primär auf die Erweiterte Herstellerverantwortung zu Textilien und der Reduktion von Lebensmittelabfällen fokussiert. Eine Berücksichtigung anderer Wertstoffe wie etwa Glas, mineralische Bestandteile oder Salze zur Berechnung von Recyclingquoten ist hingegen derzeit jedoch nicht Gegenstand der Überarbeitung.</w:t>
      </w:r>
    </w:p>
    <w:p w14:paraId="1DC276B8" w14:textId="77777777" w:rsidR="00623AF8" w:rsidRPr="00660A69" w:rsidRDefault="00623AF8" w:rsidP="00623AF8">
      <w:pPr>
        <w:spacing w:after="120"/>
        <w:jc w:val="both"/>
        <w:rPr>
          <w:rFonts w:ascii="Aptos" w:hAnsi="Aptos"/>
          <w:b/>
          <w:iCs/>
          <w:sz w:val="22"/>
          <w:szCs w:val="22"/>
        </w:rPr>
      </w:pPr>
    </w:p>
    <w:p w14:paraId="48513511"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6E6DA28E"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12" w:name="_Toc170983628"/>
      <w:r w:rsidRPr="00660A69">
        <w:rPr>
          <w:rFonts w:ascii="Aptos" w:eastAsiaTheme="majorEastAsia" w:hAnsi="Aptos" w:cstheme="majorBidi"/>
          <w:b/>
          <w:color w:val="E4342D"/>
          <w:sz w:val="22"/>
          <w:szCs w:val="22"/>
        </w:rPr>
        <w:t>Recyclingtechnologien</w:t>
      </w:r>
      <w:bookmarkEnd w:id="12"/>
    </w:p>
    <w:p w14:paraId="7F020DC7"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45B8C5BE" w14:textId="77777777" w:rsidTr="00875DD0">
        <w:tc>
          <w:tcPr>
            <w:tcW w:w="9060" w:type="dxa"/>
            <w:shd w:val="clear" w:color="auto" w:fill="D9D9D9" w:themeFill="background1" w:themeFillShade="D9"/>
          </w:tcPr>
          <w:p w14:paraId="0CD79697"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3F6FF4FB" w14:textId="77777777" w:rsidTr="00875DD0">
        <w:tc>
          <w:tcPr>
            <w:tcW w:w="9060" w:type="dxa"/>
          </w:tcPr>
          <w:p w14:paraId="5C86EE47" w14:textId="77777777" w:rsidR="00623AF8" w:rsidRPr="00660A69" w:rsidRDefault="00623AF8" w:rsidP="00875DD0">
            <w:pPr>
              <w:jc w:val="both"/>
              <w:rPr>
                <w:rFonts w:ascii="Aptos" w:hAnsi="Aptos"/>
                <w:b/>
                <w:bCs/>
                <w:sz w:val="22"/>
                <w:szCs w:val="22"/>
              </w:rPr>
            </w:pPr>
            <w:r w:rsidRPr="00660A69">
              <w:rPr>
                <w:rFonts w:ascii="Aptos" w:hAnsi="Aptos"/>
                <w:sz w:val="22"/>
                <w:szCs w:val="22"/>
              </w:rPr>
              <w:t xml:space="preserve">Für bestimmte Stoffe und neue Materialien, wie etwa Karbon- und Glasfasern gibt es derzeit kein bestehendes Recyclingverfahren. Mit einem seit 2023 in Kraft getretenen Ablagerungsverbot und der Stilllegung von Verbrennungsanlagen für jene Materialien wurde als Ziel ausgegeben, in der Zwischenzeit Recyclingtechnologien für diesen Markt zu entwickeln. </w:t>
            </w:r>
            <w:r w:rsidRPr="00660A69">
              <w:rPr>
                <w:rFonts w:ascii="Aptos" w:hAnsi="Aptos"/>
                <w:b/>
                <w:bCs/>
                <w:sz w:val="22"/>
                <w:szCs w:val="22"/>
              </w:rPr>
              <w:t>Wie gedenken Sie, Recyclingtechnologien von neuen Materialien zu fördern und diese marktfähig zu machen, wenn diese noch nicht vorhanden sind?</w:t>
            </w:r>
          </w:p>
        </w:tc>
      </w:tr>
      <w:tr w:rsidR="00623AF8" w:rsidRPr="00660A69" w14:paraId="7C6AE319" w14:textId="77777777" w:rsidTr="00875DD0">
        <w:tc>
          <w:tcPr>
            <w:tcW w:w="9060" w:type="dxa"/>
            <w:shd w:val="clear" w:color="auto" w:fill="D9D9D9" w:themeFill="background1" w:themeFillShade="D9"/>
          </w:tcPr>
          <w:p w14:paraId="45161D32"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624F88BF" w14:textId="77777777" w:rsidTr="00875DD0">
        <w:tc>
          <w:tcPr>
            <w:tcW w:w="9060" w:type="dxa"/>
          </w:tcPr>
          <w:p w14:paraId="2B97316A" w14:textId="77777777" w:rsidR="00623AF8" w:rsidRPr="00660A69" w:rsidRDefault="00623AF8" w:rsidP="00F63BE8">
            <w:pPr>
              <w:numPr>
                <w:ilvl w:val="0"/>
                <w:numId w:val="2"/>
              </w:numPr>
              <w:spacing w:before="120" w:after="120"/>
              <w:contextualSpacing/>
              <w:jc w:val="both"/>
              <w:rPr>
                <w:rFonts w:ascii="Aptos" w:hAnsi="Aptos"/>
                <w:sz w:val="22"/>
                <w:szCs w:val="22"/>
              </w:rPr>
            </w:pPr>
            <w:r w:rsidRPr="00660A69">
              <w:rPr>
                <w:rFonts w:ascii="Aptos" w:hAnsi="Aptos"/>
                <w:sz w:val="22"/>
                <w:szCs w:val="22"/>
              </w:rPr>
              <w:t>Auch für bestehende Materialien fehlen wie etwa im Textilbereich fehlen großwirtschaftliche Technologien. Welche Umsetzungsstrategien zur Förderung benötigter Anlagen können sie sich vorstellen? (siehe Frage #9)</w:t>
            </w:r>
          </w:p>
        </w:tc>
      </w:tr>
    </w:tbl>
    <w:p w14:paraId="203DEE0A"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2B00F0B8" w14:textId="77777777" w:rsidTr="00875DD0">
        <w:tc>
          <w:tcPr>
            <w:tcW w:w="9060" w:type="dxa"/>
            <w:shd w:val="clear" w:color="auto" w:fill="D9D9D9" w:themeFill="background1" w:themeFillShade="D9"/>
          </w:tcPr>
          <w:p w14:paraId="02E1C9A2"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5E1F8468" w14:textId="77777777" w:rsidR="00623AF8" w:rsidRPr="00660A69" w:rsidRDefault="00623AF8" w:rsidP="00623AF8">
      <w:pPr>
        <w:jc w:val="both"/>
        <w:rPr>
          <w:rFonts w:ascii="Aptos" w:hAnsi="Aptos"/>
          <w:bCs/>
          <w:sz w:val="22"/>
          <w:szCs w:val="22"/>
          <w:u w:val="single"/>
        </w:rPr>
      </w:pPr>
    </w:p>
    <w:p w14:paraId="7A277826" w14:textId="77777777" w:rsidR="00623AF8" w:rsidRPr="00660A69" w:rsidRDefault="00623AF8" w:rsidP="00623AF8">
      <w:pPr>
        <w:jc w:val="both"/>
        <w:rPr>
          <w:rFonts w:ascii="Aptos" w:hAnsi="Aptos"/>
          <w:sz w:val="22"/>
          <w:szCs w:val="22"/>
        </w:rPr>
      </w:pPr>
      <w:r w:rsidRPr="00660A69">
        <w:rPr>
          <w:rFonts w:ascii="Aptos" w:hAnsi="Aptos"/>
          <w:sz w:val="22"/>
          <w:szCs w:val="22"/>
        </w:rPr>
        <w:t>Der stetige Anstieg (zwischen 2010 und 2017 um ca. 11,45 % jährlich, für 2022 wurde ein weltweiter Bedarf von 199.000 Tonnen geschätzt) der Carbonfaser-Produktion führt zwangsläufig auch zu einem Anstieg der Menge des zu verarbeitenden Carbonfaser-Abfalls: Eine Wiederverwertung von Carbonfasern ist von hoher wirtschaftlicher Bedeutung.</w:t>
      </w:r>
    </w:p>
    <w:p w14:paraId="573938FF" w14:textId="77777777" w:rsidR="00623AF8" w:rsidRPr="00660A69" w:rsidRDefault="00623AF8" w:rsidP="00623AF8">
      <w:pPr>
        <w:jc w:val="both"/>
        <w:rPr>
          <w:rFonts w:ascii="Aptos" w:hAnsi="Aptos"/>
          <w:sz w:val="22"/>
          <w:szCs w:val="22"/>
        </w:rPr>
      </w:pPr>
    </w:p>
    <w:p w14:paraId="494C7DC1" w14:textId="77777777" w:rsidR="00623AF8" w:rsidRPr="00660A69" w:rsidRDefault="00623AF8" w:rsidP="00623AF8">
      <w:pPr>
        <w:jc w:val="both"/>
        <w:rPr>
          <w:rFonts w:ascii="Aptos" w:hAnsi="Aptos"/>
          <w:sz w:val="22"/>
          <w:szCs w:val="22"/>
        </w:rPr>
      </w:pPr>
      <w:r w:rsidRPr="00660A69">
        <w:rPr>
          <w:rFonts w:ascii="Aptos" w:hAnsi="Aptos"/>
          <w:sz w:val="22"/>
          <w:szCs w:val="22"/>
        </w:rPr>
        <w:t>Carbonfaser wird aufgrund des Deponierungsverbots in Müllverbrennungsanlagen entsorgt. Die zu kurze Verweildauer für eine vollständige Verbrennung der Fasern führt zu Störungen in Gewebefilteranlagen und elektrostatischen Abscheidern. Außerdem verunreinigen mikroskopisch kleine Carbonfasern Aschen und Schlacken, die in Deutschland als krebserregend eingestuft werden - Eine Müllverbrennung von Carbonfasern ist rechtlich sowie verfahrenstechnisch allerdings sehr kompliziert bis unmöglich.</w:t>
      </w:r>
    </w:p>
    <w:p w14:paraId="16813D44" w14:textId="77777777" w:rsidR="00623AF8" w:rsidRPr="00660A69" w:rsidRDefault="00623AF8" w:rsidP="00623AF8">
      <w:pPr>
        <w:jc w:val="both"/>
        <w:rPr>
          <w:rFonts w:ascii="Aptos" w:hAnsi="Aptos"/>
          <w:sz w:val="22"/>
          <w:szCs w:val="22"/>
        </w:rPr>
      </w:pPr>
    </w:p>
    <w:p w14:paraId="77181F9C" w14:textId="77777777" w:rsidR="00623AF8" w:rsidRPr="00660A69" w:rsidRDefault="00623AF8" w:rsidP="00623AF8">
      <w:pPr>
        <w:jc w:val="both"/>
        <w:rPr>
          <w:rFonts w:ascii="Aptos" w:hAnsi="Aptos"/>
          <w:sz w:val="22"/>
          <w:szCs w:val="22"/>
        </w:rPr>
      </w:pPr>
      <w:r w:rsidRPr="00660A69">
        <w:rPr>
          <w:rFonts w:ascii="Aptos" w:hAnsi="Aptos"/>
          <w:sz w:val="22"/>
          <w:szCs w:val="22"/>
        </w:rPr>
        <w:t>Möglich ist jedoch ein Carbonfaser-Recycling durch thermochemische Verfahren: Beim Recycling der Fasern müssen diese von ihrer Kunststoffmatrix befreit werden. Hierzu hat sich die Pyrolyse als brauchbarstes Verfahren herausgestellt. Bei hohen Temperaturen unter Sauerstoffausschluss zerfällt die Kunststoffmatrix, hinterlässt jedoch Kohlenstoffablagerungen auf den Fasern. Im Stand der Technik existiert derzeit kein Verfahren, das eine Aufbereitung von Carbonfasern zu Qualitäten erlaubt, die mit denen neuwertiger Carbonfasern vergleichbar sind.</w:t>
      </w:r>
    </w:p>
    <w:p w14:paraId="73818F91" w14:textId="77777777" w:rsidR="00623AF8" w:rsidRPr="00660A69" w:rsidRDefault="00623AF8" w:rsidP="00623AF8">
      <w:pPr>
        <w:jc w:val="both"/>
        <w:rPr>
          <w:rFonts w:ascii="Aptos" w:hAnsi="Aptos"/>
          <w:sz w:val="22"/>
          <w:szCs w:val="22"/>
        </w:rPr>
      </w:pPr>
    </w:p>
    <w:p w14:paraId="4C6D9D18" w14:textId="77777777" w:rsidR="00623AF8" w:rsidRPr="00660A69" w:rsidRDefault="00623AF8" w:rsidP="00623AF8">
      <w:pPr>
        <w:jc w:val="both"/>
        <w:rPr>
          <w:rFonts w:ascii="Aptos" w:hAnsi="Aptos"/>
          <w:sz w:val="22"/>
          <w:szCs w:val="22"/>
        </w:rPr>
      </w:pPr>
    </w:p>
    <w:p w14:paraId="24307F75" w14:textId="77777777" w:rsidR="00623AF8" w:rsidRPr="00660A69" w:rsidRDefault="00623AF8" w:rsidP="00623AF8">
      <w:pPr>
        <w:jc w:val="both"/>
        <w:rPr>
          <w:rFonts w:ascii="Aptos" w:hAnsi="Aptos"/>
          <w:bCs/>
          <w:sz w:val="22"/>
          <w:szCs w:val="22"/>
          <w:u w:val="single"/>
        </w:rPr>
      </w:pPr>
      <w:r w:rsidRPr="00660A69">
        <w:rPr>
          <w:rFonts w:ascii="Aptos" w:hAnsi="Aptos"/>
          <w:sz w:val="22"/>
          <w:szCs w:val="22"/>
        </w:rPr>
        <w:t>Ähnliches gilt für Glasfasern, deren Bedarf für 2025 in Europa auf etwa 1.594.000 t geschätzt wird.</w:t>
      </w:r>
    </w:p>
    <w:p w14:paraId="739667E5"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p>
    <w:p w14:paraId="6C1CA577" w14:textId="77777777" w:rsidR="00623AF8" w:rsidRPr="00660A69" w:rsidRDefault="00623AF8" w:rsidP="00623AF8"/>
    <w:p w14:paraId="2204A804" w14:textId="77777777" w:rsidR="00623AF8" w:rsidRPr="00660A69" w:rsidRDefault="00623AF8" w:rsidP="00623AF8"/>
    <w:p w14:paraId="3FA7B8B6"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2065E91F"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13" w:name="_Toc170983629"/>
      <w:r w:rsidRPr="00660A69">
        <w:rPr>
          <w:rFonts w:ascii="Aptos" w:eastAsiaTheme="majorEastAsia" w:hAnsi="Aptos" w:cstheme="majorBidi"/>
          <w:b/>
          <w:color w:val="E4342D"/>
          <w:sz w:val="22"/>
          <w:szCs w:val="22"/>
        </w:rPr>
        <w:t>Sortierkapazitäten für Textilien</w:t>
      </w:r>
      <w:bookmarkEnd w:id="13"/>
    </w:p>
    <w:p w14:paraId="00AD1D49"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6FCB733C" w14:textId="77777777" w:rsidTr="00875DD0">
        <w:tc>
          <w:tcPr>
            <w:tcW w:w="9060" w:type="dxa"/>
            <w:shd w:val="clear" w:color="auto" w:fill="D9D9D9" w:themeFill="background1" w:themeFillShade="D9"/>
          </w:tcPr>
          <w:p w14:paraId="0C4936E4"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7E01EB9A" w14:textId="77777777" w:rsidTr="00875DD0">
        <w:tc>
          <w:tcPr>
            <w:tcW w:w="9060" w:type="dxa"/>
          </w:tcPr>
          <w:p w14:paraId="6B10C928" w14:textId="77777777" w:rsidR="00623AF8" w:rsidRPr="00660A69" w:rsidRDefault="00623AF8" w:rsidP="00875DD0">
            <w:pPr>
              <w:spacing w:before="120" w:after="120"/>
              <w:jc w:val="both"/>
              <w:rPr>
                <w:rFonts w:ascii="Aptos" w:hAnsi="Aptos"/>
                <w:sz w:val="22"/>
                <w:szCs w:val="22"/>
              </w:rPr>
            </w:pPr>
            <w:r w:rsidRPr="00660A69">
              <w:rPr>
                <w:rFonts w:ascii="Aptos" w:hAnsi="Aptos"/>
                <w:sz w:val="22"/>
                <w:szCs w:val="22"/>
              </w:rPr>
              <w:t xml:space="preserve">Der Textilsektor ist ein bedeutender Umweltfaktor entlang seiner gesamten Wertschöpfungskette und wird im Rahmen des europäischen Grünen Deals deshalb auch als einer der ressourcenintensivsten Sektoren betrachtet. Aufgrund des starken Verbrauchs und der verkürzten Nutzungsdauer steigt die Menge an Alttextilien, die jedes Jahr anfallen, rapide an. Deshalb wurde bereits in der Überarbeitung der EU-Abfallrahmenrichtlinie 2018 eine Getrenntsammlungspflicht ab dem 01.01. 2025 für Textilien festgelegt. Anders als bei Leichtverpackungen ist eine optische und sensorische Sortierung bei Textilien schwieriger und entsprechende Infrastruktur in Form von zentralen Sortieranlagen fehlt. </w:t>
            </w:r>
            <w:r w:rsidRPr="00660A69">
              <w:rPr>
                <w:rFonts w:ascii="Aptos" w:hAnsi="Aptos"/>
                <w:b/>
                <w:bCs/>
                <w:sz w:val="22"/>
                <w:szCs w:val="22"/>
                <w:lang w:val="de-DE"/>
              </w:rPr>
              <w:t>Welche Strategien verfolgen Sie, um Sortierbarkeit bei Textilien zu gewährleisten und Sortierkapazitäten für Alttextilien zu schaffen?</w:t>
            </w:r>
            <w:r w:rsidRPr="00660A69">
              <w:rPr>
                <w:rFonts w:ascii="Aptos" w:hAnsi="Aptos"/>
                <w:sz w:val="22"/>
                <w:szCs w:val="22"/>
                <w:lang w:val="de-DE"/>
              </w:rPr>
              <w:t xml:space="preserve"> </w:t>
            </w:r>
          </w:p>
        </w:tc>
      </w:tr>
      <w:tr w:rsidR="00623AF8" w:rsidRPr="00660A69" w14:paraId="02E0F6A4" w14:textId="77777777" w:rsidTr="00875DD0">
        <w:tc>
          <w:tcPr>
            <w:tcW w:w="9060" w:type="dxa"/>
            <w:shd w:val="clear" w:color="auto" w:fill="D9D9D9" w:themeFill="background1" w:themeFillShade="D9"/>
          </w:tcPr>
          <w:p w14:paraId="2AB87EB0"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Nachfrage</w:t>
            </w:r>
          </w:p>
        </w:tc>
      </w:tr>
      <w:tr w:rsidR="00623AF8" w:rsidRPr="00660A69" w14:paraId="603DD476" w14:textId="77777777" w:rsidTr="00875DD0">
        <w:tc>
          <w:tcPr>
            <w:tcW w:w="9060" w:type="dxa"/>
          </w:tcPr>
          <w:p w14:paraId="0B6296BF" w14:textId="77777777" w:rsidR="00623AF8" w:rsidRPr="00660A69" w:rsidRDefault="00623AF8" w:rsidP="00875DD0">
            <w:pPr>
              <w:spacing w:before="120" w:after="120"/>
              <w:jc w:val="both"/>
              <w:rPr>
                <w:rFonts w:ascii="Aptos" w:hAnsi="Aptos"/>
                <w:i/>
                <w:iCs/>
                <w:sz w:val="22"/>
                <w:szCs w:val="22"/>
                <w:u w:val="single"/>
              </w:rPr>
            </w:pPr>
            <w:r w:rsidRPr="00660A69">
              <w:rPr>
                <w:rFonts w:ascii="Aptos" w:hAnsi="Aptos"/>
                <w:sz w:val="22"/>
                <w:szCs w:val="22"/>
                <w:lang w:val="en-GB"/>
              </w:rPr>
              <w:t>-</w:t>
            </w:r>
          </w:p>
        </w:tc>
      </w:tr>
    </w:tbl>
    <w:p w14:paraId="3F0C90BE"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53AC1CE5" w14:textId="77777777" w:rsidTr="00875DD0">
        <w:tc>
          <w:tcPr>
            <w:tcW w:w="9060" w:type="dxa"/>
            <w:shd w:val="clear" w:color="auto" w:fill="D9D9D9" w:themeFill="background1" w:themeFillShade="D9"/>
          </w:tcPr>
          <w:p w14:paraId="6019AA6E"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0CDD5C5B" w14:textId="77777777" w:rsidR="00623AF8" w:rsidRPr="00660A69" w:rsidRDefault="00623AF8" w:rsidP="00623AF8">
      <w:pPr>
        <w:spacing w:after="120"/>
        <w:jc w:val="both"/>
        <w:rPr>
          <w:rFonts w:ascii="Aptos" w:hAnsi="Aptos"/>
          <w:sz w:val="22"/>
          <w:szCs w:val="22"/>
        </w:rPr>
      </w:pPr>
    </w:p>
    <w:p w14:paraId="232CB666" w14:textId="77777777" w:rsidR="00623AF8" w:rsidRPr="00660A69" w:rsidRDefault="00623AF8" w:rsidP="00623AF8">
      <w:pPr>
        <w:jc w:val="both"/>
        <w:rPr>
          <w:rFonts w:ascii="Aptos" w:hAnsi="Aptos"/>
          <w:sz w:val="22"/>
          <w:szCs w:val="22"/>
        </w:rPr>
      </w:pPr>
      <w:r w:rsidRPr="00660A69">
        <w:rPr>
          <w:rFonts w:ascii="Aptos" w:hAnsi="Aptos"/>
          <w:sz w:val="22"/>
          <w:szCs w:val="22"/>
        </w:rPr>
        <w:t>Der Textilsektor steht vor erheblichen Herausforderungen aufgrund unzureichender Sortierkapazitäten, die für ein effektives Abfallmanagement und Recycling entscheidend sind. Im Jahr 2020 erzeugte die EU etwa 6,95 Millionen Tonnen Textilabfälle, was ungefähr 16 kg pro Person entspricht. Davon wurden nur 4,4 kg pro Person getrennt für Wiederverwendung und Recycling gesammelt, während die restlichen 11,6 kg im gemischten Hausmüll landeten, oft zur Verbrennung oder Deponierung bestimmt. Das Fehlen einer angemessenen Sortierinfrastruktur untergräbt nicht nur die Recyclingbemühungen, sondern verschärft auch die Umweltverschmutzung und Probleme beim Abfallmanagement.</w:t>
      </w:r>
    </w:p>
    <w:p w14:paraId="055E2865" w14:textId="77777777" w:rsidR="00623AF8" w:rsidRPr="00660A69" w:rsidRDefault="00623AF8" w:rsidP="00623AF8">
      <w:pPr>
        <w:jc w:val="both"/>
        <w:rPr>
          <w:rFonts w:ascii="Aptos" w:hAnsi="Aptos"/>
          <w:sz w:val="22"/>
          <w:szCs w:val="22"/>
        </w:rPr>
      </w:pPr>
    </w:p>
    <w:p w14:paraId="08406D28" w14:textId="77777777" w:rsidR="00623AF8" w:rsidRPr="00660A69" w:rsidRDefault="00623AF8" w:rsidP="00623AF8">
      <w:pPr>
        <w:jc w:val="both"/>
        <w:rPr>
          <w:rFonts w:ascii="Aptos" w:hAnsi="Aptos"/>
          <w:sz w:val="22"/>
          <w:szCs w:val="22"/>
        </w:rPr>
      </w:pPr>
      <w:r w:rsidRPr="00660A69">
        <w:rPr>
          <w:rFonts w:ascii="Aptos" w:hAnsi="Aptos"/>
          <w:sz w:val="22"/>
          <w:szCs w:val="22"/>
        </w:rPr>
        <w:t>In mehr als der Hälfte der EU-27-Mitgliedstaaten ist die getrennte Sammlung von Textilien zwar Pflicht, aber der Schwerpunkt liegt hauptsächlich auf der Erfassung wiederverwendbarer Textilien und nicht auf dem Recycling. Ohne eine Ausweitung der Sortier- und Recyclingkapazitäten wird ein erheblicher Teil der gesammelten Textilabfälle weiterhin in Länder außerhalb der EU exportiert, wo die Umweltstandards möglicherweise niedriger sind. Dies birgt Risiken des Missmanagements und Umweltschäden in den Importländern.</w:t>
      </w:r>
    </w:p>
    <w:p w14:paraId="2AA84F6E" w14:textId="77777777" w:rsidR="00623AF8" w:rsidRPr="00660A69" w:rsidRDefault="00623AF8" w:rsidP="00623AF8">
      <w:pPr>
        <w:jc w:val="both"/>
        <w:rPr>
          <w:rFonts w:ascii="Aptos" w:hAnsi="Aptos"/>
          <w:sz w:val="22"/>
          <w:szCs w:val="22"/>
        </w:rPr>
      </w:pPr>
      <w:r w:rsidRPr="00660A69">
        <w:rPr>
          <w:rFonts w:ascii="Aptos" w:hAnsi="Aptos"/>
          <w:sz w:val="22"/>
          <w:szCs w:val="22"/>
        </w:rPr>
        <w:t>Darüber hinaus stehen die derzeitigen Sammelsysteme, die hauptsächlich auf Straßencontainer und kommunale Sammelstellen basieren, vor Herausforderungen wie Kontamination und Ineffizienz. Eine Verbesserung der Sortierkapazitäten innerhalb der EU würde sicherstellen, dass Textilien angemessen verarbeitet werden, die Abhängigkeit von Exporten verringern und die Kreislaufwirtschaft unterstützen. Die Harmonisierung von Definitionen und die obligatorische Berichterstattung über das Textilabfallmanagement sind wesentliche Schritte, um zukünftige Ziele zu setzen und Fortschritte zu überwachen, letztendlich zur Förderung einer nachhaltigen und ressourceneffizienten Textilindustrie in Europa.</w:t>
      </w:r>
    </w:p>
    <w:p w14:paraId="15FBF5C5" w14:textId="77777777" w:rsidR="00623AF8" w:rsidRPr="00660A69" w:rsidRDefault="00623AF8" w:rsidP="00623AF8">
      <w:pPr>
        <w:jc w:val="both"/>
        <w:rPr>
          <w:rFonts w:ascii="Aptos" w:hAnsi="Aptos"/>
          <w:bCs/>
          <w:sz w:val="22"/>
          <w:szCs w:val="22"/>
          <w:u w:val="single"/>
        </w:rPr>
        <w:sectPr w:rsidR="00623AF8" w:rsidRPr="00660A69" w:rsidSect="00CB1AE7">
          <w:pgSz w:w="11906" w:h="16838"/>
          <w:pgMar w:top="1843" w:right="1418" w:bottom="1134" w:left="1418" w:header="709" w:footer="510" w:gutter="0"/>
          <w:cols w:space="708"/>
          <w:docGrid w:linePitch="360"/>
        </w:sectPr>
      </w:pPr>
    </w:p>
    <w:p w14:paraId="7E1052FD"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534CBE9A"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14" w:name="_Toc170983630"/>
      <w:r w:rsidRPr="00660A69">
        <w:rPr>
          <w:rFonts w:ascii="Aptos" w:eastAsiaTheme="majorEastAsia" w:hAnsi="Aptos" w:cstheme="majorBidi"/>
          <w:b/>
          <w:color w:val="E4342D"/>
          <w:sz w:val="22"/>
          <w:szCs w:val="22"/>
        </w:rPr>
        <w:t>Klärschlamm</w:t>
      </w:r>
      <w:bookmarkEnd w:id="14"/>
    </w:p>
    <w:p w14:paraId="4238FC2D"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6F4CAE71" w14:textId="77777777" w:rsidTr="00875DD0">
        <w:tc>
          <w:tcPr>
            <w:tcW w:w="9060" w:type="dxa"/>
            <w:shd w:val="clear" w:color="auto" w:fill="D9D9D9" w:themeFill="background1" w:themeFillShade="D9"/>
          </w:tcPr>
          <w:p w14:paraId="1F2F2936"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677887AE" w14:textId="77777777" w:rsidTr="00875DD0">
        <w:tc>
          <w:tcPr>
            <w:tcW w:w="9060" w:type="dxa"/>
          </w:tcPr>
          <w:p w14:paraId="6BCD1D3C" w14:textId="77777777" w:rsidR="00623AF8" w:rsidRPr="00660A69" w:rsidRDefault="00623AF8" w:rsidP="00875DD0">
            <w:pPr>
              <w:spacing w:before="120"/>
              <w:jc w:val="both"/>
              <w:rPr>
                <w:rFonts w:ascii="Aptos" w:hAnsi="Aptos" w:cstheme="minorHAnsi"/>
                <w:sz w:val="22"/>
                <w:szCs w:val="22"/>
              </w:rPr>
            </w:pPr>
            <w:r w:rsidRPr="00660A69">
              <w:rPr>
                <w:rFonts w:ascii="Aptos" w:hAnsi="Aptos" w:cstheme="minorHAnsi"/>
                <w:sz w:val="22"/>
                <w:szCs w:val="22"/>
              </w:rPr>
              <w:t>Die derzeit gültige Klärschlamm-Richtlinie stammt aus dem Jahr 1986 und wurde seither nicht wesentlich aktualisiert, der Wissenstand über Schadstoffbelastungen im Klärschlamm und Herausforderungen im Zusammenhang mit Phosphorrückgewinnung hat sich jedoch in den letzten Jahrzehnten deutlich verändert. Klärschlamm wird mittlerweile insbesondere auch zur Energiegewinnung genutzt und in einigen Mitgliedstaaten gelten bereits höhere Grenzwerte für Schadstoffe in Böden.</w:t>
            </w:r>
          </w:p>
          <w:p w14:paraId="36E76E20" w14:textId="77777777" w:rsidR="00623AF8" w:rsidRPr="00660A69" w:rsidRDefault="00623AF8" w:rsidP="00875DD0">
            <w:pPr>
              <w:rPr>
                <w:b/>
                <w:bCs/>
              </w:rPr>
            </w:pPr>
            <w:r w:rsidRPr="00660A69">
              <w:rPr>
                <w:rFonts w:ascii="Aptos" w:hAnsi="Aptos" w:cstheme="minorHAnsi"/>
                <w:b/>
                <w:bCs/>
                <w:sz w:val="22"/>
                <w:szCs w:val="22"/>
              </w:rPr>
              <w:t>Sehen Sie nach der im letzten Jahr erfolgten Bewertung die Notwendigkeit zur Überarbeitung der Richtlinie, und wenn ja, welche Teilbereiche bedürfen primär einer Überarbeitung und welche Bereiche einer Erweiterung bzw. zusätzlichen Regulierung?</w:t>
            </w:r>
            <w:r w:rsidRPr="00660A69">
              <w:rPr>
                <w:rFonts w:ascii="Aptos" w:hAnsi="Aptos"/>
                <w:b/>
                <w:bCs/>
              </w:rPr>
              <w:t xml:space="preserve"> </w:t>
            </w:r>
          </w:p>
        </w:tc>
      </w:tr>
      <w:tr w:rsidR="00623AF8" w:rsidRPr="00660A69" w14:paraId="3679452C" w14:textId="77777777" w:rsidTr="00875DD0">
        <w:tc>
          <w:tcPr>
            <w:tcW w:w="9060" w:type="dxa"/>
            <w:shd w:val="clear" w:color="auto" w:fill="D9D9D9" w:themeFill="background1" w:themeFillShade="D9"/>
          </w:tcPr>
          <w:p w14:paraId="15FA180C"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Nachfrage(n)</w:t>
            </w:r>
          </w:p>
        </w:tc>
      </w:tr>
      <w:tr w:rsidR="00623AF8" w:rsidRPr="00660A69" w14:paraId="7124538A" w14:textId="77777777" w:rsidTr="00875DD0">
        <w:tc>
          <w:tcPr>
            <w:tcW w:w="9060" w:type="dxa"/>
          </w:tcPr>
          <w:p w14:paraId="655F8764" w14:textId="77777777" w:rsidR="00623AF8" w:rsidRPr="00660A69" w:rsidRDefault="00623AF8" w:rsidP="00F63BE8">
            <w:pPr>
              <w:numPr>
                <w:ilvl w:val="0"/>
                <w:numId w:val="2"/>
              </w:numPr>
              <w:spacing w:before="120" w:after="120"/>
              <w:contextualSpacing/>
              <w:jc w:val="both"/>
              <w:rPr>
                <w:rFonts w:ascii="Aptos" w:hAnsi="Aptos"/>
                <w:bCs/>
                <w:sz w:val="22"/>
                <w:szCs w:val="22"/>
              </w:rPr>
            </w:pPr>
            <w:r w:rsidRPr="00660A69">
              <w:rPr>
                <w:rFonts w:ascii="Aptos" w:hAnsi="Aptos"/>
                <w:bCs/>
                <w:sz w:val="22"/>
                <w:szCs w:val="22"/>
              </w:rPr>
              <w:t>Wie stellen Sie sich den zukünftigen Umgang mit der organischen Substanz und den wertvollen Nährstoffen insbesondere Phosphor, Kalium und Stickstoff im Klärschlamm vor?</w:t>
            </w:r>
          </w:p>
          <w:p w14:paraId="1CDA0270" w14:textId="77777777" w:rsidR="00623AF8" w:rsidRPr="00660A69" w:rsidRDefault="00623AF8" w:rsidP="00F63BE8">
            <w:pPr>
              <w:numPr>
                <w:ilvl w:val="0"/>
                <w:numId w:val="2"/>
              </w:numPr>
              <w:contextualSpacing/>
              <w:rPr>
                <w:rFonts w:ascii="Aptos" w:hAnsi="Aptos"/>
                <w:sz w:val="22"/>
                <w:szCs w:val="22"/>
              </w:rPr>
            </w:pPr>
            <w:r w:rsidRPr="00660A69">
              <w:rPr>
                <w:rFonts w:ascii="Aptos" w:hAnsi="Aptos"/>
                <w:sz w:val="22"/>
                <w:szCs w:val="22"/>
              </w:rPr>
              <w:t xml:space="preserve">Verfolgen Sie den Weg der Technologieoffenheit (Kompostierung, Hydrothermale Karbonisierung, Vergärung, Monoverbrennung etc) bei der weiteren Verwendung von Klärschlamm oder schränken Sie diese bewusst auf die Monoverbrennung ein? </w:t>
            </w:r>
          </w:p>
          <w:p w14:paraId="729C46DF" w14:textId="77777777" w:rsidR="00623AF8" w:rsidRPr="00660A69" w:rsidRDefault="00623AF8" w:rsidP="00F63BE8">
            <w:pPr>
              <w:numPr>
                <w:ilvl w:val="0"/>
                <w:numId w:val="2"/>
              </w:numPr>
              <w:contextualSpacing/>
              <w:rPr>
                <w:rFonts w:ascii="Aptos" w:hAnsi="Aptos"/>
                <w:sz w:val="22"/>
                <w:szCs w:val="22"/>
              </w:rPr>
            </w:pPr>
            <w:r w:rsidRPr="00660A69">
              <w:rPr>
                <w:rFonts w:ascii="Aptos" w:hAnsi="Aptos"/>
                <w:sz w:val="22"/>
                <w:szCs w:val="22"/>
              </w:rPr>
              <w:t>Welche Fördermittel stellen Sie den jeweiligen Betrieben zur Verfügung?</w:t>
            </w:r>
          </w:p>
          <w:p w14:paraId="7057BE16" w14:textId="77777777" w:rsidR="00623AF8" w:rsidRPr="00660A69" w:rsidRDefault="00623AF8" w:rsidP="00F63BE8">
            <w:pPr>
              <w:numPr>
                <w:ilvl w:val="0"/>
                <w:numId w:val="2"/>
              </w:numPr>
              <w:contextualSpacing/>
            </w:pPr>
            <w:r w:rsidRPr="00660A69">
              <w:rPr>
                <w:rFonts w:ascii="Aptos" w:hAnsi="Aptos"/>
                <w:bCs/>
                <w:sz w:val="22"/>
                <w:szCs w:val="22"/>
              </w:rPr>
              <w:t>Gibt es Überlegungen hinsichtlich einer Regulierung der direkten landwirtschaftlichen Ausbringung von Klärschlamm?</w:t>
            </w:r>
          </w:p>
        </w:tc>
      </w:tr>
    </w:tbl>
    <w:p w14:paraId="19A5D796"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2CF6D3FD" w14:textId="77777777" w:rsidTr="00875DD0">
        <w:tc>
          <w:tcPr>
            <w:tcW w:w="9060" w:type="dxa"/>
            <w:shd w:val="clear" w:color="auto" w:fill="D9D9D9" w:themeFill="background1" w:themeFillShade="D9"/>
          </w:tcPr>
          <w:p w14:paraId="0A4C521D"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142F6642" w14:textId="77777777" w:rsidR="00623AF8" w:rsidRPr="00660A69" w:rsidRDefault="00623AF8" w:rsidP="00623AF8">
      <w:pPr>
        <w:spacing w:after="120"/>
        <w:jc w:val="both"/>
        <w:rPr>
          <w:rFonts w:ascii="Aptos" w:hAnsi="Aptos"/>
          <w:sz w:val="22"/>
          <w:szCs w:val="22"/>
        </w:rPr>
      </w:pPr>
      <w:r w:rsidRPr="00660A69">
        <w:rPr>
          <w:rFonts w:ascii="Aptos" w:hAnsi="Aptos"/>
          <w:sz w:val="22"/>
          <w:szCs w:val="22"/>
        </w:rPr>
        <w:t>Die Kompostierung von Qualitätsklärschlamm leistet einen wesentlichen Beitrag zur Nährstoff- und Humusversorgung im Rahmen der EU-Kreislaufwirtschaft. Qualitätsklärschlammkompost liefert nicht nur wertvolle Pflanzennährstoffe wie Phosphor, Stickstoff, Kalium, Schwefel und Kalzium, sondern auch organische Substanz. Der Humuserhalt- und Aufbau spielt eine zentrale Rolle für die nachhaltige Resilienz fruchtbarer Böden. Mit der Kompostierung steht eine bewährte Verwertungsschiene für biogene Abfälle zur Verfügung, um diese in geschlossene Stoffkreisläufe zurückzuführen. Neben verfügbarem Phosphor bleiben so auch alle anderen wesentlichen Nährstoffe und die organische Substanz als Basis für den Humusaufbau, erhalten. Umso wichtiger ist es, der Kompostbranche in Europa ein nachhaltiges Wirtschaften zu ermöglichen und im Sinne der Abfallhierarchie die Kompostierung einer thermischen Verwertung von Klärschlamm jedenfalls vorzuziehen.</w:t>
      </w:r>
    </w:p>
    <w:p w14:paraId="7972A12E" w14:textId="77777777" w:rsidR="00623AF8" w:rsidRPr="00660A69" w:rsidRDefault="00623AF8" w:rsidP="00623AF8">
      <w:pPr>
        <w:spacing w:after="120"/>
        <w:jc w:val="both"/>
        <w:rPr>
          <w:rFonts w:ascii="Aptos" w:hAnsi="Aptos"/>
          <w:i/>
          <w:iCs/>
          <w:sz w:val="22"/>
          <w:szCs w:val="22"/>
          <w:u w:val="single"/>
        </w:rPr>
      </w:pPr>
    </w:p>
    <w:p w14:paraId="3D9E4C2F" w14:textId="77777777" w:rsidR="00623AF8" w:rsidRPr="00660A69" w:rsidRDefault="00623AF8" w:rsidP="00623AF8">
      <w:pPr>
        <w:spacing w:after="120"/>
        <w:jc w:val="both"/>
        <w:rPr>
          <w:rFonts w:ascii="Aptos" w:hAnsi="Aptos"/>
          <w:i/>
          <w:iCs/>
          <w:sz w:val="22"/>
          <w:szCs w:val="22"/>
          <w:u w:val="single"/>
        </w:rPr>
      </w:pPr>
    </w:p>
    <w:p w14:paraId="7CDD8541" w14:textId="77777777" w:rsidR="00623AF8" w:rsidRPr="00660A69" w:rsidRDefault="00623AF8" w:rsidP="00623AF8">
      <w:pPr>
        <w:spacing w:after="120"/>
        <w:jc w:val="both"/>
        <w:rPr>
          <w:rFonts w:ascii="Aptos" w:hAnsi="Aptos"/>
          <w:i/>
          <w:iCs/>
          <w:sz w:val="22"/>
          <w:szCs w:val="22"/>
          <w:u w:val="single"/>
        </w:rPr>
      </w:pPr>
    </w:p>
    <w:p w14:paraId="594E1B2D" w14:textId="77777777" w:rsidR="00623AF8" w:rsidRPr="00660A69" w:rsidRDefault="00623AF8" w:rsidP="00623AF8">
      <w:pPr>
        <w:spacing w:after="120"/>
        <w:jc w:val="both"/>
        <w:rPr>
          <w:rFonts w:ascii="Aptos" w:hAnsi="Aptos"/>
          <w:i/>
          <w:iCs/>
          <w:sz w:val="22"/>
          <w:szCs w:val="22"/>
          <w:u w:val="single"/>
        </w:rPr>
      </w:pPr>
    </w:p>
    <w:p w14:paraId="24758443" w14:textId="77777777" w:rsidR="00623AF8" w:rsidRPr="00660A69" w:rsidRDefault="00623AF8" w:rsidP="00623AF8">
      <w:pPr>
        <w:spacing w:after="120"/>
        <w:jc w:val="both"/>
        <w:rPr>
          <w:rFonts w:ascii="Aptos" w:hAnsi="Aptos"/>
          <w:i/>
          <w:iCs/>
          <w:sz w:val="22"/>
          <w:szCs w:val="22"/>
          <w:u w:val="single"/>
        </w:rPr>
      </w:pPr>
    </w:p>
    <w:p w14:paraId="4B5FBBEE" w14:textId="77777777" w:rsidR="00623AF8" w:rsidRPr="00660A69" w:rsidRDefault="00623AF8" w:rsidP="00623AF8">
      <w:pPr>
        <w:jc w:val="both"/>
        <w:rPr>
          <w:rFonts w:ascii="Aptos" w:hAnsi="Aptos"/>
          <w:bCs/>
          <w:sz w:val="22"/>
          <w:szCs w:val="22"/>
          <w:u w:val="single"/>
        </w:rPr>
      </w:pPr>
    </w:p>
    <w:p w14:paraId="32B97F24"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114F4E37"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15" w:name="_Toc170983631"/>
      <w:r w:rsidRPr="00660A69">
        <w:rPr>
          <w:rFonts w:ascii="Aptos" w:eastAsiaTheme="majorEastAsia" w:hAnsi="Aptos" w:cstheme="majorBidi"/>
          <w:b/>
          <w:color w:val="E4342D"/>
          <w:sz w:val="22"/>
          <w:szCs w:val="22"/>
        </w:rPr>
        <w:t>Biobasierte Düngemittel</w:t>
      </w:r>
      <w:bookmarkEnd w:id="15"/>
    </w:p>
    <w:p w14:paraId="2A78480F"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068457DE" w14:textId="77777777" w:rsidTr="00875DD0">
        <w:tc>
          <w:tcPr>
            <w:tcW w:w="9060" w:type="dxa"/>
            <w:shd w:val="clear" w:color="auto" w:fill="D9D9D9" w:themeFill="background1" w:themeFillShade="D9"/>
          </w:tcPr>
          <w:p w14:paraId="63712424"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076D732C" w14:textId="77777777" w:rsidTr="00875DD0">
        <w:tc>
          <w:tcPr>
            <w:tcW w:w="9060" w:type="dxa"/>
          </w:tcPr>
          <w:p w14:paraId="1E2B8A83" w14:textId="77777777" w:rsidR="00623AF8" w:rsidRPr="00660A69" w:rsidRDefault="00623AF8" w:rsidP="00875DD0">
            <w:pPr>
              <w:spacing w:before="120" w:after="120"/>
              <w:jc w:val="both"/>
              <w:rPr>
                <w:rFonts w:ascii="Aptos" w:hAnsi="Aptos"/>
                <w:sz w:val="22"/>
                <w:szCs w:val="22"/>
                <w:lang w:val="de-DE"/>
              </w:rPr>
            </w:pPr>
            <w:r w:rsidRPr="00660A69">
              <w:rPr>
                <w:rFonts w:ascii="Aptos" w:hAnsi="Aptos"/>
                <w:sz w:val="22"/>
                <w:szCs w:val="22"/>
                <w:lang w:val="de-DE"/>
              </w:rPr>
              <w:t xml:space="preserve">Derzeit werden in der Landwirtschaft nach wie vor primär konventionelle Düngemittel verwendet. </w:t>
            </w:r>
            <w:r w:rsidRPr="00660A69">
              <w:rPr>
                <w:rFonts w:ascii="Aptos" w:hAnsi="Aptos"/>
                <w:b/>
                <w:bCs/>
                <w:sz w:val="22"/>
                <w:szCs w:val="22"/>
                <w:lang w:val="de-DE"/>
              </w:rPr>
              <w:t xml:space="preserve">Wie gedenkt die Kommission für biobasierte Düngemittel resilienter in innereuropäischen Grenzen zu operieren und einen Markthochlauf schaffen? </w:t>
            </w:r>
          </w:p>
        </w:tc>
      </w:tr>
      <w:tr w:rsidR="00623AF8" w:rsidRPr="00660A69" w14:paraId="401013E8" w14:textId="77777777" w:rsidTr="00875DD0">
        <w:tc>
          <w:tcPr>
            <w:tcW w:w="9060" w:type="dxa"/>
            <w:shd w:val="clear" w:color="auto" w:fill="D9D9D9" w:themeFill="background1" w:themeFillShade="D9"/>
          </w:tcPr>
          <w:p w14:paraId="0CE81F93"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2AEC149C" w14:textId="77777777" w:rsidTr="00875DD0">
        <w:tc>
          <w:tcPr>
            <w:tcW w:w="9060" w:type="dxa"/>
          </w:tcPr>
          <w:p w14:paraId="43D88C63" w14:textId="77777777" w:rsidR="00623AF8" w:rsidRPr="00660A69" w:rsidRDefault="00623AF8" w:rsidP="00F63BE8">
            <w:pPr>
              <w:numPr>
                <w:ilvl w:val="0"/>
                <w:numId w:val="2"/>
              </w:numPr>
              <w:spacing w:before="120" w:after="120"/>
              <w:contextualSpacing/>
              <w:jc w:val="both"/>
              <w:rPr>
                <w:rFonts w:ascii="Aptos" w:hAnsi="Aptos"/>
                <w:bCs/>
                <w:sz w:val="22"/>
                <w:szCs w:val="22"/>
              </w:rPr>
            </w:pPr>
            <w:r w:rsidRPr="00660A69">
              <w:rPr>
                <w:rFonts w:ascii="Aptos" w:hAnsi="Aptos"/>
                <w:bCs/>
                <w:sz w:val="22"/>
                <w:szCs w:val="22"/>
              </w:rPr>
              <w:t>In der Praxis herrscht nach wie vor die Unklarheit, ob die Vergärung als stoffliche Verwertung gesehen wird. Ist es angedacht, dies durch eindeutige Benennung der Vergärung als stoffliche Verwertung in den angeführten Behandlungsmethoden im Anhang der Abfallrahmenrichtlinie eindeutig klarzustellen?</w:t>
            </w:r>
          </w:p>
          <w:p w14:paraId="658E9B63" w14:textId="77777777" w:rsidR="00623AF8" w:rsidRPr="00660A69" w:rsidRDefault="00623AF8" w:rsidP="00F63BE8">
            <w:pPr>
              <w:numPr>
                <w:ilvl w:val="0"/>
                <w:numId w:val="2"/>
              </w:numPr>
              <w:spacing w:before="120" w:after="120"/>
              <w:contextualSpacing/>
              <w:jc w:val="both"/>
              <w:rPr>
                <w:rFonts w:ascii="Aptos" w:hAnsi="Aptos"/>
                <w:i/>
                <w:iCs/>
                <w:sz w:val="22"/>
                <w:szCs w:val="22"/>
                <w:u w:val="single"/>
              </w:rPr>
            </w:pPr>
            <w:r w:rsidRPr="00660A69">
              <w:rPr>
                <w:rFonts w:ascii="Aptos" w:hAnsi="Aptos"/>
                <w:bCs/>
                <w:sz w:val="22"/>
                <w:szCs w:val="22"/>
              </w:rPr>
              <w:t>Fehlende Klarstellungen gestalten sich nach wie vor als Hindernis für einen Markthochlauf biobasierter Düngemittel, z.B. braucht es klare Regeln, ab wann organische Abfälle, die einer stofflichen Verwertung durch Vergärung, Hydrothermale Karbonisierung oder Kompostierung unterzogen werden, ihre Abfalleigenschaft verlieren. Ist es vorgesehen, dies sowohl in der EU-Abfallrahmenrichtlinie, Düngemittel-VO als auch als Vorgabe für die nationalen Düngemittelgesetze in den Mitgliedsstaaten zu konkretisieren?</w:t>
            </w:r>
          </w:p>
        </w:tc>
      </w:tr>
    </w:tbl>
    <w:p w14:paraId="3DDF70E0"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776350A0" w14:textId="77777777" w:rsidTr="00875DD0">
        <w:tc>
          <w:tcPr>
            <w:tcW w:w="9060" w:type="dxa"/>
            <w:shd w:val="clear" w:color="auto" w:fill="D9D9D9" w:themeFill="background1" w:themeFillShade="D9"/>
          </w:tcPr>
          <w:p w14:paraId="3FFA10CD"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38190742" w14:textId="77777777" w:rsidR="00623AF8" w:rsidRPr="00660A69" w:rsidRDefault="00623AF8" w:rsidP="00623AF8">
      <w:pPr>
        <w:jc w:val="both"/>
        <w:rPr>
          <w:rFonts w:ascii="Aptos" w:hAnsi="Aptos"/>
          <w:sz w:val="22"/>
          <w:szCs w:val="22"/>
        </w:rPr>
      </w:pPr>
      <w:r w:rsidRPr="00660A69">
        <w:rPr>
          <w:rFonts w:ascii="Aptos" w:hAnsi="Aptos"/>
          <w:sz w:val="22"/>
          <w:szCs w:val="22"/>
        </w:rPr>
        <w:t>Die Verwertung biogener Abfälle stellt einen essenziellen Bestandteil für eine effiziente</w:t>
      </w:r>
    </w:p>
    <w:p w14:paraId="33382FA4" w14:textId="77777777" w:rsidR="00623AF8" w:rsidRPr="00660A69" w:rsidRDefault="00623AF8" w:rsidP="00623AF8">
      <w:pPr>
        <w:jc w:val="both"/>
        <w:rPr>
          <w:rFonts w:ascii="Aptos" w:hAnsi="Aptos"/>
          <w:sz w:val="22"/>
          <w:szCs w:val="22"/>
        </w:rPr>
      </w:pPr>
      <w:r w:rsidRPr="00660A69">
        <w:rPr>
          <w:rFonts w:ascii="Aptos" w:hAnsi="Aptos"/>
          <w:sz w:val="22"/>
          <w:szCs w:val="22"/>
        </w:rPr>
        <w:t>Kreislaufwirtschaft dar: Mit der Kompostierung, hydrothermaler Karbonisierung und Vergärung stehen Verwertungsschienen für biogene Abfälle zur Verfügung, um diese in geschlossene Stoffkreisläufe zurückzuführen und damit einen wichtigen Beitrag zur Erreichung der Recyclingziele und Nachhaltigkeit zu leisten. Die Vergärung organischer Abfälle ist eine Kombination aus stofflicher und energetischer Verwertung.</w:t>
      </w:r>
    </w:p>
    <w:p w14:paraId="0D88770E" w14:textId="77777777" w:rsidR="00623AF8" w:rsidRPr="00660A69" w:rsidRDefault="00623AF8" w:rsidP="00623AF8">
      <w:pPr>
        <w:jc w:val="both"/>
        <w:rPr>
          <w:rFonts w:ascii="Aptos" w:hAnsi="Aptos"/>
          <w:bCs/>
          <w:sz w:val="22"/>
          <w:szCs w:val="22"/>
          <w:u w:val="single"/>
        </w:rPr>
        <w:sectPr w:rsidR="00623AF8" w:rsidRPr="00660A69" w:rsidSect="00CB1AE7">
          <w:pgSz w:w="11906" w:h="16838"/>
          <w:pgMar w:top="1843" w:right="1418" w:bottom="1134" w:left="1418" w:header="709" w:footer="510" w:gutter="0"/>
          <w:cols w:space="708"/>
          <w:docGrid w:linePitch="360"/>
        </w:sectPr>
      </w:pPr>
      <w:r w:rsidRPr="00660A69">
        <w:rPr>
          <w:rFonts w:ascii="Aptos" w:hAnsi="Aptos"/>
          <w:sz w:val="22"/>
          <w:szCs w:val="22"/>
        </w:rPr>
        <w:t>Um einen Markthochlauf biobasierter Düngemittel zu vereinfachen, ist eine Abbildung durch die Abfallrahmenrichtlinie essenziell, etwa durch es einer eindeutigen Kenntlichmachung, dass die Biogastechnologie eine Form der stofflichen und nicht bloß der energetischen Verwertung darstellt (vergleichend dazu Art 22 Abs. 2a der Abfallrahmenrichtlinie 2018/851/EU). Hierfür bedarf es einer Klarstellung, dass die Vergärung bei nachfolgender Anwendung des Gärproduktes als Dünger eine stoffliche Verwertung darstellt, nicht nur als Fußnote (Änderung des Anhang II: Vergärung: Behandlungsmethode: R3; in Verbindung mit Artikel 4 Absatz 1 Buchstabe c und 2011/753/EU Artikel 2 Nummer 6). Die Praxis zeigt, dass die fehlende explizite Nennung oft zu Unklarheiten führt. Zusätzlich braucht es klare Regeln für das Abfallende und auch Ende des Geltungsbereiches von tierischen Nebenprodukten, wenn durch die Vergärung von organischen Abfällen ein Produkt generiert wird, welches als biobasiertes Düngemittel eingesetzt werden kann.</w:t>
      </w:r>
    </w:p>
    <w:p w14:paraId="474C0AB5"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16" w:name="_Toc170983632"/>
      <w:r w:rsidRPr="00660A69">
        <w:rPr>
          <w:rFonts w:ascii="Aptos" w:eastAsiaTheme="majorEastAsia" w:hAnsi="Aptos" w:cstheme="majorBidi"/>
          <w:b/>
          <w:color w:val="E4342D"/>
          <w:sz w:val="22"/>
          <w:szCs w:val="22"/>
        </w:rPr>
        <w:lastRenderedPageBreak/>
        <w:t>Vorsorge im Umweltschutz</w:t>
      </w:r>
      <w:bookmarkEnd w:id="16"/>
    </w:p>
    <w:p w14:paraId="4B43AB8D"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26C709EE" w14:textId="77777777" w:rsidTr="00875DD0">
        <w:tc>
          <w:tcPr>
            <w:tcW w:w="9060" w:type="dxa"/>
            <w:shd w:val="clear" w:color="auto" w:fill="D9D9D9" w:themeFill="background1" w:themeFillShade="D9"/>
          </w:tcPr>
          <w:p w14:paraId="7E192C57"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48F96F21" w14:textId="77777777" w:rsidTr="00875DD0">
        <w:tc>
          <w:tcPr>
            <w:tcW w:w="9060" w:type="dxa"/>
          </w:tcPr>
          <w:p w14:paraId="3CD4C0E9" w14:textId="77777777" w:rsidR="00623AF8" w:rsidRPr="00660A69" w:rsidRDefault="00623AF8" w:rsidP="00875DD0">
            <w:pPr>
              <w:spacing w:before="120" w:after="120"/>
              <w:jc w:val="both"/>
              <w:rPr>
                <w:rFonts w:ascii="Aptos" w:hAnsi="Aptos"/>
              </w:rPr>
            </w:pPr>
            <w:r w:rsidRPr="00660A69">
              <w:rPr>
                <w:rFonts w:ascii="Aptos" w:hAnsi="Aptos"/>
                <w:sz w:val="22"/>
                <w:szCs w:val="22"/>
              </w:rPr>
              <w:t xml:space="preserve">Für derzeit behandelte Verordnungen wie etwa der Verpackungsverordnung stützt sich die Rechtsgrundlage auf Artikel 114 des Vertrags über die Arbeitsweise der Europäischen Union (AEUV). Dieser Artikel ermöglicht es, Maßnahmen zur Angleichung der Umweltschutzstandards zu erlassen, um einheitliche Umweltschutznormen im gesamten Binnenmarkt sicherzustellen. </w:t>
            </w:r>
            <w:bookmarkStart w:id="17" w:name="_Hlk169655351"/>
            <w:r w:rsidRPr="00660A69">
              <w:rPr>
                <w:rFonts w:ascii="Aptos" w:hAnsi="Aptos"/>
                <w:sz w:val="22"/>
                <w:szCs w:val="22"/>
              </w:rPr>
              <w:t>Dank Artikel 192 (AEUV) kann abweichend davon der Rat einstimmig Vorschriften in bestimmten Bereichen wie Raumordnung, Wassermanagement und Energieversorgung erlassen.</w:t>
            </w:r>
            <w:bookmarkEnd w:id="17"/>
            <w:r w:rsidRPr="00660A69">
              <w:rPr>
                <w:rFonts w:ascii="Aptos" w:hAnsi="Aptos"/>
                <w:sz w:val="22"/>
                <w:szCs w:val="22"/>
              </w:rPr>
              <w:t xml:space="preserve"> </w:t>
            </w:r>
            <w:r w:rsidRPr="00660A69">
              <w:rPr>
                <w:rFonts w:ascii="Aptos" w:hAnsi="Aptos"/>
                <w:b/>
                <w:bCs/>
                <w:sz w:val="22"/>
                <w:szCs w:val="22"/>
              </w:rPr>
              <w:t>Gedenken Sie, Rechtsvorschriften der Europäischen Kommission zur Vorsorge im Umweltschutz zukünftig verstärkt auf Artikel 192 statt 114 aufzubauen?</w:t>
            </w:r>
          </w:p>
        </w:tc>
      </w:tr>
      <w:tr w:rsidR="00623AF8" w:rsidRPr="00660A69" w14:paraId="58AD3B65" w14:textId="77777777" w:rsidTr="00875DD0">
        <w:tc>
          <w:tcPr>
            <w:tcW w:w="9060" w:type="dxa"/>
            <w:shd w:val="clear" w:color="auto" w:fill="D9D9D9" w:themeFill="background1" w:themeFillShade="D9"/>
          </w:tcPr>
          <w:p w14:paraId="24291F94"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Nachfrage</w:t>
            </w:r>
          </w:p>
        </w:tc>
      </w:tr>
      <w:tr w:rsidR="00623AF8" w:rsidRPr="00660A69" w14:paraId="24C797C5" w14:textId="77777777" w:rsidTr="00875DD0">
        <w:tc>
          <w:tcPr>
            <w:tcW w:w="9060" w:type="dxa"/>
          </w:tcPr>
          <w:p w14:paraId="08CC683D" w14:textId="77777777" w:rsidR="00623AF8" w:rsidRPr="00660A69" w:rsidRDefault="00623AF8" w:rsidP="00875DD0">
            <w:pPr>
              <w:spacing w:before="120" w:after="120"/>
              <w:jc w:val="both"/>
              <w:rPr>
                <w:rFonts w:ascii="Aptos" w:hAnsi="Aptos"/>
                <w:i/>
                <w:iCs/>
                <w:sz w:val="22"/>
                <w:szCs w:val="22"/>
                <w:u w:val="single"/>
              </w:rPr>
            </w:pPr>
            <w:r w:rsidRPr="00660A69">
              <w:rPr>
                <w:rFonts w:ascii="Aptos" w:hAnsi="Aptos"/>
                <w:sz w:val="22"/>
                <w:szCs w:val="22"/>
                <w:u w:val="single"/>
                <w:lang w:val="en-GB"/>
              </w:rPr>
              <w:t>-</w:t>
            </w:r>
          </w:p>
        </w:tc>
      </w:tr>
    </w:tbl>
    <w:p w14:paraId="18162F78"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5FD6CC7E" w14:textId="77777777" w:rsidTr="00875DD0">
        <w:tc>
          <w:tcPr>
            <w:tcW w:w="9060" w:type="dxa"/>
            <w:shd w:val="clear" w:color="auto" w:fill="D9D9D9" w:themeFill="background1" w:themeFillShade="D9"/>
          </w:tcPr>
          <w:p w14:paraId="2627CC56"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4E6FE207" w14:textId="77777777" w:rsidR="00623AF8" w:rsidRPr="00660A69" w:rsidRDefault="00623AF8" w:rsidP="00623AF8">
      <w:pPr>
        <w:spacing w:after="120"/>
        <w:jc w:val="both"/>
        <w:rPr>
          <w:rFonts w:ascii="Aptos" w:hAnsi="Aptos"/>
          <w:sz w:val="22"/>
          <w:szCs w:val="22"/>
        </w:rPr>
      </w:pPr>
      <w:r w:rsidRPr="00660A69">
        <w:rPr>
          <w:rFonts w:ascii="Aptos" w:hAnsi="Aptos"/>
          <w:sz w:val="22"/>
          <w:szCs w:val="22"/>
        </w:rPr>
        <w:t>Der seit Dezember 2009 in Kraft getretene Vertrag über die Arbeitsweise der Europäischen Union (AEUV) bildet die Grundlage des EU-Rechts und legt die Grundsätze und Ziele der EU sowie die Handlungsmöglichkeiten in ihren Politikbereichen fest und ist neben dem Vertrag über die Europäischen Union (EUV) einer der beiden vorrangigen Verträge der EU. Diese enthalten in der Präambel jene Formulierung des Gründungsvertrages der Europäischen Gemeinschaft, „die Grundlagen für einen immer engeren Zusammenschluss der europäischen Völker zu schaffen“. Der umfangreichste Teil des AEUV (Artikel 26 bis 197) legt die Rechtsgrundlage für die internen Politiken und Maßnahmen der EU u.a in den Bereichen Binnenmarkt, gemeinsamer Agrarpolitik, Wirtschafts- und Währungspolitik, Industrie, Verkehr oder Verbraucherschutz fest, auf dessen Grundlage sich geltende Richtlinien stützen. Am Beispiel der Verpackungsverordnung bildet im Kapitel Angleichung der Rechtsvorschriften Artikel 114 AEUV die Rechtsgrundlage und ermöglicht es der EU, die Vorschriften und Verwaltungsmaßnahmen in allen Mitgliedstaaten zu harmonisieren und im gesamten Binnenmarkt sicherzustellen.</w:t>
      </w:r>
      <w:r w:rsidRPr="00660A69">
        <w:t xml:space="preserve"> </w:t>
      </w:r>
      <w:r w:rsidRPr="00660A69">
        <w:rPr>
          <w:rFonts w:ascii="Aptos" w:hAnsi="Aptos"/>
          <w:sz w:val="22"/>
          <w:szCs w:val="22"/>
        </w:rPr>
        <w:t xml:space="preserve">In bestimmten Bereichen, etwa der Raumordnung, Wassermanagement und Energieversorgung kann der Rat jedoch abweichend davon einstimmig Vorschriften geltend auf Artikel 192 (AEUV) erlassen. Somit bietet Artikel 192 des AEUV einen umfassenden und flexiblen rechtlichen Rahmen, der es der EU ermöglicht, effektive und angepasste Umweltpolitik zu gestalten und umzusetzen. Dies ist entscheidend, um den Umweltschutz in der EU nachhaltig zu stärken und sicherzustellen, dass umweltpolitische Maßnahmen wirksam und gerecht verteilt sind. </w:t>
      </w:r>
    </w:p>
    <w:p w14:paraId="353F01BB" w14:textId="77777777" w:rsidR="00623AF8" w:rsidRPr="00660A69" w:rsidRDefault="00623AF8" w:rsidP="00623AF8">
      <w:pPr>
        <w:spacing w:after="120"/>
        <w:jc w:val="both"/>
        <w:rPr>
          <w:rFonts w:ascii="Aptos" w:hAnsi="Aptos"/>
          <w:sz w:val="22"/>
          <w:szCs w:val="22"/>
        </w:rPr>
      </w:pPr>
      <w:r w:rsidRPr="00660A69">
        <w:rPr>
          <w:rFonts w:ascii="Aptos" w:hAnsi="Aptos"/>
          <w:sz w:val="22"/>
          <w:szCs w:val="22"/>
        </w:rPr>
        <w:t>Am Beispiel der Verpackungsverordnung ist deshalb festzustellen, dass umweltpolitische Maßnahmen, die auf Artikel 114 AEUV basieren, zwar Umweltaspekte berücksichtigen können, aber primär auf die Harmonisierung des Binnenmarktes abzielen. Der Umweltschutz steht nicht im Vordergrund und kann durch wirtschaftliche Interessen beeinträchtigt werden. Artikel 192 AEUV wäre daher eine geeignetere Rechtsgrundlage, wenn der Umweltschutz das primäre Ziel der Maßnahme ist.</w:t>
      </w:r>
    </w:p>
    <w:p w14:paraId="4D323EF2" w14:textId="77777777" w:rsidR="00623AF8" w:rsidRPr="00660A69" w:rsidRDefault="00623AF8" w:rsidP="00623AF8">
      <w:pPr>
        <w:spacing w:after="120"/>
        <w:jc w:val="both"/>
        <w:rPr>
          <w:rFonts w:ascii="Aptos" w:hAnsi="Aptos"/>
          <w:sz w:val="22"/>
          <w:szCs w:val="22"/>
        </w:rPr>
      </w:pPr>
    </w:p>
    <w:p w14:paraId="1BA5A5DB" w14:textId="77777777" w:rsidR="00623AF8" w:rsidRPr="00660A69" w:rsidRDefault="00623AF8" w:rsidP="00623AF8">
      <w:pPr>
        <w:spacing w:after="120"/>
        <w:jc w:val="both"/>
        <w:rPr>
          <w:rFonts w:ascii="Aptos" w:hAnsi="Aptos"/>
          <w:sz w:val="22"/>
          <w:szCs w:val="22"/>
        </w:rPr>
        <w:sectPr w:rsidR="00623AF8" w:rsidRPr="00660A69" w:rsidSect="00CB1AE7">
          <w:pgSz w:w="11906" w:h="16838"/>
          <w:pgMar w:top="1843" w:right="1418" w:bottom="1134" w:left="1418" w:header="709" w:footer="510" w:gutter="0"/>
          <w:cols w:space="708"/>
          <w:docGrid w:linePitch="360"/>
        </w:sectPr>
      </w:pPr>
    </w:p>
    <w:p w14:paraId="3CD8712A"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567A3159"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18" w:name="_Toc170983633"/>
      <w:r w:rsidRPr="00660A69">
        <w:rPr>
          <w:rFonts w:ascii="Aptos" w:eastAsiaTheme="majorEastAsia" w:hAnsi="Aptos" w:cstheme="majorBidi"/>
          <w:b/>
          <w:color w:val="E4342D"/>
          <w:sz w:val="22"/>
          <w:szCs w:val="22"/>
        </w:rPr>
        <w:t>Ökodesignrichtlinie – Digitaler Produktpass (DPP)</w:t>
      </w:r>
      <w:bookmarkEnd w:id="18"/>
    </w:p>
    <w:p w14:paraId="28C3FC0D"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53539C0F" w14:textId="77777777" w:rsidTr="00875DD0">
        <w:tc>
          <w:tcPr>
            <w:tcW w:w="9060" w:type="dxa"/>
            <w:shd w:val="clear" w:color="auto" w:fill="D9D9D9" w:themeFill="background1" w:themeFillShade="D9"/>
          </w:tcPr>
          <w:p w14:paraId="01A9349A"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Frage</w:t>
            </w:r>
          </w:p>
        </w:tc>
      </w:tr>
      <w:tr w:rsidR="00623AF8" w:rsidRPr="00660A69" w14:paraId="3B46208D" w14:textId="77777777" w:rsidTr="00875DD0">
        <w:tc>
          <w:tcPr>
            <w:tcW w:w="9060" w:type="dxa"/>
          </w:tcPr>
          <w:p w14:paraId="4996DA6B" w14:textId="77777777" w:rsidR="00623AF8" w:rsidRPr="00660A69" w:rsidRDefault="00623AF8" w:rsidP="00875DD0">
            <w:pPr>
              <w:spacing w:before="120" w:after="120"/>
              <w:jc w:val="both"/>
              <w:rPr>
                <w:rFonts w:ascii="Aptos" w:hAnsi="Aptos"/>
                <w:sz w:val="22"/>
                <w:szCs w:val="22"/>
              </w:rPr>
            </w:pPr>
            <w:r w:rsidRPr="00660A69">
              <w:rPr>
                <w:rFonts w:ascii="Aptos" w:hAnsi="Aptos"/>
                <w:sz w:val="22"/>
                <w:szCs w:val="22"/>
              </w:rPr>
              <w:t xml:space="preserve">Mit der neuen Ökodesign-Verordnung sollen nachhaltige Produkte zur neuen Norm in der EU werden, indem sie deren Energieeffizienz, Langlebigkeit, Wiederverwendbarkeit und Recyclingfähigkeit fördert. Um die Nachhaltigkeitsziele zu unterstützen und Verbrauchern umfassende Informationen über die Umweltauswirkungen von Produkten zur Verfügung zu stellen, ist die Einführung eines digitalen Produktpasses (DPP) von großer Wichtigkeit. </w:t>
            </w:r>
            <w:r w:rsidRPr="00660A69">
              <w:rPr>
                <w:rFonts w:ascii="Aptos" w:hAnsi="Aptos"/>
                <w:b/>
                <w:bCs/>
                <w:sz w:val="22"/>
                <w:szCs w:val="22"/>
              </w:rPr>
              <w:t>Setzen sie sich für eine ehestmögliche Umsetzung des Produktpasses in allen Branchen ein?</w:t>
            </w:r>
          </w:p>
        </w:tc>
      </w:tr>
      <w:tr w:rsidR="00623AF8" w:rsidRPr="00660A69" w14:paraId="2E648880" w14:textId="77777777" w:rsidTr="00875DD0">
        <w:tc>
          <w:tcPr>
            <w:tcW w:w="9060" w:type="dxa"/>
            <w:shd w:val="clear" w:color="auto" w:fill="D9D9D9" w:themeFill="background1" w:themeFillShade="D9"/>
          </w:tcPr>
          <w:p w14:paraId="0C5B875C"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Nachfrage(n)</w:t>
            </w:r>
          </w:p>
        </w:tc>
      </w:tr>
      <w:tr w:rsidR="00623AF8" w:rsidRPr="00660A69" w14:paraId="27DB866D" w14:textId="77777777" w:rsidTr="00875DD0">
        <w:tc>
          <w:tcPr>
            <w:tcW w:w="9060" w:type="dxa"/>
          </w:tcPr>
          <w:p w14:paraId="61D55331" w14:textId="77777777" w:rsidR="00623AF8" w:rsidRPr="00660A69" w:rsidRDefault="00623AF8" w:rsidP="00F63BE8">
            <w:pPr>
              <w:numPr>
                <w:ilvl w:val="0"/>
                <w:numId w:val="2"/>
              </w:numPr>
              <w:contextualSpacing/>
              <w:rPr>
                <w:rFonts w:ascii="Aptos" w:hAnsi="Aptos"/>
                <w:sz w:val="22"/>
                <w:szCs w:val="22"/>
              </w:rPr>
            </w:pPr>
            <w:r w:rsidRPr="00660A69">
              <w:rPr>
                <w:rFonts w:ascii="Aptos" w:hAnsi="Aptos"/>
                <w:sz w:val="22"/>
                <w:szCs w:val="22"/>
              </w:rPr>
              <w:t>Gedenken sie Produktplan-Verpflichtungen sowohl auf Hersteller als auch auf Inverkehrbringer anzuwenden und welchen zeitlichen Rahmen haben Sie für die Umsetzung eines Produktpasses anberaumt?</w:t>
            </w:r>
          </w:p>
          <w:p w14:paraId="4FE55D96" w14:textId="77777777" w:rsidR="00623AF8" w:rsidRPr="00660A69" w:rsidRDefault="00623AF8" w:rsidP="00F63BE8">
            <w:pPr>
              <w:numPr>
                <w:ilvl w:val="0"/>
                <w:numId w:val="2"/>
              </w:numPr>
              <w:contextualSpacing/>
              <w:rPr>
                <w:rFonts w:ascii="Aptos" w:hAnsi="Aptos"/>
                <w:sz w:val="22"/>
                <w:szCs w:val="22"/>
              </w:rPr>
            </w:pPr>
            <w:r w:rsidRPr="00660A69">
              <w:rPr>
                <w:rFonts w:ascii="Aptos" w:hAnsi="Aptos"/>
                <w:sz w:val="22"/>
                <w:szCs w:val="22"/>
              </w:rPr>
              <w:t>Stellt die Europäische Kommission zwischen alten und neuen Produktpässen eine Schnittstelle zur Verfügung?</w:t>
            </w:r>
          </w:p>
          <w:p w14:paraId="2D4414B7" w14:textId="77777777" w:rsidR="00623AF8" w:rsidRPr="00660A69" w:rsidRDefault="00623AF8" w:rsidP="00F63BE8">
            <w:pPr>
              <w:numPr>
                <w:ilvl w:val="0"/>
                <w:numId w:val="2"/>
              </w:numPr>
              <w:contextualSpacing/>
            </w:pPr>
            <w:r w:rsidRPr="00660A69">
              <w:rPr>
                <w:rFonts w:ascii="Aptos" w:hAnsi="Aptos"/>
                <w:sz w:val="22"/>
                <w:szCs w:val="22"/>
              </w:rPr>
              <w:t>Wie können diese Daten harmonisiert und kombiniert werden, ohne dabei zusätzliche, übermäßig verwaltungsaufwändige Systeme zu schaffen?</w:t>
            </w:r>
            <w:r w:rsidRPr="00660A69">
              <w:t xml:space="preserve"> </w:t>
            </w:r>
          </w:p>
        </w:tc>
      </w:tr>
    </w:tbl>
    <w:p w14:paraId="2BC0C430"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4F9CB4A8" w14:textId="77777777" w:rsidTr="00875DD0">
        <w:tc>
          <w:tcPr>
            <w:tcW w:w="9060" w:type="dxa"/>
            <w:shd w:val="clear" w:color="auto" w:fill="D9D9D9" w:themeFill="background1" w:themeFillShade="D9"/>
          </w:tcPr>
          <w:p w14:paraId="1D332EF2"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49CB7A75" w14:textId="77777777" w:rsidR="00623AF8" w:rsidRPr="00660A69" w:rsidRDefault="00623AF8" w:rsidP="00623AF8">
      <w:pPr>
        <w:jc w:val="both"/>
        <w:rPr>
          <w:rFonts w:ascii="Aptos" w:hAnsi="Aptos"/>
          <w:sz w:val="22"/>
          <w:szCs w:val="22"/>
        </w:rPr>
      </w:pPr>
      <w:r w:rsidRPr="00660A69">
        <w:rPr>
          <w:rFonts w:ascii="Aptos" w:hAnsi="Aptos"/>
          <w:sz w:val="22"/>
          <w:szCs w:val="22"/>
        </w:rPr>
        <w:t>Ende November 2023 veröffentlichte die Europäische Kommission eine Verordnung zur Schaffung eines Digitalen Produktpasses (DPP). Ziel jenes DPP ist es, Transparenz über den gesamten Lebenszyklus eines Produkts zu schaffen. Er wird umfassende Informationen über Identität, Herkunft, Zusammensetzung, Umweltauswirkungen sowie die Reparatur- und Recyclingfähigkeit eines Produkts enthalten, die über einen QR-Code oder Hyperlink abrufbar sind. Der DPP soll Verbrauchern helfen, nachhaltigere Kaufentscheidungen zu treffen und Herstellern Anreize bieten, umweltfreundlichere Produkte zu entwickeln. Dies wird die Reparaturfähigkeit und Recyclingfähigkeit von Produkten verbessern, was zur Verlängerung ihrer Lebensdauer und zur Wiederverwendung von Rohstoffen beiträgt.  Ab 2026 sollen die ersten DPP zunächst für Batterien verpflichtend eingeführt werden. Parallel fördert die EU bereits erste Produktpassansätze für die Bereiche Textilien, Automobil und Elektrogeräte. Die EU plant, die Verordnung alle drei Jahre zu überprüfen und anzupassen, was zu einer Erweiterung der verpflichtenden Produktgruppen führen könnte.</w:t>
      </w:r>
    </w:p>
    <w:p w14:paraId="1E25A3C9" w14:textId="77777777" w:rsidR="00623AF8" w:rsidRPr="00660A69" w:rsidRDefault="00623AF8" w:rsidP="00623AF8">
      <w:pPr>
        <w:jc w:val="both"/>
        <w:rPr>
          <w:rFonts w:ascii="Aptos" w:hAnsi="Aptos"/>
          <w:sz w:val="22"/>
          <w:szCs w:val="22"/>
        </w:rPr>
        <w:sectPr w:rsidR="00623AF8" w:rsidRPr="00660A69" w:rsidSect="00325902">
          <w:pgSz w:w="11906" w:h="16838"/>
          <w:pgMar w:top="1843" w:right="1418" w:bottom="1134" w:left="1418" w:header="709" w:footer="510" w:gutter="0"/>
          <w:cols w:space="708"/>
          <w:docGrid w:linePitch="360"/>
        </w:sectPr>
      </w:pPr>
    </w:p>
    <w:p w14:paraId="25092239"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6A72B421"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19" w:name="_Toc170983634"/>
      <w:r w:rsidRPr="00660A69">
        <w:rPr>
          <w:rFonts w:ascii="Aptos" w:eastAsiaTheme="majorEastAsia" w:hAnsi="Aptos" w:cstheme="majorBidi"/>
          <w:b/>
          <w:color w:val="E4342D"/>
          <w:sz w:val="22"/>
          <w:szCs w:val="22"/>
        </w:rPr>
        <w:t>Ökodesignrichtlinie – Schutzvorkehrungen für Einsatzkräfte</w:t>
      </w:r>
      <w:bookmarkEnd w:id="19"/>
    </w:p>
    <w:p w14:paraId="4D754482"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623CC826" w14:textId="77777777" w:rsidTr="00875DD0">
        <w:tc>
          <w:tcPr>
            <w:tcW w:w="9060" w:type="dxa"/>
            <w:shd w:val="clear" w:color="auto" w:fill="D9D9D9" w:themeFill="background1" w:themeFillShade="D9"/>
          </w:tcPr>
          <w:p w14:paraId="26D205FF"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6D26D89E" w14:textId="77777777" w:rsidTr="00875DD0">
        <w:tc>
          <w:tcPr>
            <w:tcW w:w="9060" w:type="dxa"/>
          </w:tcPr>
          <w:p w14:paraId="50D742B4" w14:textId="77777777" w:rsidR="00623AF8" w:rsidRPr="00660A69" w:rsidRDefault="00623AF8" w:rsidP="00875DD0">
            <w:pPr>
              <w:spacing w:before="120" w:after="120"/>
              <w:jc w:val="both"/>
              <w:rPr>
                <w:rFonts w:ascii="Aptos" w:hAnsi="Aptos"/>
                <w:sz w:val="22"/>
                <w:szCs w:val="22"/>
              </w:rPr>
            </w:pPr>
            <w:r w:rsidRPr="00660A69">
              <w:rPr>
                <w:rFonts w:ascii="Aptos" w:hAnsi="Aptos"/>
                <w:sz w:val="22"/>
                <w:szCs w:val="22"/>
              </w:rPr>
              <w:t xml:space="preserve">Im Jahr 2023 verzeichnete die Europäische Union einen Anteil von rund 14,6 Prozent an Elektroautos bei Pkw-Neuzulassungen. Im Kontext von Katastropheneinsätzen und Unfällen stellt die unklare Lokalisierung von Batterien eine lebensgefährliche Herausforderung für Rettungskräfte dar. </w:t>
            </w:r>
            <w:r w:rsidRPr="00660A69">
              <w:rPr>
                <w:rFonts w:ascii="Aptos" w:hAnsi="Aptos"/>
                <w:b/>
                <w:bCs/>
                <w:sz w:val="22"/>
                <w:szCs w:val="22"/>
              </w:rPr>
              <w:t>Wie können gemäß der Ökodesignrichtlinie wirksame Schutzvorkehrungen für Einsatzkräfte entwickelt und implementiert werden, insbesondere vor dem Hintergrund der zunehmenden Elektrifizierung im Straßenverkehr?</w:t>
            </w:r>
          </w:p>
        </w:tc>
      </w:tr>
      <w:tr w:rsidR="00623AF8" w:rsidRPr="00660A69" w14:paraId="6EA41EBA" w14:textId="77777777" w:rsidTr="00875DD0">
        <w:tc>
          <w:tcPr>
            <w:tcW w:w="9060" w:type="dxa"/>
            <w:shd w:val="clear" w:color="auto" w:fill="D9D9D9" w:themeFill="background1" w:themeFillShade="D9"/>
          </w:tcPr>
          <w:p w14:paraId="06510E74"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72814CE2" w14:textId="77777777" w:rsidTr="00875DD0">
        <w:tc>
          <w:tcPr>
            <w:tcW w:w="9060" w:type="dxa"/>
          </w:tcPr>
          <w:p w14:paraId="293BB451" w14:textId="77777777" w:rsidR="00623AF8" w:rsidRPr="00660A69" w:rsidRDefault="00623AF8" w:rsidP="00875DD0">
            <w:pPr>
              <w:spacing w:before="120" w:after="120"/>
              <w:jc w:val="both"/>
              <w:rPr>
                <w:rFonts w:ascii="Aptos" w:hAnsi="Aptos"/>
                <w:i/>
                <w:iCs/>
                <w:sz w:val="22"/>
                <w:szCs w:val="22"/>
                <w:u w:val="single"/>
              </w:rPr>
            </w:pPr>
            <w:r w:rsidRPr="00660A69">
              <w:t>-</w:t>
            </w:r>
          </w:p>
        </w:tc>
      </w:tr>
    </w:tbl>
    <w:p w14:paraId="656F628D"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00ADCA85" w14:textId="77777777" w:rsidTr="00875DD0">
        <w:tc>
          <w:tcPr>
            <w:tcW w:w="9060" w:type="dxa"/>
            <w:shd w:val="clear" w:color="auto" w:fill="D9D9D9" w:themeFill="background1" w:themeFillShade="D9"/>
          </w:tcPr>
          <w:p w14:paraId="7D249D27"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263F12C8" w14:textId="77777777" w:rsidR="00623AF8" w:rsidRPr="00660A69" w:rsidRDefault="00623AF8" w:rsidP="00623AF8">
      <w:pPr>
        <w:spacing w:after="120"/>
        <w:jc w:val="both"/>
        <w:rPr>
          <w:rFonts w:ascii="Aptos" w:hAnsi="Aptos"/>
          <w:sz w:val="22"/>
          <w:szCs w:val="22"/>
        </w:rPr>
        <w:sectPr w:rsidR="00623AF8" w:rsidRPr="00660A69" w:rsidSect="00CB1AE7">
          <w:pgSz w:w="11906" w:h="16838"/>
          <w:pgMar w:top="1843" w:right="1418" w:bottom="1134" w:left="1418" w:header="709" w:footer="510" w:gutter="0"/>
          <w:cols w:space="708"/>
          <w:docGrid w:linePitch="360"/>
        </w:sectPr>
      </w:pPr>
      <w:r w:rsidRPr="00660A69">
        <w:rPr>
          <w:rFonts w:ascii="Aptos" w:hAnsi="Aptos"/>
          <w:sz w:val="22"/>
          <w:szCs w:val="22"/>
        </w:rPr>
        <w:t>Grundsätzlich stellen in Brand geratene Stromer höhere Anforderungen an Einsatzkräfte und Einsatztaktik als konventionell angetriebene Modelle. Dies liegt primär an der Zugänglichkeit der Batteriezellen. In den geschützten Batteriepaketen heizt die brennende Zelle ihre Nachbarzellen auf, bis diese ebenfalls anfangen zu brennen. Brandursachen sind, neben internen Kurzschlüssen, vor allem mechanische Verletzungen der Batterie, etwa dann, wenn sie bei einem Unfall von einem metallischen Gegenstand durchstoßen wird. Wird der aus PP-Folie mit Poren bestehende Separator zwischen den zwei Elektroden beschädigt, verlieren Lithium-Ionen-Batterien ihren integrierten Notschalter und eine exotherme Kettenreaktion, bei der die gesamte Energie in thermischer Form abgegeben wird, kann die Folge sein.  Diese Folge, ein sogenannter Thermal Runaway kann nur durch massive, tief eindringende Kühlung aufgehalten oder kontrolliert werden, da etwa das 7- bis 11-Fache der elektrisch gespeicherten Energie in Form von thermischer Energie freigesetzt wird, der Zerfall von eingesetzten Kathodenmaterialien beschleunigt zudem kritische Reaktionsabläufe. Indem Hersteller ihre Elektroautos mit einheitlichen Schutzsystemen ausstatten, können Retter bei ihrem Einsatz unterstützt werden: Wenn die Feuerwehr bei einem Brand oder einem Auffahrunfall erst das Löschsystem identifizieren und nach dem Zugang fürs Wasser suchen muss, geht wertvolle Zeit verloren. Ideal wären einheitliche und sogar automatisch auslösende Systeme.</w:t>
      </w:r>
    </w:p>
    <w:p w14:paraId="5CC03A8D"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55932BE5"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20" w:name="_Toc170983635"/>
      <w:r w:rsidRPr="00660A69">
        <w:rPr>
          <w:rFonts w:ascii="Aptos" w:eastAsiaTheme="majorEastAsia" w:hAnsi="Aptos" w:cstheme="majorBidi"/>
          <w:b/>
          <w:color w:val="E4342D"/>
          <w:sz w:val="22"/>
          <w:szCs w:val="22"/>
        </w:rPr>
        <w:t>Zertifizierung</w:t>
      </w:r>
      <w:bookmarkEnd w:id="20"/>
    </w:p>
    <w:p w14:paraId="0A07CB4F"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2CBF1D4C" w14:textId="77777777" w:rsidTr="00875DD0">
        <w:tc>
          <w:tcPr>
            <w:tcW w:w="9060" w:type="dxa"/>
            <w:shd w:val="clear" w:color="auto" w:fill="D9D9D9" w:themeFill="background1" w:themeFillShade="D9"/>
          </w:tcPr>
          <w:p w14:paraId="680F4461"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68A7C480" w14:textId="77777777" w:rsidTr="00875DD0">
        <w:tc>
          <w:tcPr>
            <w:tcW w:w="9060" w:type="dxa"/>
          </w:tcPr>
          <w:p w14:paraId="3AD3C134" w14:textId="77777777" w:rsidR="00623AF8" w:rsidRPr="00660A69" w:rsidRDefault="00623AF8" w:rsidP="00875DD0">
            <w:pPr>
              <w:spacing w:before="120" w:after="120"/>
              <w:jc w:val="both"/>
              <w:rPr>
                <w:rFonts w:ascii="Aptos" w:hAnsi="Aptos"/>
                <w:sz w:val="22"/>
                <w:szCs w:val="22"/>
              </w:rPr>
            </w:pPr>
            <w:bookmarkStart w:id="21" w:name="_Hlk169663610"/>
            <w:r w:rsidRPr="00660A69">
              <w:rPr>
                <w:rFonts w:ascii="Aptos" w:hAnsi="Aptos"/>
                <w:sz w:val="22"/>
                <w:szCs w:val="22"/>
              </w:rPr>
              <w:t>Laut dem Ecolabel Index, dem weltweit größten Verzeichnis für Umweltsiegel, gibt es derzeit global betrachtet 456 registrierte Ökozertifikate in 199 Ländern und 25 Branchen. Dabei verbirgt sich nicht hinter jedem Nachhaltigkeitslogo ein glaubwürdiges und von unabhängigen Stellen geprüftes Zertifikat</w:t>
            </w:r>
            <w:bookmarkEnd w:id="21"/>
            <w:r w:rsidRPr="00660A69">
              <w:rPr>
                <w:rFonts w:ascii="Aptos" w:hAnsi="Aptos"/>
                <w:sz w:val="22"/>
                <w:szCs w:val="22"/>
              </w:rPr>
              <w:t xml:space="preserve">. Für Verbraucher ist oftmals nicht ersichtlich, ob es sich bei einem Logo nur um eine Auszeichnung oder tatsächlich um eine Zertifizierung handelt, bei der eine unabhängige Prüfstelle die Einhaltung der Anforderungen eines Nachhaltigkeitssiegels durch ein Unternehmen kontrolliert. </w:t>
            </w:r>
            <w:r w:rsidRPr="00660A69">
              <w:rPr>
                <w:rFonts w:ascii="Aptos" w:hAnsi="Aptos"/>
                <w:b/>
                <w:bCs/>
                <w:sz w:val="22"/>
                <w:szCs w:val="22"/>
              </w:rPr>
              <w:t>Inwieweit soll der Wildwuchs an Zertifizierung gestoppt werden und gleichzeitig sichergestellt werden, dass insbesondere im Beschaffungswesen eine nachhaltige und transparente Zertifizierung gewährleistet ist?</w:t>
            </w:r>
          </w:p>
        </w:tc>
      </w:tr>
      <w:tr w:rsidR="00623AF8" w:rsidRPr="00660A69" w14:paraId="7D4505A6" w14:textId="77777777" w:rsidTr="00875DD0">
        <w:tc>
          <w:tcPr>
            <w:tcW w:w="9060" w:type="dxa"/>
            <w:shd w:val="clear" w:color="auto" w:fill="D9D9D9" w:themeFill="background1" w:themeFillShade="D9"/>
          </w:tcPr>
          <w:p w14:paraId="072A4FD3"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225AD618" w14:textId="77777777" w:rsidTr="00875DD0">
        <w:tc>
          <w:tcPr>
            <w:tcW w:w="9060" w:type="dxa"/>
          </w:tcPr>
          <w:p w14:paraId="5BF6B3C1" w14:textId="77777777" w:rsidR="00623AF8" w:rsidRPr="00660A69" w:rsidRDefault="00623AF8" w:rsidP="00875DD0">
            <w:pPr>
              <w:spacing w:before="120" w:after="120"/>
              <w:jc w:val="both"/>
              <w:rPr>
                <w:rFonts w:ascii="Aptos" w:hAnsi="Aptos"/>
                <w:i/>
                <w:iCs/>
                <w:sz w:val="22"/>
                <w:szCs w:val="22"/>
                <w:u w:val="single"/>
              </w:rPr>
            </w:pPr>
            <w:r w:rsidRPr="00660A69">
              <w:rPr>
                <w:rFonts w:ascii="Aptos" w:hAnsi="Aptos"/>
                <w:i/>
                <w:iCs/>
                <w:sz w:val="22"/>
                <w:szCs w:val="22"/>
                <w:u w:val="single"/>
              </w:rPr>
              <w:t>-</w:t>
            </w:r>
          </w:p>
        </w:tc>
      </w:tr>
    </w:tbl>
    <w:p w14:paraId="11D42E8A"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618C151A" w14:textId="77777777" w:rsidTr="00875DD0">
        <w:tc>
          <w:tcPr>
            <w:tcW w:w="9060" w:type="dxa"/>
            <w:shd w:val="clear" w:color="auto" w:fill="D9D9D9" w:themeFill="background1" w:themeFillShade="D9"/>
          </w:tcPr>
          <w:p w14:paraId="140A131E"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561270EB" w14:textId="77777777" w:rsidR="00623AF8" w:rsidRPr="00660A69" w:rsidRDefault="00623AF8" w:rsidP="00623AF8">
      <w:pPr>
        <w:jc w:val="both"/>
        <w:rPr>
          <w:rFonts w:ascii="Aptos" w:hAnsi="Aptos"/>
          <w:bCs/>
          <w:sz w:val="22"/>
          <w:szCs w:val="22"/>
        </w:rPr>
      </w:pPr>
      <w:r w:rsidRPr="00660A69">
        <w:rPr>
          <w:rFonts w:ascii="Aptos" w:hAnsi="Aptos"/>
          <w:bCs/>
          <w:sz w:val="22"/>
          <w:szCs w:val="22"/>
        </w:rPr>
        <w:t>Zertifizierung ist ein Verfahren, nach dem eine unabhängige Zertifizierungsstelle für eine Einheit schriftlich und öffentlich bestätigt, dass ein Produkt oder ein Prozess oder ein System bestimmte festgelegte Anforderungen erfüllt. Für nachhaltigen Konsum spielt Zertifizierung eine zentrale Rolle, da sie Verbraucher:innen beim Einkauf  in Form von Siegeln begegnet. Zusätzlich hat Zertifizierung auch indirekt Auswirkungen auf den Konsum, da sie ein zentraler Indikator für die Überprüfung des Lieferkettengesetzes oder die Regulierung von umweltbezogenen Werbeaussagen ist. Für Verbraucher:innen ist dabei allerdings oft völlig undurchsichtig, wie verlässlich unterschiedliche Zertifizierungen sind oder ob dadurch wirklich nachhaltige Produktion sichergestellt wird. Laut dem Ecolabel Index, dem weltweit größten Verzeichnis für Umweltsiegel, gibt es derzeit global betrachtet 456 registrierte Ökozertifikate in 199 Ländern und 25 Branchen. Dabei verbirgt sich nicht hinter jedem Nachhaltigkeitslogo ein glaubwürdiges und von unabhängigen Stellen geprüftes Zertifikat.</w:t>
      </w:r>
    </w:p>
    <w:p w14:paraId="1C82C57C" w14:textId="77777777" w:rsidR="00623AF8" w:rsidRPr="00660A69" w:rsidRDefault="00623AF8" w:rsidP="00623AF8">
      <w:pPr>
        <w:jc w:val="both"/>
        <w:rPr>
          <w:rFonts w:ascii="Aptos" w:hAnsi="Aptos"/>
          <w:bCs/>
          <w:sz w:val="22"/>
          <w:szCs w:val="22"/>
        </w:rPr>
        <w:sectPr w:rsidR="00623AF8" w:rsidRPr="00660A69" w:rsidSect="00CB1AE7">
          <w:pgSz w:w="11906" w:h="16838"/>
          <w:pgMar w:top="1843" w:right="1418" w:bottom="1134" w:left="1418" w:header="709" w:footer="510" w:gutter="0"/>
          <w:cols w:space="708"/>
          <w:docGrid w:linePitch="360"/>
        </w:sectPr>
      </w:pPr>
      <w:r w:rsidRPr="00660A69">
        <w:rPr>
          <w:rFonts w:ascii="Aptos" w:hAnsi="Aptos"/>
          <w:bCs/>
          <w:sz w:val="22"/>
          <w:szCs w:val="22"/>
        </w:rPr>
        <w:t>Immer wieder kommt es zu folgenreichen Fehlern bei Zertifizierung, weshalb es für Zertifizierung von Nachhaltigkeit strengeren Regeln bedarf. Eine Akkreditierungspflicht, gesetzliche Mindestkriterien und Haftungsregelungen könnten für mehr Verlässlichkeit sorgen und Verbraucher:innen nachhaltigen Konsum ermöglichen.</w:t>
      </w:r>
    </w:p>
    <w:p w14:paraId="5FDEDEEA"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041AB20B"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22" w:name="_Toc170983636"/>
      <w:r w:rsidRPr="00660A69">
        <w:rPr>
          <w:rFonts w:ascii="Aptos" w:eastAsiaTheme="majorEastAsia" w:hAnsi="Aptos" w:cstheme="majorBidi"/>
          <w:b/>
          <w:color w:val="E4342D"/>
          <w:sz w:val="22"/>
          <w:szCs w:val="22"/>
        </w:rPr>
        <w:t>Bioökonomie – Kaskadische Nutzung organischer Abfälle</w:t>
      </w:r>
      <w:bookmarkEnd w:id="22"/>
    </w:p>
    <w:p w14:paraId="0F2D0D37"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6FC561A9" w14:textId="77777777" w:rsidTr="00875DD0">
        <w:tc>
          <w:tcPr>
            <w:tcW w:w="9060" w:type="dxa"/>
            <w:shd w:val="clear" w:color="auto" w:fill="D9D9D9" w:themeFill="background1" w:themeFillShade="D9"/>
          </w:tcPr>
          <w:p w14:paraId="4E60B9D1"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01C7319B" w14:textId="77777777" w:rsidTr="00875DD0">
        <w:tc>
          <w:tcPr>
            <w:tcW w:w="9060" w:type="dxa"/>
          </w:tcPr>
          <w:p w14:paraId="02408F54" w14:textId="77777777" w:rsidR="00623AF8" w:rsidRPr="00660A69" w:rsidRDefault="00623AF8" w:rsidP="00875DD0">
            <w:pPr>
              <w:spacing w:before="120" w:after="120"/>
              <w:jc w:val="both"/>
              <w:rPr>
                <w:rFonts w:ascii="Aptos" w:hAnsi="Aptos"/>
                <w:b/>
                <w:bCs/>
                <w:sz w:val="22"/>
                <w:szCs w:val="22"/>
              </w:rPr>
            </w:pPr>
            <w:r w:rsidRPr="00660A69">
              <w:rPr>
                <w:rFonts w:ascii="Aptos" w:hAnsi="Aptos"/>
                <w:sz w:val="22"/>
                <w:szCs w:val="22"/>
              </w:rPr>
              <w:t xml:space="preserve">Organische Abfälle wie Grünschnitt können vielfältig genutzt werden, sei es zur Biogasproduktion oder zur Kompostierung. Nationale Bestrebungen zielen oft darauf ab, zunächst Biogas als Energielieferant zu gewinnen und erst dann den verbleibenden Rest für die Kompostierung und stoffliche Verwertung zu nutzen. Bisher gibt es jedoch keinen klaren rechtlichen Rahmen auf EU-Ebene, der die bevorzugte Nutzung festlegt. Holz ist derzeit der einzige Biomasserohstoff, für den bisher eine nennenswerte Kaskadennutzung umgesetzt ist, wobei dies in besonderem Maße für den Sektor Papier und Zellstoff gilt. Angesichts der Vielseitigkeit organischer Abfälle und der Bedeutung einer nachhaltigen Abfallbewirtschaftung stellt sich die Frage: </w:t>
            </w:r>
            <w:r w:rsidRPr="00660A69">
              <w:rPr>
                <w:rFonts w:ascii="Aptos" w:hAnsi="Aptos"/>
                <w:b/>
                <w:bCs/>
                <w:sz w:val="22"/>
                <w:szCs w:val="22"/>
              </w:rPr>
              <w:t>Gedenkt die Europäische Kommission, eine kaskadische Nutzung für organische Abfälle einzuführen, so wie dies bei forstlicher Biomasse der Fall ist?</w:t>
            </w:r>
          </w:p>
        </w:tc>
      </w:tr>
      <w:tr w:rsidR="00623AF8" w:rsidRPr="00660A69" w14:paraId="50FE2DEC" w14:textId="77777777" w:rsidTr="00875DD0">
        <w:tc>
          <w:tcPr>
            <w:tcW w:w="9060" w:type="dxa"/>
            <w:shd w:val="clear" w:color="auto" w:fill="D9D9D9" w:themeFill="background1" w:themeFillShade="D9"/>
          </w:tcPr>
          <w:p w14:paraId="51C6C19B"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745377D1" w14:textId="77777777" w:rsidTr="00875DD0">
        <w:tc>
          <w:tcPr>
            <w:tcW w:w="9060" w:type="dxa"/>
          </w:tcPr>
          <w:p w14:paraId="42348808" w14:textId="77777777" w:rsidR="00623AF8" w:rsidRPr="00660A69" w:rsidRDefault="00623AF8" w:rsidP="00875DD0">
            <w:pPr>
              <w:spacing w:before="120" w:after="120"/>
              <w:jc w:val="both"/>
              <w:rPr>
                <w:rFonts w:ascii="Aptos" w:hAnsi="Aptos"/>
                <w:i/>
                <w:iCs/>
                <w:sz w:val="22"/>
                <w:szCs w:val="22"/>
                <w:u w:val="single"/>
              </w:rPr>
            </w:pPr>
            <w:r w:rsidRPr="00660A69">
              <w:rPr>
                <w:rFonts w:ascii="Aptos" w:hAnsi="Aptos"/>
                <w:sz w:val="22"/>
                <w:szCs w:val="22"/>
                <w:lang w:val="en-GB"/>
              </w:rPr>
              <w:t>-</w:t>
            </w:r>
          </w:p>
        </w:tc>
      </w:tr>
    </w:tbl>
    <w:p w14:paraId="41286FC2"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03AC7385" w14:textId="77777777" w:rsidTr="00875DD0">
        <w:tc>
          <w:tcPr>
            <w:tcW w:w="9060" w:type="dxa"/>
            <w:shd w:val="clear" w:color="auto" w:fill="D9D9D9" w:themeFill="background1" w:themeFillShade="D9"/>
          </w:tcPr>
          <w:p w14:paraId="47542F6E"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09D85FA8" w14:textId="77777777" w:rsidR="00623AF8" w:rsidRPr="00660A69" w:rsidRDefault="00623AF8" w:rsidP="00623AF8">
      <w:pPr>
        <w:jc w:val="both"/>
        <w:rPr>
          <w:rFonts w:ascii="Aptos" w:hAnsi="Aptos"/>
          <w:sz w:val="22"/>
          <w:szCs w:val="22"/>
        </w:rPr>
      </w:pPr>
      <w:r w:rsidRPr="00660A69">
        <w:rPr>
          <w:rFonts w:ascii="Aptos" w:hAnsi="Aptos"/>
          <w:sz w:val="22"/>
          <w:szCs w:val="22"/>
        </w:rPr>
        <w:t>Die Kaskadennutzung von Biomasse wird in zahlreichen umweltpolitischen Strategien und Programmen als wichtiges Element zur Steigerung der Ressourceneffizienz genannt. Dem Prinzip folgend sollte Biomasse so lange, so häufig und so effizient wie möglich zunächst stofflich genutzt und erst am Ende des Produktlebenszyklus energetisch verwertet werden.</w:t>
      </w:r>
    </w:p>
    <w:p w14:paraId="4CDA5532" w14:textId="77777777" w:rsidR="00623AF8" w:rsidRPr="00660A69" w:rsidRDefault="00623AF8" w:rsidP="00623AF8">
      <w:pPr>
        <w:jc w:val="both"/>
        <w:rPr>
          <w:rFonts w:ascii="Aptos" w:hAnsi="Aptos"/>
          <w:sz w:val="22"/>
          <w:szCs w:val="22"/>
        </w:rPr>
      </w:pPr>
      <w:r w:rsidRPr="00660A69">
        <w:rPr>
          <w:rFonts w:ascii="Aptos" w:hAnsi="Aptos"/>
          <w:sz w:val="22"/>
          <w:szCs w:val="22"/>
        </w:rPr>
        <w:t>Je mehr sinnvolle Zwischenschritte in die Nutzungskette eingefügt werden, desto besser fällt die schlussendliche Rohstoff- und Flächeneffizienz der Landnutzung aus und das Wertschöpfungspotenzial steigt.</w:t>
      </w:r>
    </w:p>
    <w:p w14:paraId="6F033C99" w14:textId="77777777" w:rsidR="00623AF8" w:rsidRPr="00660A69" w:rsidRDefault="00623AF8" w:rsidP="00623AF8">
      <w:pPr>
        <w:jc w:val="both"/>
        <w:rPr>
          <w:rFonts w:ascii="Aptos" w:hAnsi="Aptos"/>
          <w:sz w:val="22"/>
          <w:szCs w:val="22"/>
        </w:rPr>
      </w:pPr>
      <w:r w:rsidRPr="00660A69">
        <w:rPr>
          <w:rFonts w:ascii="Aptos" w:hAnsi="Aptos"/>
          <w:sz w:val="22"/>
          <w:szCs w:val="22"/>
        </w:rPr>
        <w:t>Ein Beispiel: Holz wird dem Wald entnommen und vorerst der stofflichen Nutzung zugeführt, zum Beispiel in Form eines Regals, das nach seiner Verwendung wieder dem Hersteller zur Neuaufarbeitung übergeben und neu verkauft wird.  Erst nachdem das Regal mehrmals den Besitzer gewechselt hat, wird der Rohstoff energetisch verwendet.</w:t>
      </w:r>
    </w:p>
    <w:p w14:paraId="6A38A6D3" w14:textId="77777777" w:rsidR="00623AF8" w:rsidRPr="00660A69" w:rsidRDefault="00623AF8" w:rsidP="00623AF8">
      <w:pPr>
        <w:jc w:val="both"/>
        <w:rPr>
          <w:rFonts w:ascii="Aptos" w:hAnsi="Aptos"/>
          <w:sz w:val="22"/>
          <w:szCs w:val="22"/>
        </w:rPr>
        <w:sectPr w:rsidR="00623AF8" w:rsidRPr="00660A69" w:rsidSect="00CB1AE7">
          <w:pgSz w:w="11906" w:h="16838"/>
          <w:pgMar w:top="1843" w:right="1418" w:bottom="1134" w:left="1418" w:header="709" w:footer="510" w:gutter="0"/>
          <w:cols w:space="708"/>
          <w:docGrid w:linePitch="360"/>
        </w:sectPr>
      </w:pPr>
      <w:r w:rsidRPr="00660A69">
        <w:rPr>
          <w:rFonts w:ascii="Aptos" w:hAnsi="Aptos"/>
          <w:sz w:val="22"/>
          <w:szCs w:val="22"/>
        </w:rPr>
        <w:t>Holz ist derzeit der allerdings der einzige Biomasserohstoff, für den bisher eine nennenswerte Kaskadennutzung umgesetzt ist. Das dieser Zugang kaskadischer Nutzung auch für andere Stoffe, wie etwa organische Abfälle anwendbar ist, es jedoch keinen rechtlichen Rahmen auf EU-Ebene gibt, ist insofern überraschend, da eine Kaskadennutzung deutliche Vorteile für den Ressourcen- und Klimaschutz mit sich bringt. Durch die Kombination von Vergärungs- und Kompostierungsverfahren wird zum einen Biogas produziert und in Form von Elektrizität oder Wärme oder Biomethan genutzt. Hierdurch könnte etwa der Einsatz fossiler Energieträger vermindert und somit ein Beitrag zur Reduzierung von Treibhausgasen geleistet werden.</w:t>
      </w:r>
    </w:p>
    <w:p w14:paraId="1A64E690"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23" w:name="_Toc170983637"/>
      <w:r w:rsidRPr="00660A69">
        <w:rPr>
          <w:rFonts w:ascii="Aptos" w:eastAsiaTheme="majorEastAsia" w:hAnsi="Aptos" w:cstheme="majorBidi"/>
          <w:b/>
          <w:color w:val="E4342D"/>
          <w:sz w:val="22"/>
          <w:szCs w:val="22"/>
        </w:rPr>
        <w:lastRenderedPageBreak/>
        <w:t>Kohlenstoffabscheidung- Nutzung- und Speicherung</w:t>
      </w:r>
      <w:bookmarkEnd w:id="23"/>
    </w:p>
    <w:p w14:paraId="2BEDEA18"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1AA7A2D9" w14:textId="77777777" w:rsidTr="00875DD0">
        <w:tc>
          <w:tcPr>
            <w:tcW w:w="9060" w:type="dxa"/>
            <w:shd w:val="clear" w:color="auto" w:fill="D9D9D9" w:themeFill="background1" w:themeFillShade="D9"/>
          </w:tcPr>
          <w:p w14:paraId="613A7501"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rPr>
              <w:t xml:space="preserve">Frage </w:t>
            </w:r>
          </w:p>
        </w:tc>
      </w:tr>
      <w:tr w:rsidR="00623AF8" w:rsidRPr="00660A69" w14:paraId="41081B9C" w14:textId="77777777" w:rsidTr="00875DD0">
        <w:tc>
          <w:tcPr>
            <w:tcW w:w="9060" w:type="dxa"/>
          </w:tcPr>
          <w:p w14:paraId="2C1F1F7F" w14:textId="77777777" w:rsidR="00623AF8" w:rsidRPr="00660A69" w:rsidRDefault="00623AF8" w:rsidP="00875DD0">
            <w:pPr>
              <w:spacing w:before="120"/>
              <w:jc w:val="both"/>
              <w:rPr>
                <w:rFonts w:ascii="Aptos" w:hAnsi="Aptos" w:cstheme="minorHAnsi"/>
                <w:sz w:val="22"/>
                <w:szCs w:val="22"/>
                <w:lang w:val="de-DE"/>
              </w:rPr>
            </w:pPr>
            <w:r w:rsidRPr="00660A69">
              <w:rPr>
                <w:rFonts w:ascii="Aptos" w:hAnsi="Aptos" w:cstheme="minorHAnsi"/>
                <w:sz w:val="22"/>
                <w:szCs w:val="22"/>
                <w:lang w:val="de-DE"/>
              </w:rPr>
              <w:t xml:space="preserve">Angesichts der Dringlichkeit, den Klimawandel einzudämmen, hat die Diskussion über Kohlenstoffabscheidung, -nutzung und -speicherung (CCUS) weltweit an Bedeutung gewonnen. CCUS bietet zwar eine Möglichkeit, CO2-Emissionen zu reduzieren, indem es ermöglicht, Kohlenstoff aus industriellen Prozessen und Stromerzeugung zu erfassen und zu speichern. Allerdings sind damit auch diverse Risiken verbunden, insbesondere hinsichtlich möglicher Leckagen und den damit verbundenen Schadstoffeinträgen in Grundwasser und Böden sowie wiederum erhöhten CO2-Werten. </w:t>
            </w:r>
            <w:r w:rsidRPr="00660A69">
              <w:rPr>
                <w:rFonts w:ascii="Aptos" w:eastAsia="Times New Roman" w:hAnsi="Aptos" w:cstheme="minorHAnsi"/>
                <w:b/>
                <w:bCs/>
                <w:sz w:val="22"/>
                <w:szCs w:val="22"/>
                <w:lang w:val="de-DE" w:eastAsia="de-DE"/>
              </w:rPr>
              <w:t>Für welche Sektoren ist angedacht, in einem ersten Schritt CCS verpflichtend einzuführen und wie kann CCS bei der Müllverbrennung angerechnet werden?</w:t>
            </w:r>
            <w:r w:rsidRPr="00660A69">
              <w:rPr>
                <w:rFonts w:ascii="Aptos" w:eastAsia="Times New Roman" w:hAnsi="Aptos" w:cstheme="minorHAnsi"/>
                <w:sz w:val="22"/>
                <w:szCs w:val="22"/>
                <w:lang w:val="de-DE" w:eastAsia="de-DE"/>
              </w:rPr>
              <w:t xml:space="preserve"> </w:t>
            </w:r>
          </w:p>
        </w:tc>
      </w:tr>
      <w:tr w:rsidR="00623AF8" w:rsidRPr="00660A69" w14:paraId="08AA72D5" w14:textId="77777777" w:rsidTr="00875DD0">
        <w:tc>
          <w:tcPr>
            <w:tcW w:w="9060" w:type="dxa"/>
            <w:shd w:val="clear" w:color="auto" w:fill="D9D9D9" w:themeFill="background1" w:themeFillShade="D9"/>
          </w:tcPr>
          <w:p w14:paraId="6F180CA8"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rPr>
              <w:t>Nachfrage</w:t>
            </w:r>
            <w:r w:rsidRPr="00660A69">
              <w:rPr>
                <w:rFonts w:ascii="Aptos" w:hAnsi="Aptos"/>
                <w:b/>
                <w:bCs/>
                <w:sz w:val="22"/>
                <w:szCs w:val="22"/>
              </w:rPr>
              <w:t xml:space="preserve"> </w:t>
            </w:r>
          </w:p>
        </w:tc>
      </w:tr>
      <w:tr w:rsidR="00623AF8" w:rsidRPr="00660A69" w14:paraId="7869F159" w14:textId="77777777" w:rsidTr="00875DD0">
        <w:tc>
          <w:tcPr>
            <w:tcW w:w="9060" w:type="dxa"/>
          </w:tcPr>
          <w:p w14:paraId="0E041B24" w14:textId="77777777" w:rsidR="00623AF8" w:rsidRPr="00660A69" w:rsidRDefault="00623AF8" w:rsidP="00F63BE8">
            <w:pPr>
              <w:numPr>
                <w:ilvl w:val="0"/>
                <w:numId w:val="2"/>
              </w:numPr>
              <w:contextualSpacing/>
              <w:rPr>
                <w:rFonts w:ascii="Aptos" w:hAnsi="Aptos"/>
                <w:sz w:val="22"/>
                <w:szCs w:val="22"/>
                <w:lang w:val="de-DE"/>
              </w:rPr>
            </w:pPr>
            <w:r w:rsidRPr="00660A69">
              <w:rPr>
                <w:rFonts w:ascii="Aptos" w:hAnsi="Aptos"/>
                <w:sz w:val="22"/>
                <w:szCs w:val="22"/>
                <w:lang w:val="de-DE"/>
              </w:rPr>
              <w:t xml:space="preserve">Denken Sie, die technischen und rechtlichen Rahmenbedingungen in der Legislaturperiode zu schaffen und welcher Zeitrahmen ist vorgesehen? </w:t>
            </w:r>
          </w:p>
          <w:p w14:paraId="4E91EBAD" w14:textId="77777777" w:rsidR="00623AF8" w:rsidRPr="00660A69" w:rsidRDefault="00623AF8" w:rsidP="00F63BE8">
            <w:pPr>
              <w:numPr>
                <w:ilvl w:val="0"/>
                <w:numId w:val="2"/>
              </w:numPr>
              <w:contextualSpacing/>
              <w:rPr>
                <w:rFonts w:ascii="Aptos" w:hAnsi="Aptos"/>
                <w:sz w:val="22"/>
                <w:szCs w:val="22"/>
                <w:lang w:val="de-DE"/>
              </w:rPr>
            </w:pPr>
            <w:r w:rsidRPr="00660A69">
              <w:rPr>
                <w:rFonts w:ascii="Aptos" w:hAnsi="Aptos"/>
                <w:sz w:val="22"/>
                <w:szCs w:val="22"/>
                <w:lang w:val="de-DE"/>
              </w:rPr>
              <w:t>Gibt es Überlegungen zur Einführung einer Carbon-Bank als Zwischenschritt, und falls ja, gibt es konkrete Vorstellungen zu deren Funktionalität?</w:t>
            </w:r>
          </w:p>
          <w:p w14:paraId="4F0B1D25" w14:textId="77777777" w:rsidR="00623AF8" w:rsidRPr="00660A69" w:rsidRDefault="00623AF8" w:rsidP="00F63BE8">
            <w:pPr>
              <w:numPr>
                <w:ilvl w:val="0"/>
                <w:numId w:val="2"/>
              </w:numPr>
              <w:contextualSpacing/>
              <w:rPr>
                <w:lang w:val="de-DE"/>
              </w:rPr>
            </w:pPr>
            <w:r w:rsidRPr="00660A69">
              <w:rPr>
                <w:rFonts w:ascii="Aptos" w:hAnsi="Aptos"/>
                <w:sz w:val="22"/>
                <w:szCs w:val="22"/>
                <w:lang w:val="de-DE"/>
              </w:rPr>
              <w:t>Welche Förderungen sind für die Abscheidungstechnologien vorgesehen?</w:t>
            </w:r>
          </w:p>
        </w:tc>
      </w:tr>
    </w:tbl>
    <w:p w14:paraId="135CEC87"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3EFADB31" w14:textId="77777777" w:rsidTr="00875DD0">
        <w:tc>
          <w:tcPr>
            <w:tcW w:w="9060" w:type="dxa"/>
            <w:shd w:val="clear" w:color="auto" w:fill="D9D9D9" w:themeFill="background1" w:themeFillShade="D9"/>
          </w:tcPr>
          <w:p w14:paraId="6EEAC0FF"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38B7B7A6" w14:textId="77777777" w:rsidR="00623AF8" w:rsidRPr="00660A69" w:rsidRDefault="00623AF8" w:rsidP="00623AF8">
      <w:pPr>
        <w:spacing w:after="120"/>
        <w:jc w:val="both"/>
        <w:rPr>
          <w:rFonts w:ascii="Aptos" w:hAnsi="Aptos"/>
          <w:sz w:val="22"/>
          <w:szCs w:val="22"/>
        </w:rPr>
      </w:pPr>
      <w:r w:rsidRPr="00660A69">
        <w:rPr>
          <w:rFonts w:ascii="Aptos" w:hAnsi="Aptos"/>
          <w:sz w:val="22"/>
          <w:szCs w:val="22"/>
        </w:rPr>
        <w:t>Die Europäische Kommission hat im Februar 2024 eine umfassende Carbon-Management-Strategie veröffentlicht, die das Ziel verfolgt, CO2-Emissionen durch verschiedene Technologien zu reduzieren, zu speichern (CCS) und zu nutzen (CCS). Die Entwicklung und Integration von CO2-Transportinfrastrukturen ist ebenfalls ein zentraler Bestandteil dieser Strategie, um einen funktionierenden CO2-Markt in Europa zu etablieren. Die EU plant, die CO2-Speicherkapazitäten bis 2030 auf mindestens 50 Millionen Tonnen pro Jahr auszubauen und diese Kapazität bis 2040 und darüber hinaus weiter zu steigern. Trotz der überwiegend positiven Aussagen über die Rolle und Notwendigkeit von CCUS im Strategieplan birgt erhebliche Risiken. So erfordert der Prozess hohe Energiemengen, die die CO2-Bilanz negativ beeinflussen können und möglicherweise mehr Emissionen entstehen, als eingespart werden. Weiters wird gespeichertes CO2 wird oft schnell wieder freigesetzt, insbesondere bei der Verwendung in Düngemitteln und synthetischen Brennstoffen. Zudem besteht die Gefahr von Leckagen und Schadstoffeinträgen in Boden und Grundwasser. Langzeitstudien, die keine Gefährdung für Mensch und Umwelt wissenschaftlich belegen, fehlen.</w:t>
      </w:r>
    </w:p>
    <w:p w14:paraId="7B0D34C4" w14:textId="77777777" w:rsidR="00623AF8" w:rsidRPr="00660A69" w:rsidRDefault="00623AF8" w:rsidP="00623AF8">
      <w:pPr>
        <w:spacing w:after="120"/>
        <w:jc w:val="both"/>
      </w:pPr>
    </w:p>
    <w:p w14:paraId="44AE3EC3" w14:textId="77777777" w:rsidR="00623AF8" w:rsidRPr="00660A69" w:rsidRDefault="00623AF8" w:rsidP="00623AF8">
      <w:pPr>
        <w:spacing w:after="120"/>
        <w:jc w:val="both"/>
      </w:pPr>
    </w:p>
    <w:p w14:paraId="6BAA868B" w14:textId="77777777" w:rsidR="00623AF8" w:rsidRPr="00660A69" w:rsidRDefault="00623AF8" w:rsidP="00623AF8">
      <w:pPr>
        <w:spacing w:after="120"/>
        <w:jc w:val="both"/>
      </w:pPr>
    </w:p>
    <w:p w14:paraId="07F87C2F" w14:textId="77777777" w:rsidR="00623AF8" w:rsidRPr="00660A69" w:rsidRDefault="00623AF8" w:rsidP="00623AF8">
      <w:pPr>
        <w:spacing w:after="120"/>
        <w:jc w:val="both"/>
      </w:pPr>
    </w:p>
    <w:p w14:paraId="62C0C9F3" w14:textId="77777777" w:rsidR="00623AF8" w:rsidRPr="00660A69" w:rsidRDefault="00623AF8" w:rsidP="00623AF8">
      <w:pPr>
        <w:spacing w:after="120"/>
        <w:jc w:val="both"/>
      </w:pPr>
    </w:p>
    <w:p w14:paraId="191055EF" w14:textId="77777777" w:rsidR="00623AF8" w:rsidRPr="00660A69" w:rsidRDefault="00623AF8" w:rsidP="00623AF8">
      <w:pPr>
        <w:spacing w:after="120"/>
        <w:jc w:val="both"/>
        <w:rPr>
          <w:rFonts w:ascii="Aptos" w:hAnsi="Aptos"/>
          <w:b/>
          <w:iCs/>
          <w:sz w:val="22"/>
          <w:szCs w:val="22"/>
        </w:rPr>
      </w:pPr>
    </w:p>
    <w:p w14:paraId="22BD5F75" w14:textId="77777777" w:rsidR="00623AF8" w:rsidRPr="00660A69" w:rsidRDefault="00623AF8" w:rsidP="00623AF8">
      <w:pPr>
        <w:jc w:val="both"/>
        <w:rPr>
          <w:rFonts w:ascii="Aptos" w:hAnsi="Aptos"/>
          <w:bCs/>
          <w:sz w:val="22"/>
          <w:szCs w:val="22"/>
          <w:u w:val="single"/>
        </w:rPr>
      </w:pPr>
    </w:p>
    <w:p w14:paraId="5603D6BB"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6C51ABDB"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24" w:name="_Toc170983638"/>
      <w:r w:rsidRPr="00660A69">
        <w:rPr>
          <w:rFonts w:ascii="Aptos" w:eastAsiaTheme="majorEastAsia" w:hAnsi="Aptos" w:cstheme="majorBidi"/>
          <w:b/>
          <w:color w:val="E4342D"/>
          <w:sz w:val="22"/>
          <w:szCs w:val="22"/>
        </w:rPr>
        <w:t>Recht auf Reparatur</w:t>
      </w:r>
      <w:bookmarkEnd w:id="24"/>
    </w:p>
    <w:p w14:paraId="143AEE4B"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754AA653" w14:textId="77777777" w:rsidTr="00875DD0">
        <w:tc>
          <w:tcPr>
            <w:tcW w:w="9060" w:type="dxa"/>
            <w:shd w:val="clear" w:color="auto" w:fill="D9D9D9" w:themeFill="background1" w:themeFillShade="D9"/>
          </w:tcPr>
          <w:p w14:paraId="33D45EEE"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405BFC3A" w14:textId="77777777" w:rsidTr="00875DD0">
        <w:tc>
          <w:tcPr>
            <w:tcW w:w="9060" w:type="dxa"/>
          </w:tcPr>
          <w:p w14:paraId="4BDBC480" w14:textId="77777777" w:rsidR="00623AF8" w:rsidRPr="00660A69" w:rsidRDefault="00623AF8" w:rsidP="00875DD0">
            <w:pPr>
              <w:jc w:val="both"/>
              <w:rPr>
                <w:rFonts w:ascii="Aptos" w:hAnsi="Aptos"/>
                <w:sz w:val="22"/>
                <w:szCs w:val="22"/>
              </w:rPr>
            </w:pPr>
            <w:r w:rsidRPr="00660A69">
              <w:rPr>
                <w:rFonts w:ascii="Aptos" w:hAnsi="Aptos"/>
                <w:sz w:val="22"/>
                <w:szCs w:val="22"/>
              </w:rPr>
              <w:t>Die kürzlich erzielte Einigung auf EU-Ebene über das "Recht auf Reparatur" für Alltagsgeräte wie Staubsauger, Waschmaschinen und Handys markiert einen bedeutsamen Schritt im Verbraucher- und Umweltschutz, um Abfall zu vermeiden die Lebensdauer von Produkten zu verlängern und die Wegwerfkultur zu überwinden.</w:t>
            </w:r>
          </w:p>
          <w:p w14:paraId="490E3033" w14:textId="77777777" w:rsidR="00623AF8" w:rsidRPr="00660A69" w:rsidRDefault="00623AF8" w:rsidP="00875DD0">
            <w:pPr>
              <w:jc w:val="both"/>
              <w:rPr>
                <w:b/>
                <w:bCs/>
              </w:rPr>
            </w:pPr>
            <w:r w:rsidRPr="00660A69">
              <w:rPr>
                <w:rFonts w:ascii="Aptos" w:hAnsi="Aptos"/>
                <w:b/>
                <w:bCs/>
                <w:sz w:val="22"/>
                <w:szCs w:val="22"/>
              </w:rPr>
              <w:t>Welche Überlegungen gibt es aus Sicht des Verbraucherschutzes zu nicht in der EU produzierten Produkten und dem Recht auf Reparatur, um etwa die Entnahme von Akkus oder Batterien anwendbar zu machen und zu gewährleisten?</w:t>
            </w:r>
          </w:p>
        </w:tc>
      </w:tr>
      <w:tr w:rsidR="00623AF8" w:rsidRPr="00660A69" w14:paraId="1C02A074" w14:textId="77777777" w:rsidTr="00875DD0">
        <w:tc>
          <w:tcPr>
            <w:tcW w:w="9060" w:type="dxa"/>
            <w:shd w:val="clear" w:color="auto" w:fill="D9D9D9" w:themeFill="background1" w:themeFillShade="D9"/>
          </w:tcPr>
          <w:p w14:paraId="23E825E6"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3D455EB4" w14:textId="77777777" w:rsidTr="00875DD0">
        <w:tc>
          <w:tcPr>
            <w:tcW w:w="9060" w:type="dxa"/>
          </w:tcPr>
          <w:p w14:paraId="2BD248F3" w14:textId="77777777" w:rsidR="00623AF8" w:rsidRPr="00660A69" w:rsidRDefault="00623AF8" w:rsidP="00F63BE8">
            <w:pPr>
              <w:numPr>
                <w:ilvl w:val="0"/>
                <w:numId w:val="2"/>
              </w:numPr>
              <w:contextualSpacing/>
              <w:rPr>
                <w:rFonts w:ascii="Aptos" w:hAnsi="Aptos"/>
                <w:sz w:val="22"/>
                <w:szCs w:val="22"/>
                <w:lang w:val="de-DE"/>
              </w:rPr>
            </w:pPr>
            <w:r w:rsidRPr="00660A69">
              <w:rPr>
                <w:rFonts w:ascii="Aptos" w:hAnsi="Aptos"/>
                <w:sz w:val="22"/>
                <w:szCs w:val="22"/>
                <w:lang w:val="de-DE"/>
              </w:rPr>
              <w:t xml:space="preserve">Für welche Materialien und Produkte können Sie sich eine Umsetzung der Produktspezifischen Vorgaben iZm der Ökodesign-Richtlinie vorstellen? </w:t>
            </w:r>
          </w:p>
        </w:tc>
      </w:tr>
    </w:tbl>
    <w:p w14:paraId="294F03B9"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7B5DB3E3" w14:textId="77777777" w:rsidTr="00875DD0">
        <w:tc>
          <w:tcPr>
            <w:tcW w:w="9060" w:type="dxa"/>
            <w:shd w:val="clear" w:color="auto" w:fill="D9D9D9" w:themeFill="background1" w:themeFillShade="D9"/>
          </w:tcPr>
          <w:p w14:paraId="574E8C00"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54CB0E24" w14:textId="77777777" w:rsidR="00623AF8" w:rsidRPr="00660A69" w:rsidRDefault="00623AF8" w:rsidP="00623AF8">
      <w:pPr>
        <w:jc w:val="both"/>
        <w:rPr>
          <w:rFonts w:ascii="Aptos" w:eastAsia="Times New Roman" w:hAnsi="Aptos" w:cs="Times New Roman"/>
          <w:sz w:val="22"/>
          <w:szCs w:val="22"/>
          <w:lang w:eastAsia="de-DE"/>
        </w:rPr>
      </w:pPr>
      <w:r w:rsidRPr="00660A69">
        <w:rPr>
          <w:rFonts w:ascii="Aptos" w:eastAsia="Times New Roman" w:hAnsi="Aptos" w:cs="Times New Roman"/>
          <w:sz w:val="22"/>
          <w:szCs w:val="22"/>
          <w:lang w:eastAsia="de-DE"/>
        </w:rPr>
        <w:t>Das Wegwerfen reparierbarer Waren hat enorme Auswirkungen auf die Umwelt. Die nun im April 2024 verabschiedete Richtlinie „Recht auf Reparatur“ gilt als ein wichtiger Schritt für den Plan der EU, als Teil des europäischen Green Deals bis 2050 eine Kreislaufwirtschaft zu verwirklichen. Ziel der Richtlinie ist die Förderung von nachhaltigerem Konsum, indem die Reparatur defekter Waren erleichtert, Abfall reduziert und der Reparatursektor unterstützt werden. So etwa sind Verkäufer verpflichtet, innerhalb der gesetzlichen Garantiezeit Reparaturen vorzuziehen, wenn diese günstiger oder kostenmäßig gleichwertig zum Austausch sind. Nach einer Reparatur verlängert sich die Garantie um ein Jahr. Verbraucher haben zudem das Recht, nach Ablauf der Garantie Reparaturen für Produkte wie Waschmaschinen, Staubsauger und Smartphones zu verlangen. Zusätzlich wird eine europäische Online-Plattform eingerichtet, um lokale Reparaturwerkstätten zu finden und Ersatzgeräte sollen während der Reparaturdauer leihweise angeboten werden. Diese Richtlinie fördert nachhaltigen Konsum und unterstützt den Übergang zu einer umweltfreundlicheren Wirtschaft, ergänzt durch weitere EU-Vorschriften wie die Ökodesign-Verordnung.</w:t>
      </w:r>
    </w:p>
    <w:p w14:paraId="0CEA4C87" w14:textId="77777777" w:rsidR="00623AF8" w:rsidRPr="00660A69" w:rsidRDefault="00623AF8" w:rsidP="00623AF8">
      <w:pPr>
        <w:spacing w:after="120"/>
        <w:jc w:val="both"/>
      </w:pPr>
    </w:p>
    <w:p w14:paraId="13869B88" w14:textId="77777777" w:rsidR="00623AF8" w:rsidRPr="00660A69" w:rsidRDefault="00623AF8" w:rsidP="00623AF8">
      <w:pPr>
        <w:spacing w:after="120"/>
        <w:jc w:val="both"/>
        <w:rPr>
          <w:rFonts w:ascii="Aptos" w:hAnsi="Aptos"/>
          <w:b/>
          <w:iCs/>
          <w:sz w:val="22"/>
          <w:szCs w:val="22"/>
        </w:rPr>
      </w:pPr>
    </w:p>
    <w:p w14:paraId="2E0964A2" w14:textId="77777777" w:rsidR="00623AF8" w:rsidRPr="00660A69" w:rsidRDefault="00623AF8" w:rsidP="00623AF8">
      <w:pPr>
        <w:spacing w:after="120"/>
        <w:jc w:val="both"/>
        <w:rPr>
          <w:rFonts w:ascii="Aptos" w:hAnsi="Aptos"/>
          <w:sz w:val="22"/>
          <w:szCs w:val="22"/>
          <w:lang w:val="de-DE"/>
        </w:rPr>
      </w:pPr>
    </w:p>
    <w:p w14:paraId="3966657B" w14:textId="77777777" w:rsidR="00623AF8" w:rsidRPr="00660A69" w:rsidRDefault="00623AF8" w:rsidP="00623AF8">
      <w:pPr>
        <w:spacing w:after="120"/>
        <w:jc w:val="both"/>
        <w:rPr>
          <w:rFonts w:ascii="Aptos" w:hAnsi="Aptos"/>
          <w:i/>
          <w:iCs/>
          <w:sz w:val="22"/>
          <w:szCs w:val="22"/>
          <w:u w:val="single"/>
        </w:rPr>
      </w:pPr>
    </w:p>
    <w:p w14:paraId="284FF63A" w14:textId="77777777" w:rsidR="00623AF8" w:rsidRPr="00660A69" w:rsidRDefault="00623AF8" w:rsidP="00623AF8">
      <w:pPr>
        <w:spacing w:after="120"/>
        <w:jc w:val="both"/>
        <w:rPr>
          <w:rFonts w:ascii="Aptos" w:hAnsi="Aptos"/>
          <w:i/>
          <w:iCs/>
          <w:sz w:val="22"/>
          <w:szCs w:val="22"/>
          <w:u w:val="single"/>
        </w:rPr>
      </w:pPr>
    </w:p>
    <w:p w14:paraId="1EA5E10B" w14:textId="77777777" w:rsidR="00623AF8" w:rsidRPr="00660A69" w:rsidRDefault="00623AF8" w:rsidP="00623AF8">
      <w:pPr>
        <w:spacing w:after="120"/>
        <w:jc w:val="both"/>
        <w:rPr>
          <w:rFonts w:ascii="Aptos" w:hAnsi="Aptos"/>
          <w:i/>
          <w:iCs/>
          <w:sz w:val="22"/>
          <w:szCs w:val="22"/>
          <w:u w:val="single"/>
        </w:rPr>
      </w:pPr>
    </w:p>
    <w:p w14:paraId="5CB731E5" w14:textId="77777777" w:rsidR="00623AF8" w:rsidRPr="00660A69" w:rsidRDefault="00623AF8" w:rsidP="00623AF8">
      <w:pPr>
        <w:spacing w:after="120"/>
        <w:jc w:val="both"/>
        <w:rPr>
          <w:rFonts w:ascii="Aptos" w:hAnsi="Aptos"/>
          <w:i/>
          <w:iCs/>
          <w:sz w:val="22"/>
          <w:szCs w:val="22"/>
          <w:u w:val="single"/>
        </w:rPr>
      </w:pPr>
    </w:p>
    <w:p w14:paraId="7B02024B" w14:textId="77777777" w:rsidR="00623AF8" w:rsidRPr="00660A69" w:rsidRDefault="00623AF8" w:rsidP="00623AF8">
      <w:pPr>
        <w:spacing w:after="120"/>
        <w:jc w:val="both"/>
        <w:rPr>
          <w:rFonts w:ascii="Aptos" w:hAnsi="Aptos"/>
          <w:i/>
          <w:iCs/>
          <w:sz w:val="22"/>
          <w:szCs w:val="22"/>
          <w:u w:val="single"/>
        </w:rPr>
      </w:pPr>
    </w:p>
    <w:p w14:paraId="171EEADD" w14:textId="77777777" w:rsidR="00623AF8" w:rsidRPr="00660A69" w:rsidRDefault="00623AF8" w:rsidP="00623AF8">
      <w:pPr>
        <w:spacing w:after="120"/>
        <w:jc w:val="both"/>
        <w:rPr>
          <w:rFonts w:ascii="Aptos" w:hAnsi="Aptos"/>
          <w:i/>
          <w:iCs/>
          <w:sz w:val="22"/>
          <w:szCs w:val="22"/>
          <w:u w:val="single"/>
        </w:rPr>
      </w:pPr>
    </w:p>
    <w:p w14:paraId="1824DE41" w14:textId="77777777" w:rsidR="00623AF8" w:rsidRPr="00660A69" w:rsidRDefault="00623AF8" w:rsidP="00623AF8">
      <w:pPr>
        <w:spacing w:after="120"/>
        <w:jc w:val="both"/>
        <w:rPr>
          <w:rFonts w:ascii="Aptos" w:hAnsi="Aptos"/>
          <w:i/>
          <w:iCs/>
          <w:sz w:val="22"/>
          <w:szCs w:val="22"/>
          <w:u w:val="single"/>
        </w:rPr>
      </w:pPr>
    </w:p>
    <w:p w14:paraId="596F1F68" w14:textId="77777777" w:rsidR="00623AF8" w:rsidRPr="00660A69" w:rsidRDefault="00623AF8" w:rsidP="00623AF8">
      <w:pPr>
        <w:spacing w:after="120"/>
        <w:jc w:val="both"/>
        <w:rPr>
          <w:rFonts w:ascii="Aptos" w:hAnsi="Aptos"/>
          <w:i/>
          <w:iCs/>
          <w:sz w:val="22"/>
          <w:szCs w:val="22"/>
          <w:u w:val="single"/>
        </w:rPr>
      </w:pPr>
    </w:p>
    <w:p w14:paraId="1714B0AD" w14:textId="77777777" w:rsidR="00623AF8" w:rsidRPr="00660A69" w:rsidRDefault="00623AF8" w:rsidP="00623AF8">
      <w:pPr>
        <w:spacing w:after="120"/>
        <w:jc w:val="both"/>
        <w:rPr>
          <w:rFonts w:ascii="Aptos" w:hAnsi="Aptos"/>
          <w:i/>
          <w:iCs/>
          <w:sz w:val="22"/>
          <w:szCs w:val="22"/>
          <w:u w:val="single"/>
        </w:rPr>
      </w:pPr>
    </w:p>
    <w:p w14:paraId="0FCA92CD"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696E6D8E"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4C6DCB6F"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25" w:name="_Toc170983639"/>
      <w:r w:rsidRPr="00660A69">
        <w:rPr>
          <w:rFonts w:ascii="Aptos" w:eastAsiaTheme="majorEastAsia" w:hAnsi="Aptos" w:cstheme="majorBidi"/>
          <w:b/>
          <w:color w:val="E4342D"/>
          <w:sz w:val="22"/>
          <w:szCs w:val="22"/>
        </w:rPr>
        <w:t>Emissionshandelsystem ETS – thermische Verwertung und Deponien</w:t>
      </w:r>
      <w:bookmarkEnd w:id="25"/>
    </w:p>
    <w:p w14:paraId="2B223BEA"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3E7925C2" w14:textId="77777777" w:rsidTr="00875DD0">
        <w:tc>
          <w:tcPr>
            <w:tcW w:w="9060" w:type="dxa"/>
            <w:shd w:val="clear" w:color="auto" w:fill="D9D9D9" w:themeFill="background1" w:themeFillShade="D9"/>
          </w:tcPr>
          <w:p w14:paraId="5B614AA3"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240A2FF4" w14:textId="77777777" w:rsidTr="00875DD0">
        <w:tc>
          <w:tcPr>
            <w:tcW w:w="9060" w:type="dxa"/>
          </w:tcPr>
          <w:p w14:paraId="48AA5573" w14:textId="77777777" w:rsidR="00623AF8" w:rsidRPr="00660A69" w:rsidRDefault="00623AF8" w:rsidP="00875DD0">
            <w:pPr>
              <w:jc w:val="both"/>
              <w:rPr>
                <w:rFonts w:ascii="Aptos" w:hAnsi="Aptos"/>
                <w:sz w:val="22"/>
                <w:szCs w:val="22"/>
                <w:lang w:val="de-DE"/>
              </w:rPr>
            </w:pPr>
            <w:r w:rsidRPr="00660A69">
              <w:rPr>
                <w:rFonts w:ascii="Aptos" w:hAnsi="Aptos"/>
                <w:sz w:val="22"/>
                <w:szCs w:val="22"/>
              </w:rPr>
              <w:t xml:space="preserve">Für eine mögliche </w:t>
            </w:r>
            <w:r w:rsidRPr="00660A69">
              <w:rPr>
                <w:rFonts w:ascii="Aptos" w:hAnsi="Aptos"/>
                <w:sz w:val="22"/>
                <w:szCs w:val="22"/>
                <w:lang w:val="de-DE"/>
              </w:rPr>
              <w:t>Aufnahme von Anlagen für die thermische Verwertung von Siedlungsabfällen in das EU-ETS sind die EU-Mitgliedstaaten ab 2024 verpflichtet, Berichte über diesbezügliche Emissionen vorzulegen. Anhand dieser prüft die Europäische Kommission bis Mitte 2026 die Einbeziehung in das EU-ETS ab 2028.</w:t>
            </w:r>
          </w:p>
          <w:p w14:paraId="499CEBAD" w14:textId="77777777" w:rsidR="00623AF8" w:rsidRPr="00660A69" w:rsidRDefault="00623AF8" w:rsidP="00875DD0">
            <w:pPr>
              <w:jc w:val="both"/>
              <w:rPr>
                <w:b/>
                <w:bCs/>
                <w:lang w:val="de-DE"/>
              </w:rPr>
            </w:pPr>
            <w:r w:rsidRPr="00660A69">
              <w:rPr>
                <w:rFonts w:ascii="Aptos" w:hAnsi="Aptos"/>
                <w:b/>
                <w:bCs/>
                <w:sz w:val="22"/>
                <w:szCs w:val="22"/>
                <w:lang w:val="de-DE"/>
              </w:rPr>
              <w:t>Gedenken Sie, dass bei einer Aufnahme von thermischer Abfallverwertung auch weitere Abfallbewirtschaftungsverfahren wie Deponien, die Methan- und Stickstoffoxidemissionen in der Union verursachen, in das EU-ETS aufgenommen werden, um Verschiebungen zu verhindern?</w:t>
            </w:r>
          </w:p>
        </w:tc>
      </w:tr>
      <w:tr w:rsidR="00623AF8" w:rsidRPr="00660A69" w14:paraId="319DBF15" w14:textId="77777777" w:rsidTr="00875DD0">
        <w:tc>
          <w:tcPr>
            <w:tcW w:w="9060" w:type="dxa"/>
            <w:shd w:val="clear" w:color="auto" w:fill="D9D9D9" w:themeFill="background1" w:themeFillShade="D9"/>
          </w:tcPr>
          <w:p w14:paraId="35DE70E5"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3BDA24F0" w14:textId="77777777" w:rsidTr="00875DD0">
        <w:tc>
          <w:tcPr>
            <w:tcW w:w="9060" w:type="dxa"/>
          </w:tcPr>
          <w:p w14:paraId="0BB863D2" w14:textId="77777777" w:rsidR="00623AF8" w:rsidRPr="00660A69" w:rsidRDefault="00623AF8" w:rsidP="00875DD0">
            <w:pPr>
              <w:spacing w:before="120" w:after="120"/>
              <w:jc w:val="both"/>
              <w:rPr>
                <w:rFonts w:ascii="Aptos" w:hAnsi="Aptos"/>
                <w:i/>
                <w:iCs/>
                <w:sz w:val="22"/>
                <w:szCs w:val="22"/>
                <w:u w:val="single"/>
              </w:rPr>
            </w:pPr>
            <w:r w:rsidRPr="00660A69">
              <w:rPr>
                <w:rFonts w:ascii="Aptos" w:hAnsi="Aptos"/>
                <w:i/>
                <w:iCs/>
                <w:sz w:val="22"/>
                <w:szCs w:val="22"/>
                <w:u w:val="single"/>
              </w:rPr>
              <w:t>-</w:t>
            </w:r>
          </w:p>
        </w:tc>
      </w:tr>
    </w:tbl>
    <w:p w14:paraId="3AC7E720"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23CA1F4F" w14:textId="77777777" w:rsidTr="00875DD0">
        <w:tc>
          <w:tcPr>
            <w:tcW w:w="9060" w:type="dxa"/>
            <w:shd w:val="clear" w:color="auto" w:fill="D9D9D9" w:themeFill="background1" w:themeFillShade="D9"/>
          </w:tcPr>
          <w:p w14:paraId="21FA8B99"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1C1FF26B" w14:textId="77777777" w:rsidR="00623AF8" w:rsidRPr="00660A69" w:rsidRDefault="00623AF8" w:rsidP="00623AF8">
      <w:pPr>
        <w:spacing w:after="120"/>
        <w:jc w:val="both"/>
        <w:rPr>
          <w:rFonts w:ascii="Aptos" w:hAnsi="Aptos"/>
          <w:sz w:val="22"/>
          <w:szCs w:val="22"/>
        </w:rPr>
        <w:sectPr w:rsidR="00623AF8" w:rsidRPr="00660A69" w:rsidSect="00CB1AE7">
          <w:pgSz w:w="11906" w:h="16838"/>
          <w:pgMar w:top="1843" w:right="1418" w:bottom="1134" w:left="1418" w:header="709" w:footer="510" w:gutter="0"/>
          <w:cols w:space="708"/>
          <w:docGrid w:linePitch="360"/>
        </w:sectPr>
      </w:pPr>
      <w:r w:rsidRPr="00660A69">
        <w:rPr>
          <w:rFonts w:ascii="Aptos" w:hAnsi="Aptos"/>
          <w:sz w:val="22"/>
          <w:szCs w:val="22"/>
        </w:rPr>
        <w:t>Das EU-Emissionshandelssystem (EU-ETS) ist ein wichtiger Baustein des EU-Klimapakets „Fit-for-55“, das darauf abzielt, die Treibhausgasemissionen in der Europäischen Union bis spätestens 2050 auf null zu reduzieren. In diesem System müssen Unternehmen aus energieintensiven Branchen und Stromerzeuger CO2-Zertifikate erwerben, um CO2-Emissionen ausstoßen zu dürfen. Ab 2024 müssen die EU-Mitgliedstaaten einen Bericht über die Emissionen aus der thermischen Verwertung vorlegen. Basierend auf diesen Berichten soll die Europäische Kommission bis Mitte 2026 eine Studie über die generelle Möglichkeit der Einbeziehung der thermischen Verwertung in das EU-ETS ab 2028 unter Berücksichtigung potenzieller Umlenkung auf Deponien und Exporte in Drittländer erstellen - der ursprüngliche Vorschlag der Kommission hatte die Einbeziehung der thermischen Abfallverwertung in das EU-ETS nicht vorgesehen.  Um Wettbewerbsverzerrungen zu verhindern, sollte auch die Prüfung zur Aufnahme von Vergärung, Kompostierung, sowie von Deponien erfolgen.</w:t>
      </w:r>
    </w:p>
    <w:p w14:paraId="10A3A8BF"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718D71DD" w14:textId="77777777" w:rsidR="00623AF8" w:rsidRDefault="00623AF8" w:rsidP="00623AF8">
      <w:pPr>
        <w:keepNext/>
        <w:keepLines/>
        <w:spacing w:before="240"/>
        <w:outlineLvl w:val="0"/>
        <w:rPr>
          <w:rFonts w:ascii="Aptos" w:eastAsiaTheme="majorEastAsia" w:hAnsi="Aptos" w:cstheme="majorBidi"/>
          <w:b/>
          <w:color w:val="E4342D"/>
          <w:sz w:val="22"/>
          <w:szCs w:val="22"/>
        </w:rPr>
      </w:pPr>
    </w:p>
    <w:p w14:paraId="5A561A41"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26" w:name="_Toc170983640"/>
      <w:r w:rsidRPr="00660A69">
        <w:rPr>
          <w:rFonts w:ascii="Aptos" w:eastAsiaTheme="majorEastAsia" w:hAnsi="Aptos" w:cstheme="majorBidi"/>
          <w:b/>
          <w:color w:val="E4342D"/>
          <w:sz w:val="22"/>
          <w:szCs w:val="22"/>
        </w:rPr>
        <w:t>Vergaberecht in Richtung ESG</w:t>
      </w:r>
      <w:bookmarkEnd w:id="26"/>
    </w:p>
    <w:p w14:paraId="343A09E7"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1793184C" w14:textId="77777777" w:rsidTr="00875DD0">
        <w:tc>
          <w:tcPr>
            <w:tcW w:w="9060" w:type="dxa"/>
            <w:shd w:val="clear" w:color="auto" w:fill="D9D9D9" w:themeFill="background1" w:themeFillShade="D9"/>
          </w:tcPr>
          <w:p w14:paraId="319AB80A"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0DC8BE9E" w14:textId="77777777" w:rsidTr="00875DD0">
        <w:tc>
          <w:tcPr>
            <w:tcW w:w="9060" w:type="dxa"/>
          </w:tcPr>
          <w:p w14:paraId="0117EC16" w14:textId="77777777" w:rsidR="00623AF8" w:rsidRPr="00660A69" w:rsidRDefault="00623AF8" w:rsidP="00875DD0">
            <w:pPr>
              <w:spacing w:before="120" w:after="120"/>
              <w:jc w:val="both"/>
              <w:rPr>
                <w:rFonts w:ascii="Aptos" w:hAnsi="Aptos"/>
                <w:lang w:val="de-DE"/>
              </w:rPr>
            </w:pPr>
            <w:r w:rsidRPr="00660A69">
              <w:rPr>
                <w:rFonts w:ascii="Aptos" w:hAnsi="Aptos"/>
                <w:sz w:val="22"/>
                <w:szCs w:val="22"/>
              </w:rPr>
              <w:t xml:space="preserve">Das Vergaberecht steht vor der Herausforderung, Nachhaltigkeitskriterien angemessen zu integrieren. Insbesondere im Kontext eines Billigstbieterprinzips, das nicht im Einklang mit ökologischer Nachhaltigkeit steht, ist eine echte Etablierung eines Bestbieterprinzips notwendig. </w:t>
            </w:r>
            <w:r w:rsidRPr="00660A69">
              <w:rPr>
                <w:rFonts w:ascii="Aptos" w:hAnsi="Aptos"/>
                <w:b/>
                <w:bCs/>
                <w:sz w:val="22"/>
                <w:szCs w:val="22"/>
                <w:lang w:val="de-DE"/>
              </w:rPr>
              <w:t>Denken Sie an, das Vergaberecht in Richtung ESG abzuändern und dies möglicherweise in der Ökodesign-Richtlinie durch Standards zu verankern?</w:t>
            </w:r>
          </w:p>
        </w:tc>
      </w:tr>
      <w:tr w:rsidR="00623AF8" w:rsidRPr="00660A69" w14:paraId="28ECC101" w14:textId="77777777" w:rsidTr="00875DD0">
        <w:tc>
          <w:tcPr>
            <w:tcW w:w="9060" w:type="dxa"/>
            <w:shd w:val="clear" w:color="auto" w:fill="D9D9D9" w:themeFill="background1" w:themeFillShade="D9"/>
          </w:tcPr>
          <w:p w14:paraId="694576D5"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453FE751" w14:textId="77777777" w:rsidTr="00875DD0">
        <w:tc>
          <w:tcPr>
            <w:tcW w:w="9060" w:type="dxa"/>
          </w:tcPr>
          <w:p w14:paraId="1DB509A6" w14:textId="77777777" w:rsidR="00623AF8" w:rsidRPr="00660A69" w:rsidRDefault="00623AF8" w:rsidP="00875DD0">
            <w:pPr>
              <w:spacing w:before="120" w:after="120"/>
              <w:jc w:val="both"/>
              <w:rPr>
                <w:rFonts w:ascii="Aptos" w:hAnsi="Aptos"/>
                <w:i/>
                <w:iCs/>
                <w:sz w:val="22"/>
                <w:szCs w:val="22"/>
                <w:u w:val="single"/>
                <w:lang w:val="de-DE"/>
              </w:rPr>
            </w:pPr>
            <w:r w:rsidRPr="00660A69">
              <w:rPr>
                <w:rFonts w:ascii="Aptos" w:hAnsi="Aptos"/>
                <w:i/>
                <w:iCs/>
                <w:sz w:val="22"/>
                <w:szCs w:val="22"/>
                <w:u w:val="single"/>
                <w:lang w:val="de-DE"/>
              </w:rPr>
              <w:t>-</w:t>
            </w:r>
          </w:p>
        </w:tc>
      </w:tr>
    </w:tbl>
    <w:p w14:paraId="3F99E93D"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1E757ED8" w14:textId="77777777" w:rsidTr="00875DD0">
        <w:tc>
          <w:tcPr>
            <w:tcW w:w="9060" w:type="dxa"/>
            <w:shd w:val="clear" w:color="auto" w:fill="D9D9D9" w:themeFill="background1" w:themeFillShade="D9"/>
          </w:tcPr>
          <w:p w14:paraId="0E95A8B2"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bookmarkStart w:id="27" w:name="_Hlk171326688"/>
            <w:r w:rsidRPr="00660A69">
              <w:rPr>
                <w:rFonts w:ascii="Aptos" w:eastAsia="Arial MT" w:hAnsi="Aptos" w:cs="Arial MT"/>
                <w:b/>
                <w:szCs w:val="22"/>
                <w:highlight w:val="lightGray"/>
                <w:lang w:val="en-GB"/>
              </w:rPr>
              <w:t>Hintergrund</w:t>
            </w:r>
          </w:p>
        </w:tc>
      </w:tr>
    </w:tbl>
    <w:bookmarkEnd w:id="27"/>
    <w:p w14:paraId="1C8FF791" w14:textId="77777777" w:rsidR="00623AF8" w:rsidRPr="00660A69" w:rsidRDefault="00623AF8" w:rsidP="00623AF8">
      <w:pPr>
        <w:jc w:val="both"/>
        <w:rPr>
          <w:rFonts w:ascii="Aptos" w:hAnsi="Aptos"/>
          <w:sz w:val="22"/>
          <w:szCs w:val="22"/>
        </w:rPr>
      </w:pPr>
      <w:r w:rsidRPr="00660A69">
        <w:rPr>
          <w:rFonts w:ascii="Aptos" w:hAnsi="Aptos"/>
          <w:sz w:val="22"/>
          <w:szCs w:val="22"/>
        </w:rPr>
        <w:t xml:space="preserve">Die Europäische Union hat mit dem Europäischen Green Deal eine ehrgeizige Strategie vorgelegt, um bis 2050 Klimaneutralität zu erreichen und das Wirtschaftswachstum von der Nutzung fossiler Ressourcen abzukoppeln. Die Richtlinie (EU) 2022/2464 zur Nachhaltigkeitsberichterstattung von Unternehmen trat am 5. Januar 2023 in Kraft und sollte bis Juli dieses Jahres in nationales Recht umgesetzt werden. In Anbetracht dieser zusätzlichen Anforderungen an die Nachhaltigkeitsberichterstattung stehen viele Unternehmen vor neuen Herausforderungen und Möglichkeiten, ökologische, soziale und Governance-Aspekte (ESG) mit ihrer Geschäftstätigkeit in Einklang zu bringen. </w:t>
      </w:r>
    </w:p>
    <w:p w14:paraId="5A193A02" w14:textId="77777777" w:rsidR="00623AF8" w:rsidRPr="00660A69" w:rsidRDefault="00623AF8" w:rsidP="00623AF8">
      <w:pPr>
        <w:jc w:val="both"/>
        <w:rPr>
          <w:rFonts w:ascii="Aptos" w:hAnsi="Aptos"/>
          <w:sz w:val="22"/>
          <w:szCs w:val="22"/>
        </w:rPr>
      </w:pPr>
    </w:p>
    <w:p w14:paraId="14D351BF" w14:textId="77777777" w:rsidR="00623AF8" w:rsidRPr="00660A69" w:rsidRDefault="00623AF8" w:rsidP="00623AF8">
      <w:pPr>
        <w:jc w:val="both"/>
        <w:rPr>
          <w:rFonts w:ascii="Aptos" w:hAnsi="Aptos"/>
          <w:sz w:val="22"/>
          <w:szCs w:val="22"/>
        </w:rPr>
      </w:pPr>
      <w:r w:rsidRPr="00660A69">
        <w:rPr>
          <w:rFonts w:ascii="Aptos" w:hAnsi="Aptos"/>
          <w:sz w:val="22"/>
          <w:szCs w:val="22"/>
        </w:rPr>
        <w:t>Öffentliche Auftraggeber sind wichtige Investoren in Europa, öffentliche Beschaffungen machen</w:t>
      </w:r>
    </w:p>
    <w:p w14:paraId="09F3B8E6" w14:textId="77777777" w:rsidR="00623AF8" w:rsidRPr="00660A69" w:rsidRDefault="00623AF8" w:rsidP="00623AF8">
      <w:pPr>
        <w:jc w:val="both"/>
        <w:rPr>
          <w:rFonts w:ascii="Aptos" w:hAnsi="Aptos"/>
          <w:sz w:val="22"/>
          <w:szCs w:val="22"/>
        </w:rPr>
      </w:pPr>
      <w:r w:rsidRPr="00660A69">
        <w:rPr>
          <w:rFonts w:ascii="Aptos" w:hAnsi="Aptos"/>
          <w:sz w:val="22"/>
          <w:szCs w:val="22"/>
        </w:rPr>
        <w:t>mehr als 16 % des BIP der EU aus, sie sind ein fundamentaler Bestandteil der europäischen Wirtschaft. Seit Gründung der EU ist das öffentliche Auftragswesen kontinuierlich durch Rechtsreformen weiterentwickelt worden.</w:t>
      </w:r>
      <w:r w:rsidRPr="00660A69">
        <w:rPr>
          <w:rFonts w:ascii="Aptos" w:hAnsi="Aptos"/>
          <w:sz w:val="22"/>
          <w:szCs w:val="22"/>
          <w:vertAlign w:val="superscript"/>
        </w:rPr>
        <w:footnoteReference w:id="1"/>
      </w:r>
      <w:r w:rsidRPr="00660A69">
        <w:rPr>
          <w:rFonts w:ascii="Aptos" w:hAnsi="Aptos"/>
          <w:sz w:val="22"/>
          <w:szCs w:val="22"/>
        </w:rPr>
        <w:t xml:space="preserve"> Derzeit bietet sich die Chance, sozial-ökologische Prozesse in der Wirtschaft anzustoßen, nachhaltige Belange stärker in den Mittelpunkt zu rücken und sozial verantwortliches Handeln zu fördern. Durch die Integration ökologischer Kriterien wie Qualität, Transportwege, Lieferzeiten, Umweltaspekte oder alternative Antriebe in das Vergabewesen können positive gesellschaftliche Auswirkungen erzielt werden. </w:t>
      </w:r>
    </w:p>
    <w:p w14:paraId="6608FEFB" w14:textId="77777777" w:rsidR="00623AF8" w:rsidRPr="00660A69" w:rsidRDefault="00623AF8" w:rsidP="00623AF8">
      <w:pPr>
        <w:jc w:val="both"/>
        <w:rPr>
          <w:rFonts w:ascii="Aptos" w:hAnsi="Aptos"/>
          <w:sz w:val="22"/>
          <w:szCs w:val="22"/>
        </w:rPr>
      </w:pPr>
    </w:p>
    <w:p w14:paraId="022AE291" w14:textId="77777777" w:rsidR="00623AF8" w:rsidRPr="00660A69" w:rsidRDefault="00623AF8" w:rsidP="00623AF8">
      <w:pPr>
        <w:jc w:val="both"/>
        <w:rPr>
          <w:rFonts w:ascii="Aptos" w:hAnsi="Aptos"/>
          <w:sz w:val="22"/>
          <w:szCs w:val="22"/>
        </w:rPr>
      </w:pPr>
      <w:r w:rsidRPr="00660A69">
        <w:rPr>
          <w:rFonts w:ascii="Aptos" w:hAnsi="Aptos"/>
          <w:sz w:val="22"/>
          <w:szCs w:val="22"/>
        </w:rPr>
        <w:t>Ein ökologisch verträglicheres öffentliches Auftragswesen bedeutet, dass bei der Vergabe öffentlicher Aufträge eben nicht nur der Preis, sondern auch o.g Kriterien wie berücksichtigt werden. Beschaffungsvorgänge könnten also ein starkes Steuerungsinstrument sein, doch vielen Vergaberechtsexperten ist unklar, wie sie Nachhaltigkeitskriterien richtig messen können.</w:t>
      </w:r>
    </w:p>
    <w:p w14:paraId="4242800F" w14:textId="77777777" w:rsidR="00623AF8" w:rsidRPr="00660A69" w:rsidRDefault="00623AF8" w:rsidP="00623AF8">
      <w:pPr>
        <w:jc w:val="both"/>
        <w:rPr>
          <w:rFonts w:ascii="Aptos" w:hAnsi="Aptos"/>
          <w:sz w:val="22"/>
          <w:szCs w:val="22"/>
        </w:rPr>
      </w:pPr>
    </w:p>
    <w:p w14:paraId="0C379FD0" w14:textId="77777777" w:rsidR="00623AF8" w:rsidRPr="00660A69" w:rsidRDefault="00623AF8" w:rsidP="00623AF8">
      <w:pPr>
        <w:jc w:val="both"/>
        <w:rPr>
          <w:rFonts w:ascii="Aptos" w:hAnsi="Aptos"/>
          <w:sz w:val="22"/>
          <w:szCs w:val="22"/>
        </w:rPr>
      </w:pPr>
    </w:p>
    <w:p w14:paraId="4CFAA94E" w14:textId="77777777" w:rsidR="00623AF8" w:rsidRPr="00660A69" w:rsidRDefault="00623AF8" w:rsidP="00623AF8">
      <w:pPr>
        <w:jc w:val="both"/>
        <w:rPr>
          <w:rFonts w:ascii="Aptos" w:hAnsi="Aptos"/>
          <w:sz w:val="22"/>
          <w:szCs w:val="22"/>
        </w:rPr>
      </w:pPr>
    </w:p>
    <w:p w14:paraId="62EBDDAC" w14:textId="77777777" w:rsidR="00623AF8" w:rsidRPr="00660A69" w:rsidRDefault="00623AF8" w:rsidP="00623AF8">
      <w:pPr>
        <w:keepNext/>
        <w:keepLines/>
        <w:spacing w:before="240"/>
        <w:outlineLvl w:val="0"/>
        <w:rPr>
          <w:rFonts w:ascii="Aptos" w:eastAsiaTheme="majorEastAsia" w:hAnsi="Aptos" w:cstheme="majorBidi"/>
          <w:b/>
          <w:color w:val="E4342D"/>
          <w:sz w:val="22"/>
          <w:szCs w:val="22"/>
        </w:rPr>
      </w:pPr>
      <w:bookmarkStart w:id="28" w:name="_Toc170983641"/>
      <w:r w:rsidRPr="00660A69">
        <w:rPr>
          <w:rFonts w:ascii="Aptos" w:eastAsiaTheme="majorEastAsia" w:hAnsi="Aptos" w:cstheme="majorBidi"/>
          <w:b/>
          <w:color w:val="E4342D"/>
          <w:sz w:val="22"/>
          <w:szCs w:val="22"/>
        </w:rPr>
        <w:lastRenderedPageBreak/>
        <w:t>Resiliente Abfallwirtschaft</w:t>
      </w:r>
      <w:bookmarkEnd w:id="28"/>
    </w:p>
    <w:p w14:paraId="0DA3F88A"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660A69" w14:paraId="348BFDD9" w14:textId="77777777" w:rsidTr="00875DD0">
        <w:tc>
          <w:tcPr>
            <w:tcW w:w="9060" w:type="dxa"/>
            <w:shd w:val="clear" w:color="auto" w:fill="D9D9D9" w:themeFill="background1" w:themeFillShade="D9"/>
          </w:tcPr>
          <w:p w14:paraId="66826C92" w14:textId="77777777" w:rsidR="00623AF8" w:rsidRPr="00660A69" w:rsidRDefault="00623AF8" w:rsidP="00875DD0">
            <w:pPr>
              <w:spacing w:before="120" w:after="120"/>
              <w:jc w:val="both"/>
              <w:rPr>
                <w:rFonts w:ascii="Aptos" w:hAnsi="Aptos"/>
                <w:b/>
                <w:iCs/>
                <w:sz w:val="22"/>
                <w:szCs w:val="22"/>
              </w:rPr>
            </w:pPr>
            <w:r w:rsidRPr="00660A69">
              <w:rPr>
                <w:rFonts w:ascii="Aptos" w:hAnsi="Aptos"/>
                <w:b/>
                <w:iCs/>
                <w:sz w:val="22"/>
                <w:szCs w:val="22"/>
              </w:rPr>
              <w:t xml:space="preserve">Frage  </w:t>
            </w:r>
          </w:p>
        </w:tc>
      </w:tr>
      <w:tr w:rsidR="00623AF8" w:rsidRPr="00660A69" w14:paraId="6FF4F900" w14:textId="77777777" w:rsidTr="00875DD0">
        <w:tc>
          <w:tcPr>
            <w:tcW w:w="9060" w:type="dxa"/>
          </w:tcPr>
          <w:p w14:paraId="79963B61" w14:textId="77777777" w:rsidR="00623AF8" w:rsidRPr="00660A69" w:rsidRDefault="00623AF8" w:rsidP="00875DD0">
            <w:pPr>
              <w:jc w:val="both"/>
              <w:rPr>
                <w:rFonts w:ascii="Aptos" w:hAnsi="Aptos"/>
                <w:sz w:val="22"/>
                <w:szCs w:val="22"/>
              </w:rPr>
            </w:pPr>
            <w:r w:rsidRPr="00660A69">
              <w:rPr>
                <w:rFonts w:ascii="Aptos" w:hAnsi="Aptos"/>
                <w:sz w:val="22"/>
                <w:szCs w:val="22"/>
              </w:rPr>
              <w:t>Mit der EU-Taxonomie wird erstmals ein EU-weites Klassifizierungssystem für ökologisch nachhaltige Wirtschaftstätigkeiten geschaffen. Es verfolgt das Ziel, nachhaltige Investitionen auszuweiten, um die Umsetzung des europäischen Green Deals zu unterstützen. Die thermische Abfallverwertung ist bislang nicht als eine nachhaltige wirtschaftliche Tätigkeit im Rahmen der Taxonomie klassifiziert, obwohl das sogenannte „Do No Significant Harm“-Kriterium (DNSH) in allen sechs Umweltzielen der Taxonomie erreicht wird. Dies wiederum könnte zur Folge haben, dass es schwieriger wird, die zur Erreichung der Ziele der Kreislaufwirtschaft notwendigen Investitionen in die thermische Abfallverwertung zu tätigen.</w:t>
            </w:r>
          </w:p>
          <w:p w14:paraId="1370F85E" w14:textId="77777777" w:rsidR="00623AF8" w:rsidRPr="00660A69" w:rsidRDefault="00623AF8" w:rsidP="00875DD0">
            <w:pPr>
              <w:rPr>
                <w:b/>
                <w:bCs/>
              </w:rPr>
            </w:pPr>
            <w:r w:rsidRPr="00660A69">
              <w:rPr>
                <w:rFonts w:ascii="Aptos" w:hAnsi="Aptos"/>
                <w:b/>
                <w:bCs/>
                <w:sz w:val="22"/>
                <w:szCs w:val="22"/>
              </w:rPr>
              <w:t>Wie können sie sicherstellen, dass die thermisch-ökologische Abfallverbrennung zur Diversität und Energiesicherheit Europas beiträgt?</w:t>
            </w:r>
          </w:p>
        </w:tc>
      </w:tr>
      <w:tr w:rsidR="00623AF8" w:rsidRPr="00660A69" w14:paraId="63DDE189" w14:textId="77777777" w:rsidTr="00875DD0">
        <w:tc>
          <w:tcPr>
            <w:tcW w:w="9060" w:type="dxa"/>
            <w:shd w:val="clear" w:color="auto" w:fill="D9D9D9" w:themeFill="background1" w:themeFillShade="D9"/>
          </w:tcPr>
          <w:p w14:paraId="24016073" w14:textId="77777777" w:rsidR="00623AF8" w:rsidRPr="00660A69" w:rsidRDefault="00623AF8" w:rsidP="00875DD0">
            <w:pPr>
              <w:spacing w:before="120" w:after="120"/>
              <w:jc w:val="both"/>
              <w:rPr>
                <w:rFonts w:ascii="Aptos" w:hAnsi="Aptos"/>
                <w:b/>
                <w:bCs/>
                <w:sz w:val="22"/>
                <w:szCs w:val="22"/>
              </w:rPr>
            </w:pPr>
            <w:r w:rsidRPr="00660A69">
              <w:rPr>
                <w:rFonts w:ascii="Aptos" w:hAnsi="Aptos"/>
                <w:b/>
                <w:bCs/>
                <w:sz w:val="22"/>
                <w:szCs w:val="22"/>
              </w:rPr>
              <w:t xml:space="preserve">Nachfrage </w:t>
            </w:r>
          </w:p>
        </w:tc>
      </w:tr>
      <w:tr w:rsidR="00623AF8" w:rsidRPr="00660A69" w14:paraId="029B313C" w14:textId="77777777" w:rsidTr="00875DD0">
        <w:tc>
          <w:tcPr>
            <w:tcW w:w="9060" w:type="dxa"/>
          </w:tcPr>
          <w:p w14:paraId="522222BB" w14:textId="77777777" w:rsidR="00623AF8" w:rsidRPr="00660A69" w:rsidRDefault="00623AF8" w:rsidP="00875DD0">
            <w:pPr>
              <w:spacing w:before="120" w:after="120"/>
              <w:jc w:val="both"/>
              <w:rPr>
                <w:rFonts w:ascii="Aptos" w:hAnsi="Aptos"/>
                <w:i/>
                <w:iCs/>
                <w:sz w:val="22"/>
                <w:szCs w:val="22"/>
                <w:u w:val="single"/>
              </w:rPr>
            </w:pPr>
            <w:r w:rsidRPr="00660A69">
              <w:rPr>
                <w:rFonts w:ascii="Aptos" w:hAnsi="Aptos"/>
                <w:sz w:val="22"/>
                <w:szCs w:val="22"/>
                <w:u w:val="single"/>
                <w:lang w:val="en-GB"/>
              </w:rPr>
              <w:t>-</w:t>
            </w:r>
          </w:p>
        </w:tc>
      </w:tr>
    </w:tbl>
    <w:p w14:paraId="16BC8159" w14:textId="77777777" w:rsidR="00623AF8" w:rsidRPr="00660A69"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rsidRPr="00660A69" w14:paraId="168E6C5C" w14:textId="77777777" w:rsidTr="00875DD0">
        <w:tc>
          <w:tcPr>
            <w:tcW w:w="9060" w:type="dxa"/>
            <w:shd w:val="clear" w:color="auto" w:fill="D9D9D9" w:themeFill="background1" w:themeFillShade="D9"/>
          </w:tcPr>
          <w:p w14:paraId="58BAEFCD" w14:textId="77777777" w:rsidR="00623AF8" w:rsidRPr="00660A69" w:rsidRDefault="00623AF8" w:rsidP="00875DD0">
            <w:pPr>
              <w:widowControl w:val="0"/>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p>
        </w:tc>
      </w:tr>
    </w:tbl>
    <w:p w14:paraId="50F90A68" w14:textId="64BBCB68" w:rsidR="00623AF8" w:rsidRPr="00100495" w:rsidRDefault="00623AF8" w:rsidP="00100495">
      <w:pPr>
        <w:spacing w:after="120"/>
        <w:jc w:val="both"/>
        <w:rPr>
          <w:rFonts w:ascii="Aptos" w:hAnsi="Aptos"/>
          <w:sz w:val="22"/>
          <w:szCs w:val="22"/>
        </w:rPr>
      </w:pPr>
      <w:r w:rsidRPr="00660A69">
        <w:rPr>
          <w:rFonts w:ascii="Aptos" w:hAnsi="Aptos"/>
          <w:sz w:val="22"/>
          <w:szCs w:val="22"/>
        </w:rPr>
        <w:t>Die Kombination von Recycling, Verbrennung und Deponierung gewährleistet eine sichere Abfallentsorgung, die Umwelt, Gesundheit und Ressourcen schützt. Müllverbrennungsanlagen sind hierbei besonders wichtig, da sie Abfälle nicht nur beseitigen, sondern auch verwerten, was den Einsatz von Primärrohstoffen reduziert. Da nicht alle Abfälle hochwertig recycelt werden können, ist die thermische Verwertung oft der nachhaltigste Verwertungsweg ist, die zusätzlich eine unterstützende Rolle für das stoffliche Recycling spielt. Durch die Schaffung des Klassifizierungssystems EU-Taxonomie wird festgelegt, welche wirtschaftlichen Aktivitäten als „grün“ anerkannt werden. Unternehmen, die im Einklang mit diesen Taxonomie-Richtlinien agieren, sollen am Finanzmarkt bessere Finanzierungsmöglichkeiten erhalten als jene, die sich nicht daran halten. Es ist erwartbar, dass auch der Zugang zu EU-Fördergeldern an diese Taxonomie-Bestimmungen geknüpft sein wird, um die grüne Transformation zu fördern. Für die Kreislaufwirtschaft ist besonders der Anhang 2 des delegierten Rechtsakts „Taxo4“ relevant. Hier werden die wirtschaftlichen Aktivitäten definiert, die die Kreislaufwirtschaft unterstützen sollen. Die thermische Behandlung von gemischten Siedlungsabfällen wird jedoch nicht als solche Aktivität aufgeführt.</w:t>
      </w:r>
    </w:p>
    <w:p w14:paraId="7D11294B" w14:textId="77777777" w:rsidR="00623AF8" w:rsidRDefault="00623AF8" w:rsidP="00623AF8">
      <w:pPr>
        <w:jc w:val="center"/>
        <w:rPr>
          <w:sz w:val="40"/>
          <w:szCs w:val="40"/>
        </w:rPr>
      </w:pPr>
    </w:p>
    <w:p w14:paraId="298C8B86" w14:textId="77777777" w:rsidR="00623AF8" w:rsidRPr="00285411" w:rsidRDefault="00623AF8" w:rsidP="00623AF8">
      <w:pPr>
        <w:rPr>
          <w:rFonts w:cstheme="minorHAnsi"/>
          <w:spacing w:val="20"/>
          <w:sz w:val="32"/>
          <w:szCs w:val="32"/>
        </w:rPr>
        <w:sectPr w:rsidR="00623AF8" w:rsidRPr="00285411" w:rsidSect="00034C8E">
          <w:headerReference w:type="even" r:id="rId19"/>
          <w:headerReference w:type="default" r:id="rId20"/>
          <w:footerReference w:type="even" r:id="rId21"/>
          <w:footerReference w:type="default" r:id="rId22"/>
          <w:headerReference w:type="first" r:id="rId23"/>
          <w:footerReference w:type="first" r:id="rId24"/>
          <w:pgSz w:w="11906" w:h="16838"/>
          <w:pgMar w:top="1871" w:right="1418" w:bottom="1134" w:left="1418" w:header="709" w:footer="510" w:gutter="0"/>
          <w:cols w:space="708"/>
          <w:titlePg/>
          <w:docGrid w:linePitch="360"/>
        </w:sectPr>
      </w:pPr>
    </w:p>
    <w:p w14:paraId="0FD156E5" w14:textId="77777777" w:rsidR="00623AF8" w:rsidRPr="00946A50" w:rsidRDefault="00623AF8" w:rsidP="00623AF8">
      <w:pPr>
        <w:pStyle w:val="berschrift1"/>
        <w:jc w:val="center"/>
        <w:rPr>
          <w:rFonts w:ascii="Aptos" w:hAnsi="Aptos"/>
          <w:color w:val="A6A6A6" w:themeColor="background1" w:themeShade="A6"/>
          <w:sz w:val="28"/>
          <w:szCs w:val="28"/>
        </w:rPr>
      </w:pPr>
      <w:bookmarkStart w:id="29" w:name="_Toc170983642"/>
      <w:r w:rsidRPr="00946A50">
        <w:rPr>
          <w:rFonts w:ascii="Aptos" w:hAnsi="Aptos"/>
          <w:color w:val="A6A6A6" w:themeColor="background1" w:themeShade="A6"/>
          <w:sz w:val="28"/>
          <w:szCs w:val="28"/>
        </w:rPr>
        <w:lastRenderedPageBreak/>
        <w:t>Ausarbeitung von Fragen aus dem Bereich der Wasser</w:t>
      </w:r>
      <w:bookmarkStart w:id="30" w:name="_Toc165027653"/>
      <w:bookmarkEnd w:id="29"/>
      <w:r>
        <w:rPr>
          <w:rFonts w:ascii="Aptos" w:hAnsi="Aptos"/>
          <w:color w:val="A6A6A6" w:themeColor="background1" w:themeShade="A6"/>
          <w:sz w:val="28"/>
          <w:szCs w:val="28"/>
        </w:rPr>
        <w:t>politik</w:t>
      </w:r>
    </w:p>
    <w:p w14:paraId="339DAB74" w14:textId="3E3B6BA5" w:rsidR="00B6788C" w:rsidRPr="00F8409F" w:rsidRDefault="00623AF8" w:rsidP="00F8409F">
      <w:pPr>
        <w:pStyle w:val="berschrift1"/>
        <w:spacing w:after="240"/>
        <w:rPr>
          <w:rFonts w:ascii="Aptos" w:hAnsi="Aptos"/>
          <w:sz w:val="22"/>
          <w:szCs w:val="22"/>
        </w:rPr>
      </w:pPr>
      <w:bookmarkStart w:id="31" w:name="_Toc170983643"/>
      <w:bookmarkStart w:id="32" w:name="_Hlk171327706"/>
      <w:r w:rsidRPr="007A1DB2">
        <w:rPr>
          <w:rFonts w:ascii="Aptos" w:hAnsi="Aptos"/>
          <w:sz w:val="22"/>
          <w:szCs w:val="22"/>
        </w:rPr>
        <w:t>Europäischer Blue Deal – Bekenntnis &amp; Umsetzung</w:t>
      </w:r>
      <w:bookmarkEnd w:id="30"/>
      <w:bookmarkEnd w:id="31"/>
    </w:p>
    <w:tbl>
      <w:tblPr>
        <w:tblStyle w:val="Tabellenraster"/>
        <w:tblW w:w="0" w:type="auto"/>
        <w:tblLook w:val="04A0" w:firstRow="1" w:lastRow="0" w:firstColumn="1" w:lastColumn="0" w:noHBand="0" w:noVBand="1"/>
      </w:tblPr>
      <w:tblGrid>
        <w:gridCol w:w="9060"/>
      </w:tblGrid>
      <w:tr w:rsidR="00623AF8" w:rsidRPr="007A1DB2" w14:paraId="5B4B17D5" w14:textId="77777777" w:rsidTr="00875DD0">
        <w:tc>
          <w:tcPr>
            <w:tcW w:w="9060" w:type="dxa"/>
            <w:shd w:val="clear" w:color="auto" w:fill="D9D9D9" w:themeFill="background1" w:themeFillShade="D9"/>
          </w:tcPr>
          <w:p w14:paraId="1DDDA68C"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691BF845" w14:textId="77777777" w:rsidTr="00875DD0">
        <w:tc>
          <w:tcPr>
            <w:tcW w:w="9060" w:type="dxa"/>
          </w:tcPr>
          <w:p w14:paraId="6ADE3173" w14:textId="77777777" w:rsidR="00623AF8" w:rsidRPr="007A1DB2" w:rsidRDefault="00623AF8" w:rsidP="00875DD0">
            <w:pPr>
              <w:spacing w:before="120" w:after="120"/>
              <w:jc w:val="both"/>
              <w:rPr>
                <w:rFonts w:ascii="Aptos" w:hAnsi="Aptos"/>
                <w:sz w:val="22"/>
                <w:szCs w:val="22"/>
              </w:rPr>
            </w:pPr>
            <w:r w:rsidRPr="007A1DB2">
              <w:rPr>
                <w:rFonts w:ascii="Aptos" w:hAnsi="Aptos"/>
                <w:sz w:val="22"/>
                <w:szCs w:val="22"/>
              </w:rPr>
              <w:t xml:space="preserve">Wasser zählt zu unseren wertvollsten Ressourcen. Das „Blaue Gold“ ist für unsere Landwirtschaft, die Industrie und Energiegewinnung, unsere Gesundheit – für unser Überleben unerlässlich. Die Auswirkungen des Klimawandels, der zunehmenden Urbanisierung und Industrialisierung und die intensiven landwirtschaftlichen Praktiken setzen unsere Wasserressourcen jedoch immer stärker unter Druck. Abgeordnete des EU-Parlaments sowie der EWSA fordern daher die Einführung eines „Europäischen Blue Deal“. Vergleichbar mit dem Europäischen Green Deal, soll diese umfassende Wasserstrategie eine nachhaltige Bewirtschaftung der Wasservorräte sicherstellen. Ziel ist eine wasserbewusste Gesetzgebung, die die Bedeutung von Wasser in allen Politikbereichen anerkennt, das Menschenrecht auf Wasser garantiert und eine widerstandsfähige Wasserwirtschaft ermöglicht. </w:t>
            </w:r>
            <w:r w:rsidRPr="007A1DB2">
              <w:rPr>
                <w:rFonts w:ascii="Aptos" w:hAnsi="Aptos"/>
                <w:b/>
                <w:bCs/>
                <w:sz w:val="22"/>
                <w:szCs w:val="22"/>
              </w:rPr>
              <w:t>Inwieweit bekennen Sie sich als designierte:r EU-Kommissar:in zu den Forderungen des Blue Deals?</w:t>
            </w:r>
          </w:p>
        </w:tc>
      </w:tr>
      <w:tr w:rsidR="00623AF8" w:rsidRPr="007A1DB2" w14:paraId="1A67AB55" w14:textId="77777777" w:rsidTr="00875DD0">
        <w:tc>
          <w:tcPr>
            <w:tcW w:w="9060" w:type="dxa"/>
            <w:shd w:val="clear" w:color="auto" w:fill="D9D9D9" w:themeFill="background1" w:themeFillShade="D9"/>
          </w:tcPr>
          <w:p w14:paraId="711053B1"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169EC513" w14:textId="77777777" w:rsidTr="00875DD0">
        <w:tc>
          <w:tcPr>
            <w:tcW w:w="9060" w:type="dxa"/>
          </w:tcPr>
          <w:p w14:paraId="1624A370" w14:textId="2EF53315" w:rsidR="00623AF8" w:rsidRPr="00A041E1" w:rsidRDefault="00623AF8" w:rsidP="00F63BE8">
            <w:pPr>
              <w:pStyle w:val="Listenabsatz"/>
              <w:numPr>
                <w:ilvl w:val="0"/>
                <w:numId w:val="2"/>
              </w:numPr>
              <w:spacing w:before="120" w:after="120"/>
              <w:jc w:val="both"/>
              <w:rPr>
                <w:rFonts w:ascii="Aptos" w:hAnsi="Aptos"/>
                <w:i/>
                <w:iCs/>
                <w:sz w:val="22"/>
                <w:szCs w:val="22"/>
                <w:u w:val="single"/>
              </w:rPr>
            </w:pPr>
            <w:r w:rsidRPr="00A041E1">
              <w:rPr>
                <w:rFonts w:ascii="Aptos" w:hAnsi="Aptos"/>
                <w:sz w:val="22"/>
                <w:szCs w:val="22"/>
              </w:rPr>
              <w:t>Wie stellen Sie sich die Umsetzungsschritte konkret vor?</w:t>
            </w:r>
          </w:p>
        </w:tc>
      </w:tr>
    </w:tbl>
    <w:p w14:paraId="4AF89A11" w14:textId="77777777" w:rsidR="00F8409F" w:rsidRDefault="00F8409F" w:rsidP="00623AF8">
      <w:pPr>
        <w:pStyle w:val="StandardWeb"/>
        <w:spacing w:before="0" w:beforeAutospacing="0" w:after="120" w:afterAutospacing="0"/>
        <w:jc w:val="both"/>
        <w:rPr>
          <w:rFonts w:ascii="Aptos" w:hAnsi="Aptos"/>
          <w:sz w:val="22"/>
          <w:szCs w:val="22"/>
        </w:rPr>
      </w:pPr>
    </w:p>
    <w:p w14:paraId="7CC454A9" w14:textId="2400C4AC" w:rsidR="00F8409F" w:rsidRPr="00C57722" w:rsidRDefault="00F8409F" w:rsidP="00F8409F">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7B1C6BE1" w14:textId="6D074540" w:rsidR="00623AF8" w:rsidRPr="00BD6C86" w:rsidRDefault="00623AF8" w:rsidP="00623AF8">
      <w:pPr>
        <w:pStyle w:val="StandardWeb"/>
        <w:spacing w:before="0" w:beforeAutospacing="0" w:after="120" w:afterAutospacing="0"/>
        <w:jc w:val="both"/>
        <w:rPr>
          <w:rFonts w:ascii="Aptos" w:hAnsi="Aptos"/>
          <w:sz w:val="22"/>
          <w:szCs w:val="22"/>
          <w:lang w:eastAsia="de-AT"/>
        </w:rPr>
      </w:pPr>
      <w:r w:rsidRPr="00BD6C86">
        <w:rPr>
          <w:rFonts w:ascii="Aptos" w:hAnsi="Aptos"/>
          <w:sz w:val="22"/>
          <w:szCs w:val="22"/>
        </w:rPr>
        <w:t xml:space="preserve">Wasser ist eine lebenswichtige Ressource, unerlässlich für Ökosysteme, das menschliche Leben und das Funktionieren der Wirtschaft und Gesellschaft. </w:t>
      </w:r>
      <w:r w:rsidRPr="00BD6C86">
        <w:rPr>
          <w:rFonts w:ascii="Aptos" w:hAnsi="Aptos"/>
          <w:sz w:val="22"/>
          <w:szCs w:val="22"/>
          <w:lang w:eastAsia="de-AT"/>
        </w:rPr>
        <w:t>Trotz seiner zentralen Rolle stehen globale Wasserressourcen unter zunehmendem Druck. Die UN hat den Zugang zu sauberem Trinkwasser als Menschenrecht anerkannt, doch auch innerhalb der EU gibt es Menschen ohne entsprechende Versorgung. Die EU hat zwar Rechtsrahmen zum Schutz von Süßwasser- und Meeresressourcen geschaffen, jedoch wurden viele Ziele bislang nicht erreicht.</w:t>
      </w:r>
    </w:p>
    <w:p w14:paraId="0C638B2E" w14:textId="77777777" w:rsidR="00623AF8" w:rsidRPr="00C853F1" w:rsidRDefault="00623AF8" w:rsidP="00623AF8">
      <w:pPr>
        <w:spacing w:after="120"/>
        <w:jc w:val="both"/>
        <w:rPr>
          <w:rFonts w:ascii="Aptos" w:hAnsi="Aptos"/>
          <w:sz w:val="22"/>
          <w:szCs w:val="22"/>
        </w:rPr>
      </w:pPr>
      <w:r w:rsidRPr="00C853F1">
        <w:rPr>
          <w:rFonts w:ascii="Aptos" w:hAnsi="Aptos"/>
          <w:sz w:val="22"/>
          <w:szCs w:val="22"/>
        </w:rPr>
        <w:t>Der Europäische Wirtschafts- und Sozialausschuss (EWSA) fordert</w:t>
      </w:r>
      <w:r>
        <w:rPr>
          <w:rFonts w:ascii="Aptos" w:hAnsi="Aptos"/>
          <w:sz w:val="22"/>
          <w:szCs w:val="22"/>
        </w:rPr>
        <w:t>e</w:t>
      </w:r>
      <w:r w:rsidRPr="00C853F1">
        <w:rPr>
          <w:rFonts w:ascii="Aptos" w:hAnsi="Aptos"/>
          <w:sz w:val="22"/>
          <w:szCs w:val="22"/>
        </w:rPr>
        <w:t xml:space="preserve"> daher </w:t>
      </w:r>
      <w:r>
        <w:rPr>
          <w:rFonts w:ascii="Aptos" w:hAnsi="Aptos"/>
          <w:sz w:val="22"/>
          <w:szCs w:val="22"/>
        </w:rPr>
        <w:t xml:space="preserve">im Herbst 2023 </w:t>
      </w:r>
      <w:r w:rsidRPr="00C853F1">
        <w:rPr>
          <w:rFonts w:ascii="Aptos" w:hAnsi="Aptos"/>
          <w:sz w:val="22"/>
          <w:szCs w:val="22"/>
        </w:rPr>
        <w:t>einen eigenständigen strategischen Politikbereich: den Europäischen Blauen Deal. Dieser soll den Grünen Deal ergänzen und den Zielen der UN für nachhaltige Entwicklung gerecht werden. Der Blaue Deal soll eine umfassende Strategie umfassen, um Wasserressourcen kurz-, mittel- und langfristig zu sichern und eine wasserresiliente Zukunft zu gewährleisten.</w:t>
      </w:r>
    </w:p>
    <w:p w14:paraId="61DF21AD" w14:textId="77777777" w:rsidR="00623AF8" w:rsidRPr="00D46CC8" w:rsidRDefault="00623AF8" w:rsidP="00623AF8">
      <w:pPr>
        <w:pStyle w:val="StandardWeb"/>
        <w:spacing w:before="0" w:beforeAutospacing="0" w:after="120" w:afterAutospacing="0"/>
        <w:jc w:val="both"/>
        <w:rPr>
          <w:rFonts w:ascii="Aptos" w:hAnsi="Aptos"/>
          <w:sz w:val="22"/>
          <w:szCs w:val="22"/>
          <w:lang w:eastAsia="de-AT"/>
        </w:rPr>
        <w:sectPr w:rsidR="00623AF8" w:rsidRPr="00D46CC8" w:rsidSect="00034C8E">
          <w:pgSz w:w="11906" w:h="16838"/>
          <w:pgMar w:top="1871" w:right="1418" w:bottom="1134" w:left="1418" w:header="709" w:footer="510" w:gutter="0"/>
          <w:cols w:space="708"/>
          <w:docGrid w:linePitch="360"/>
        </w:sectPr>
      </w:pPr>
      <w:r w:rsidRPr="00C853F1">
        <w:rPr>
          <w:rFonts w:ascii="Aptos" w:hAnsi="Aptos"/>
          <w:sz w:val="22"/>
          <w:szCs w:val="22"/>
          <w:lang w:eastAsia="de-AT"/>
        </w:rPr>
        <w:t xml:space="preserve">Der EWSA ruft die EU-Organe und Mitgliedstaaten auf, Wasser als strategische Priorität im kommenden Programmplanungszeitraum zu betrachten. Ein gemeinsames Handeln und eine starke, ambitionierte Wasserstrategie auf EU-Ebene sind unerlässlich, um eine nachhaltige und wasserresiliente Zukunft zu sichern. </w:t>
      </w:r>
      <w:r w:rsidRPr="00EE6214">
        <w:rPr>
          <w:rFonts w:ascii="Aptos" w:hAnsi="Aptos"/>
          <w:sz w:val="22"/>
          <w:szCs w:val="22"/>
          <w:lang w:eastAsia="de-AT"/>
        </w:rPr>
        <w:t>Die EU muss einen menschenrechtsbasierten Ansatz für Wasser verfolgen und Wasserarmut bekämpfen. Dienstleistungen wie Wasser, Sanitärversorgung und Hygiene (WASH) müssen nachhaltig, gerecht und erschwinglich sein. Die Landwirtschaft und Industrie müssen zur Bewältigung der Wasserknappheit beitragen</w:t>
      </w:r>
      <w:r>
        <w:rPr>
          <w:rFonts w:ascii="Aptos" w:hAnsi="Aptos"/>
          <w:sz w:val="22"/>
          <w:szCs w:val="22"/>
          <w:lang w:eastAsia="de-AT"/>
        </w:rPr>
        <w:t xml:space="preserve">. </w:t>
      </w:r>
      <w:r w:rsidRPr="00EE6214">
        <w:rPr>
          <w:rFonts w:ascii="Aptos" w:hAnsi="Aptos"/>
          <w:sz w:val="22"/>
          <w:szCs w:val="22"/>
          <w:lang w:eastAsia="de-AT"/>
        </w:rPr>
        <w:t xml:space="preserve">Wasser muss als grundlegendes Element der EU-Industriestrategie betrachtet werden, um die Wasserressourcen angemessen zu nutzen. </w:t>
      </w:r>
      <w:r>
        <w:rPr>
          <w:rFonts w:ascii="Aptos" w:hAnsi="Aptos"/>
          <w:sz w:val="22"/>
          <w:szCs w:val="22"/>
          <w:lang w:eastAsia="de-AT"/>
        </w:rPr>
        <w:t>Zudem sollte d</w:t>
      </w:r>
      <w:r w:rsidRPr="00EE6214">
        <w:rPr>
          <w:rFonts w:ascii="Aptos" w:hAnsi="Aptos"/>
          <w:sz w:val="22"/>
          <w:szCs w:val="22"/>
          <w:lang w:eastAsia="de-AT"/>
        </w:rPr>
        <w:t>ie EU auch ihre Außenpolitik und internationale Zusammenarbeit durch blaue Diplomatie stärken, um internationale Wasserabkommen zu verbessern und umzusetzen.</w:t>
      </w:r>
      <w:r>
        <w:rPr>
          <w:rFonts w:ascii="Aptos" w:hAnsi="Aptos"/>
          <w:sz w:val="22"/>
          <w:szCs w:val="22"/>
          <w:lang w:eastAsia="de-AT"/>
        </w:rPr>
        <w:t xml:space="preserve"> </w:t>
      </w:r>
      <w:r w:rsidRPr="00C853F1">
        <w:rPr>
          <w:rFonts w:ascii="Aptos" w:hAnsi="Aptos"/>
          <w:sz w:val="22"/>
          <w:szCs w:val="22"/>
          <w:lang w:eastAsia="de-AT"/>
        </w:rPr>
        <w:t>Eine umfassende EU-Wasserpolitik mit einem finanziellen Rahmen, der gerechte und transparente Wasserpreise sicherstellt, ist entscheidend für eine nachhaltige Zukunft Europas.</w:t>
      </w:r>
    </w:p>
    <w:p w14:paraId="481BCC01" w14:textId="77777777" w:rsidR="00623AF8" w:rsidRPr="007A1DB2" w:rsidRDefault="00623AF8" w:rsidP="00623AF8">
      <w:pPr>
        <w:pStyle w:val="berschrift1"/>
        <w:rPr>
          <w:rFonts w:ascii="Aptos" w:hAnsi="Aptos"/>
          <w:sz w:val="22"/>
          <w:szCs w:val="22"/>
        </w:rPr>
      </w:pPr>
      <w:bookmarkStart w:id="33" w:name="_Toc165027654"/>
      <w:bookmarkStart w:id="34" w:name="_Toc170983644"/>
      <w:r w:rsidRPr="007A1DB2">
        <w:rPr>
          <w:rFonts w:ascii="Aptos" w:hAnsi="Aptos"/>
          <w:sz w:val="22"/>
          <w:szCs w:val="22"/>
        </w:rPr>
        <w:lastRenderedPageBreak/>
        <w:t>Europäischer Blue Deal – Vorrang für Nutzung für den menschlichen Gebrauch</w:t>
      </w:r>
      <w:bookmarkEnd w:id="33"/>
      <w:bookmarkEnd w:id="34"/>
    </w:p>
    <w:p w14:paraId="6D6E1A40"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67C0548B" w14:textId="77777777" w:rsidTr="00875DD0">
        <w:tc>
          <w:tcPr>
            <w:tcW w:w="9060" w:type="dxa"/>
            <w:shd w:val="clear" w:color="auto" w:fill="D9D9D9" w:themeFill="background1" w:themeFillShade="D9"/>
          </w:tcPr>
          <w:p w14:paraId="33F20BED"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18BC618F" w14:textId="77777777" w:rsidTr="00875DD0">
        <w:tc>
          <w:tcPr>
            <w:tcW w:w="9060" w:type="dxa"/>
          </w:tcPr>
          <w:p w14:paraId="58784358" w14:textId="77777777" w:rsidR="00623AF8" w:rsidRPr="007A1DB2" w:rsidRDefault="00623AF8" w:rsidP="00875DD0">
            <w:pPr>
              <w:spacing w:before="120" w:after="120"/>
              <w:jc w:val="both"/>
              <w:rPr>
                <w:rFonts w:ascii="Aptos" w:hAnsi="Aptos"/>
                <w:b/>
                <w:bCs/>
                <w:sz w:val="22"/>
                <w:szCs w:val="22"/>
              </w:rPr>
            </w:pPr>
            <w:r w:rsidRPr="007A1DB2">
              <w:rPr>
                <w:rFonts w:ascii="Aptos" w:hAnsi="Aptos"/>
                <w:sz w:val="22"/>
                <w:szCs w:val="22"/>
              </w:rPr>
              <w:t xml:space="preserve">Die Auswirkungen des Klimawandels, der zunehmenden Bodenversiegelung, Urbanisierung und Industrialisierung sowie die intensiven landwirtschaftlichen Praktiken setzen unsere Wasserressourcen stark unter Druck. Bei zunehmender Wasserverknappung werden Nutzungskonflikte zwischen Trinkwasserversorgung, Industrie, Landwirtschaft oder Energieerzeugung immer angespannter werden. </w:t>
            </w:r>
            <w:r w:rsidRPr="007A1DB2">
              <w:rPr>
                <w:rFonts w:ascii="Aptos" w:hAnsi="Aptos"/>
                <w:b/>
                <w:bCs/>
                <w:sz w:val="22"/>
                <w:szCs w:val="22"/>
              </w:rPr>
              <w:t xml:space="preserve">Wie gedenken Sie, die Forderung des Blue Deals nach Vorrang für die Nutzung </w:t>
            </w:r>
            <w:r>
              <w:rPr>
                <w:rFonts w:ascii="Aptos" w:hAnsi="Aptos"/>
                <w:b/>
                <w:bCs/>
                <w:sz w:val="22"/>
                <w:szCs w:val="22"/>
              </w:rPr>
              <w:t xml:space="preserve">als Wasser </w:t>
            </w:r>
            <w:r w:rsidRPr="007A1DB2">
              <w:rPr>
                <w:rFonts w:ascii="Aptos" w:hAnsi="Aptos"/>
                <w:b/>
                <w:bCs/>
                <w:sz w:val="22"/>
                <w:szCs w:val="22"/>
              </w:rPr>
              <w:t xml:space="preserve">für den menschlichen Gebrauch </w:t>
            </w:r>
            <w:r>
              <w:rPr>
                <w:rFonts w:ascii="Aptos" w:hAnsi="Aptos"/>
                <w:b/>
                <w:bCs/>
                <w:sz w:val="22"/>
                <w:szCs w:val="22"/>
              </w:rPr>
              <w:t xml:space="preserve"> </w:t>
            </w:r>
            <w:r w:rsidRPr="00370E36">
              <w:rPr>
                <w:rFonts w:ascii="Aptos" w:hAnsi="Aptos"/>
                <w:sz w:val="22"/>
                <w:szCs w:val="22"/>
              </w:rPr>
              <w:t>(entsprechend der RL (EU)2020/2184)</w:t>
            </w:r>
            <w:r>
              <w:rPr>
                <w:rFonts w:ascii="Aptos" w:hAnsi="Aptos"/>
                <w:b/>
                <w:bCs/>
                <w:sz w:val="22"/>
                <w:szCs w:val="22"/>
              </w:rPr>
              <w:t xml:space="preserve"> </w:t>
            </w:r>
            <w:r w:rsidRPr="007A1DB2">
              <w:rPr>
                <w:rFonts w:ascii="Aptos" w:hAnsi="Aptos"/>
                <w:b/>
                <w:bCs/>
                <w:sz w:val="22"/>
                <w:szCs w:val="22"/>
              </w:rPr>
              <w:t>gegenüber anderen Nutzungsbereichen wie z.B. der Industrie, der Landwirtschaft oder Energiegewinnung umzusetzen?</w:t>
            </w:r>
          </w:p>
        </w:tc>
      </w:tr>
      <w:tr w:rsidR="00623AF8" w:rsidRPr="007A1DB2" w14:paraId="6966854E" w14:textId="77777777" w:rsidTr="00875DD0">
        <w:tc>
          <w:tcPr>
            <w:tcW w:w="9060" w:type="dxa"/>
            <w:shd w:val="clear" w:color="auto" w:fill="D9D9D9" w:themeFill="background1" w:themeFillShade="D9"/>
          </w:tcPr>
          <w:p w14:paraId="0DF77595"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48BB0A62" w14:textId="77777777" w:rsidTr="00875DD0">
        <w:tc>
          <w:tcPr>
            <w:tcW w:w="9060" w:type="dxa"/>
          </w:tcPr>
          <w:p w14:paraId="1D14F9AC" w14:textId="1054EEDC" w:rsidR="00623AF8" w:rsidRPr="00A041E1" w:rsidRDefault="00623AF8" w:rsidP="00F63BE8">
            <w:pPr>
              <w:pStyle w:val="Listenabsatz"/>
              <w:numPr>
                <w:ilvl w:val="0"/>
                <w:numId w:val="2"/>
              </w:numPr>
              <w:spacing w:before="120" w:after="120"/>
              <w:jc w:val="both"/>
              <w:rPr>
                <w:rFonts w:ascii="Aptos" w:hAnsi="Aptos"/>
                <w:i/>
                <w:iCs/>
                <w:sz w:val="22"/>
                <w:szCs w:val="22"/>
                <w:u w:val="single"/>
              </w:rPr>
            </w:pPr>
            <w:r w:rsidRPr="00A041E1">
              <w:rPr>
                <w:rFonts w:ascii="Aptos" w:hAnsi="Aptos"/>
                <w:sz w:val="22"/>
                <w:szCs w:val="22"/>
              </w:rPr>
              <w:t>Glauben Sie ist es notwendig, dafür einen neuen Rechtsakt zu schaffen oder reicht der gegebene Rechtsrahmen aus?</w:t>
            </w:r>
          </w:p>
        </w:tc>
      </w:tr>
    </w:tbl>
    <w:p w14:paraId="4A8A35B5" w14:textId="77777777" w:rsidR="00623AF8" w:rsidRPr="007A1DB2" w:rsidRDefault="00623AF8" w:rsidP="00623AF8">
      <w:pPr>
        <w:spacing w:after="120"/>
        <w:jc w:val="both"/>
        <w:rPr>
          <w:rFonts w:ascii="Aptos" w:hAnsi="Aptos"/>
          <w:i/>
          <w:iCs/>
          <w:sz w:val="22"/>
          <w:szCs w:val="22"/>
          <w:u w:val="single"/>
        </w:rPr>
      </w:pPr>
    </w:p>
    <w:p w14:paraId="333B2E02" w14:textId="272F785E" w:rsidR="00623AF8" w:rsidRPr="0044763E" w:rsidRDefault="0044763E" w:rsidP="0044763E">
      <w:pPr>
        <w:widowControl w:val="0"/>
        <w:tabs>
          <w:tab w:val="right" w:pos="9070"/>
        </w:tabs>
        <w:autoSpaceDE w:val="0"/>
        <w:autoSpaceDN w:val="0"/>
        <w:spacing w:line="258" w:lineRule="exact"/>
        <w:jc w:val="both"/>
        <w:rPr>
          <w:rFonts w:ascii="Aptos" w:eastAsia="Arial MT" w:hAnsi="Aptos" w:cs="Arial MT"/>
          <w:b/>
          <w:szCs w:val="22"/>
          <w:highlight w:val="lightGray"/>
        </w:rPr>
      </w:pPr>
      <w:r w:rsidRPr="0044763E">
        <w:rPr>
          <w:rFonts w:ascii="Aptos" w:eastAsia="Arial MT" w:hAnsi="Aptos" w:cs="Arial MT"/>
          <w:b/>
          <w:szCs w:val="22"/>
          <w:highlight w:val="lightGray"/>
        </w:rPr>
        <w:t xml:space="preserve">Hintergrund </w:t>
      </w:r>
      <w:r>
        <w:rPr>
          <w:rFonts w:ascii="Aptos" w:eastAsia="Arial MT" w:hAnsi="Aptos" w:cs="Arial MT"/>
          <w:b/>
          <w:szCs w:val="22"/>
          <w:highlight w:val="lightGray"/>
        </w:rPr>
        <w:t xml:space="preserve">        </w:t>
      </w:r>
      <w:r>
        <w:rPr>
          <w:rFonts w:ascii="Aptos" w:eastAsia="Arial MT" w:hAnsi="Aptos" w:cs="Arial MT"/>
          <w:b/>
          <w:szCs w:val="22"/>
          <w:highlight w:val="lightGray"/>
        </w:rPr>
        <w:tab/>
      </w:r>
    </w:p>
    <w:p w14:paraId="0060C09F" w14:textId="77777777" w:rsidR="00623AF8" w:rsidRPr="00F61520" w:rsidRDefault="00623AF8" w:rsidP="00623AF8">
      <w:pPr>
        <w:pStyle w:val="StandardWeb"/>
        <w:spacing w:before="0" w:beforeAutospacing="0" w:after="120" w:afterAutospacing="0"/>
        <w:jc w:val="both"/>
        <w:rPr>
          <w:rFonts w:ascii="Aptos" w:hAnsi="Aptos"/>
          <w:sz w:val="22"/>
          <w:szCs w:val="22"/>
        </w:rPr>
      </w:pPr>
      <w:r w:rsidRPr="00F61520">
        <w:rPr>
          <w:rFonts w:ascii="Aptos" w:hAnsi="Aptos"/>
          <w:sz w:val="22"/>
          <w:szCs w:val="22"/>
        </w:rPr>
        <w:t>Verschmutzung und Übernutzung sind negative Folgen der konkurrierenden Nachfrage nach Wasser und beeinträchtigen nicht nur unsere Ökosysteme und Biodiversität, sondern auch unsere Gesundheit. Insbesondere bei zunehmender Wasserknappheit verschärfen sich diese Probleme weiter. Direkte Gesundheitsprobleme stehen häufig im Zusammenhang mit Schadstoffen im Wasser, wie Bakterien, Viren, Metallen oder Pestiziden. Je knapper das Wasser wird, desto intensiver wird der Wettbewerb zwischen verschiedenen Nutzungsarten, was das Risiko von Verschmutzung und gesundheitlichen Gefahren zusätzlich erhöht.</w:t>
      </w:r>
    </w:p>
    <w:p w14:paraId="1ACA4897" w14:textId="77777777" w:rsidR="00623AF8" w:rsidRPr="00F61520" w:rsidRDefault="00623AF8" w:rsidP="00623AF8">
      <w:pPr>
        <w:pStyle w:val="StandardWeb"/>
        <w:spacing w:before="0" w:beforeAutospacing="0" w:after="120" w:afterAutospacing="0"/>
        <w:jc w:val="both"/>
        <w:rPr>
          <w:rFonts w:ascii="Aptos" w:hAnsi="Aptos"/>
          <w:sz w:val="22"/>
          <w:szCs w:val="22"/>
        </w:rPr>
      </w:pPr>
      <w:r w:rsidRPr="00F61520">
        <w:rPr>
          <w:rFonts w:ascii="Aptos" w:hAnsi="Aptos"/>
          <w:sz w:val="22"/>
          <w:szCs w:val="22"/>
        </w:rPr>
        <w:t>Mit einer Nutzung von 39</w:t>
      </w:r>
      <w:r>
        <w:rPr>
          <w:rFonts w:ascii="Aptos" w:hAnsi="Aptos"/>
          <w:sz w:val="22"/>
          <w:szCs w:val="22"/>
        </w:rPr>
        <w:t xml:space="preserve"> </w:t>
      </w:r>
      <w:r w:rsidRPr="00F61520">
        <w:rPr>
          <w:rFonts w:ascii="Aptos" w:hAnsi="Aptos"/>
          <w:sz w:val="22"/>
          <w:szCs w:val="22"/>
        </w:rPr>
        <w:t>% aller Böden, 10 Millionen Landwirten und insgesamt 40 Millionen Arbeitsplätzen stellt der Agrar- und Lebensmittelsektor einen der wichtigsten Wirtschaftszeige in der EU dar.  Etwa ein Viertel der gesamten Wasserentnahmen in der EU entfallen bereits jetzt alleine auf diesen Sektor. Zudem fördert die Gemeinsame Agrarpolitik (GAP) laut einem Bericht des Europäischen Rechnungshofs eher eine stärkere als eine effiziente und nachhaltige Wassernutzung. Konventionelle Landwirtschaft führt durch Nitrateinträge und Pestizide zu erheblichen Beeinträchtigungen der Biodiversität und der Qualität von Böden und Grundwasser.</w:t>
      </w:r>
    </w:p>
    <w:p w14:paraId="5D4F7E81" w14:textId="77777777" w:rsidR="00623AF8" w:rsidRPr="00F61520" w:rsidRDefault="00623AF8" w:rsidP="00623AF8">
      <w:pPr>
        <w:pStyle w:val="StandardWeb"/>
        <w:spacing w:before="0" w:beforeAutospacing="0" w:after="120" w:afterAutospacing="0"/>
        <w:jc w:val="both"/>
        <w:rPr>
          <w:rFonts w:ascii="Aptos" w:hAnsi="Aptos"/>
          <w:sz w:val="22"/>
          <w:szCs w:val="22"/>
        </w:rPr>
      </w:pPr>
      <w:r w:rsidRPr="00F61520">
        <w:rPr>
          <w:rFonts w:ascii="Aptos" w:hAnsi="Aptos"/>
          <w:sz w:val="22"/>
          <w:szCs w:val="22"/>
        </w:rPr>
        <w:t>Etwa 65 % des Trinkwassers in der EU stammen aus Grundwasser, wobei ein Viertel davon chemisch verunreinigt ist und fast 10 % durch nicht nachhaltige Entnahme betroffen sind. Zudem weisen 4 % bis 11 % der Messstellen zur Grundwasserüberwachung erhöhte Pestizidwerte auf.</w:t>
      </w:r>
      <w:r>
        <w:rPr>
          <w:rStyle w:val="Funotenzeichen"/>
          <w:rFonts w:ascii="Aptos" w:hAnsi="Aptos"/>
          <w:sz w:val="22"/>
          <w:szCs w:val="22"/>
        </w:rPr>
        <w:footnoteReference w:id="2"/>
      </w:r>
    </w:p>
    <w:p w14:paraId="4DB50530" w14:textId="77777777" w:rsidR="00623AF8" w:rsidRDefault="00623AF8" w:rsidP="00623AF8">
      <w:pPr>
        <w:pStyle w:val="StandardWeb"/>
        <w:spacing w:before="0" w:beforeAutospacing="0" w:after="120" w:afterAutospacing="0"/>
        <w:jc w:val="both"/>
        <w:rPr>
          <w:rFonts w:ascii="Aptos" w:hAnsi="Aptos"/>
          <w:sz w:val="22"/>
          <w:szCs w:val="22"/>
        </w:rPr>
      </w:pPr>
      <w:r w:rsidRPr="00F61520">
        <w:rPr>
          <w:rFonts w:ascii="Aptos" w:hAnsi="Aptos"/>
          <w:sz w:val="22"/>
          <w:szCs w:val="22"/>
        </w:rPr>
        <w:t xml:space="preserve">Täglich gehen in Europa 250 bis 275 Hektar Boden durch Bebauung verloren, vor allem durch intensive Landwirtschaft und Verstädterung, was zur Erosion von 42 Millionen Hektar führt und ein Viertel der Flächen negativ beeinflusst. </w:t>
      </w:r>
      <w:r w:rsidRPr="00F61520">
        <w:rPr>
          <w:rFonts w:ascii="Aptos" w:hAnsi="Aptos" w:cs="Open Sans"/>
          <w:color w:val="333333"/>
          <w:sz w:val="22"/>
          <w:szCs w:val="22"/>
        </w:rPr>
        <w:t xml:space="preserve">Der Klimawandel verschärft die Herausforderungen, vor denen Europa in Bezug auf Wassermenge und Wasserqualität steht, z.B. durch häufigere Dürren und Überschwemmungen. </w:t>
      </w:r>
      <w:r w:rsidRPr="00F61520">
        <w:rPr>
          <w:rFonts w:ascii="Aptos" w:hAnsi="Aptos"/>
          <w:sz w:val="22"/>
          <w:szCs w:val="22"/>
        </w:rPr>
        <w:t xml:space="preserve">Besonders in Südeuropa, aber auch in anderen Regionen, wird die Wasserknappheit zunehmen und alle Lebensbereiche sowie die Wirtschaft stark beeinträchtigen. </w:t>
      </w:r>
    </w:p>
    <w:p w14:paraId="3494D29D" w14:textId="77777777" w:rsidR="00623AF8" w:rsidRPr="007A52F5" w:rsidRDefault="00623AF8" w:rsidP="00623AF8">
      <w:pPr>
        <w:pStyle w:val="StandardWeb"/>
        <w:spacing w:before="0" w:beforeAutospacing="0" w:after="120" w:afterAutospacing="0"/>
        <w:jc w:val="both"/>
        <w:rPr>
          <w:rFonts w:ascii="Aptos" w:hAnsi="Aptos"/>
          <w:sz w:val="22"/>
          <w:szCs w:val="22"/>
        </w:rPr>
        <w:sectPr w:rsidR="00623AF8" w:rsidRPr="007A52F5" w:rsidSect="00034C8E">
          <w:pgSz w:w="11906" w:h="16838"/>
          <w:pgMar w:top="1871" w:right="1418" w:bottom="1134" w:left="1418" w:header="709" w:footer="510" w:gutter="0"/>
          <w:cols w:space="708"/>
          <w:docGrid w:linePitch="360"/>
        </w:sectPr>
      </w:pPr>
    </w:p>
    <w:p w14:paraId="4C609226" w14:textId="77777777" w:rsidR="00623AF8" w:rsidRPr="007A1DB2" w:rsidRDefault="00623AF8" w:rsidP="00623AF8">
      <w:pPr>
        <w:pStyle w:val="berschrift1"/>
        <w:rPr>
          <w:rFonts w:ascii="Aptos" w:hAnsi="Aptos"/>
          <w:sz w:val="22"/>
          <w:szCs w:val="22"/>
        </w:rPr>
      </w:pPr>
      <w:bookmarkStart w:id="35" w:name="_Toc165027655"/>
      <w:bookmarkStart w:id="36" w:name="_Toc170983645"/>
      <w:r w:rsidRPr="007A1DB2">
        <w:rPr>
          <w:rFonts w:ascii="Aptos" w:hAnsi="Aptos"/>
          <w:sz w:val="22"/>
          <w:szCs w:val="22"/>
        </w:rPr>
        <w:lastRenderedPageBreak/>
        <w:t>Europäischer Blue Deal – Wasser-Resilienz-Initiative</w:t>
      </w:r>
      <w:bookmarkEnd w:id="35"/>
      <w:bookmarkEnd w:id="36"/>
    </w:p>
    <w:p w14:paraId="2FD38FBA"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6FD02F0F" w14:textId="77777777" w:rsidTr="00875DD0">
        <w:tc>
          <w:tcPr>
            <w:tcW w:w="9060" w:type="dxa"/>
            <w:shd w:val="clear" w:color="auto" w:fill="D9D9D9" w:themeFill="background1" w:themeFillShade="D9"/>
          </w:tcPr>
          <w:p w14:paraId="623D96D4"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 xml:space="preserve">Frage </w:t>
            </w:r>
          </w:p>
        </w:tc>
      </w:tr>
      <w:tr w:rsidR="00623AF8" w:rsidRPr="007A1DB2" w14:paraId="6EAAD30B" w14:textId="77777777" w:rsidTr="00875DD0">
        <w:tc>
          <w:tcPr>
            <w:tcW w:w="9060" w:type="dxa"/>
          </w:tcPr>
          <w:p w14:paraId="20AA4FCE" w14:textId="77777777" w:rsidR="00623AF8" w:rsidRPr="007A1DB2" w:rsidRDefault="00623AF8" w:rsidP="00875DD0">
            <w:pPr>
              <w:spacing w:before="120"/>
              <w:jc w:val="both"/>
              <w:rPr>
                <w:rFonts w:ascii="Aptos" w:hAnsi="Aptos"/>
                <w:sz w:val="22"/>
                <w:szCs w:val="22"/>
              </w:rPr>
            </w:pPr>
            <w:r w:rsidRPr="007A1DB2">
              <w:rPr>
                <w:rFonts w:ascii="Aptos" w:hAnsi="Aptos"/>
                <w:sz w:val="22"/>
                <w:szCs w:val="22"/>
              </w:rPr>
              <w:t xml:space="preserve">Im vergangenen Jahr haben das EU-Parlament und der EWSA in einem gemeinsamen Aufruf einen Europäischen Blue Deal gefordert, der als umfassende EU-Wasserstrategie eine nachhaltige Bewirtschaftung der Wasservorräte sicherstellen und zu einer wasserbewussten Gesetzgebung führen soll. </w:t>
            </w:r>
          </w:p>
          <w:p w14:paraId="40C46754" w14:textId="77777777" w:rsidR="00623AF8" w:rsidRPr="007A1DB2" w:rsidRDefault="00623AF8" w:rsidP="00875DD0">
            <w:pPr>
              <w:jc w:val="both"/>
              <w:rPr>
                <w:rFonts w:ascii="Aptos" w:hAnsi="Aptos"/>
                <w:sz w:val="22"/>
                <w:szCs w:val="22"/>
              </w:rPr>
            </w:pPr>
            <w:r w:rsidRPr="007A1DB2">
              <w:rPr>
                <w:rFonts w:ascii="Aptos" w:hAnsi="Aptos"/>
                <w:sz w:val="22"/>
                <w:szCs w:val="22"/>
              </w:rPr>
              <w:t>Die von der EU-Kommission angekündigte Wasser-Resilienz-Initiative mit ihrem versprochenen Fokus auf Themen wie nachhaltige Wassernutzung oder den Umgang mit dem Klimawandel hätte ein erster Schritt in Richtung einer derartigen EU-Wasserstrategie sein können. Allerdings wurde sie kurz vor dem geplanten Veröffentlichungsdatum ohne Verweis auf den weiteren Zeitplan von der Agenda für die wöchentlichen Sitzungen der EU-Kommission genommen.</w:t>
            </w:r>
          </w:p>
          <w:p w14:paraId="49BCE505" w14:textId="77777777" w:rsidR="00623AF8" w:rsidRPr="007A1DB2" w:rsidRDefault="00623AF8" w:rsidP="00875DD0">
            <w:pPr>
              <w:spacing w:after="120"/>
              <w:jc w:val="both"/>
              <w:rPr>
                <w:rFonts w:ascii="Aptos" w:hAnsi="Aptos"/>
                <w:b/>
                <w:bCs/>
                <w:sz w:val="22"/>
                <w:szCs w:val="22"/>
              </w:rPr>
            </w:pPr>
            <w:r w:rsidRPr="007A1DB2">
              <w:rPr>
                <w:rFonts w:ascii="Aptos" w:hAnsi="Aptos"/>
                <w:b/>
                <w:bCs/>
                <w:sz w:val="22"/>
                <w:szCs w:val="22"/>
              </w:rPr>
              <w:t xml:space="preserve">Werden Sie angesichts des stetig zunehmenden Drucks auf unsere Wasserressourcen das Thema Wasser-Resilienz wieder aufnehmen und wenn ja, </w:t>
            </w:r>
            <w:r>
              <w:rPr>
                <w:rFonts w:ascii="Aptos" w:hAnsi="Aptos"/>
                <w:b/>
                <w:bCs/>
                <w:sz w:val="22"/>
                <w:szCs w:val="22"/>
              </w:rPr>
              <w:t>welchen Zeitplan verfolgen Sie</w:t>
            </w:r>
            <w:r w:rsidRPr="007A1DB2">
              <w:rPr>
                <w:rFonts w:ascii="Aptos" w:hAnsi="Aptos"/>
                <w:b/>
                <w:bCs/>
                <w:sz w:val="22"/>
                <w:szCs w:val="22"/>
              </w:rPr>
              <w:t>?</w:t>
            </w:r>
            <w:r w:rsidRPr="007A1DB2">
              <w:rPr>
                <w:rFonts w:ascii="Aptos" w:hAnsi="Aptos"/>
                <w:i/>
                <w:iCs/>
                <w:sz w:val="22"/>
                <w:szCs w:val="22"/>
              </w:rPr>
              <w:t xml:space="preserve"> </w:t>
            </w:r>
          </w:p>
        </w:tc>
      </w:tr>
      <w:tr w:rsidR="00623AF8" w:rsidRPr="007A1DB2" w14:paraId="0BB206B0" w14:textId="77777777" w:rsidTr="00875DD0">
        <w:tc>
          <w:tcPr>
            <w:tcW w:w="9060" w:type="dxa"/>
            <w:shd w:val="clear" w:color="auto" w:fill="D9D9D9" w:themeFill="background1" w:themeFillShade="D9"/>
          </w:tcPr>
          <w:p w14:paraId="2A6F5238"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 xml:space="preserve">Nachfrage </w:t>
            </w:r>
          </w:p>
        </w:tc>
      </w:tr>
      <w:tr w:rsidR="00623AF8" w:rsidRPr="007A1DB2" w14:paraId="5D3866F6" w14:textId="77777777" w:rsidTr="00875DD0">
        <w:tc>
          <w:tcPr>
            <w:tcW w:w="9060" w:type="dxa"/>
          </w:tcPr>
          <w:p w14:paraId="47B74755" w14:textId="29B7F61F" w:rsidR="00623AF8" w:rsidRPr="00A041E1" w:rsidRDefault="00623AF8" w:rsidP="00F63BE8">
            <w:pPr>
              <w:pStyle w:val="Listenabsatz"/>
              <w:numPr>
                <w:ilvl w:val="0"/>
                <w:numId w:val="2"/>
              </w:numPr>
              <w:spacing w:before="120" w:after="120"/>
              <w:jc w:val="both"/>
              <w:rPr>
                <w:rFonts w:ascii="Aptos" w:hAnsi="Aptos"/>
                <w:iCs/>
                <w:sz w:val="22"/>
                <w:szCs w:val="22"/>
              </w:rPr>
            </w:pPr>
            <w:r w:rsidRPr="00A041E1">
              <w:rPr>
                <w:rFonts w:ascii="Aptos" w:hAnsi="Aptos"/>
                <w:iCs/>
                <w:sz w:val="22"/>
                <w:szCs w:val="22"/>
              </w:rPr>
              <w:t>Wie stellen Sie sich die Umsetzungsschritte konkret vor?</w:t>
            </w:r>
          </w:p>
        </w:tc>
      </w:tr>
    </w:tbl>
    <w:p w14:paraId="57D2D876" w14:textId="77777777" w:rsidR="00623AF8" w:rsidRPr="007A1DB2" w:rsidRDefault="00623AF8" w:rsidP="00623AF8">
      <w:pPr>
        <w:spacing w:after="120"/>
        <w:jc w:val="both"/>
        <w:rPr>
          <w:rFonts w:ascii="Aptos" w:hAnsi="Aptos"/>
          <w:i/>
          <w:iCs/>
          <w:sz w:val="22"/>
          <w:szCs w:val="22"/>
          <w:u w:val="single"/>
        </w:rPr>
      </w:pPr>
    </w:p>
    <w:p w14:paraId="4EC712B0" w14:textId="07A1F9DD" w:rsidR="00623AF8" w:rsidRPr="008121D9" w:rsidRDefault="008121D9" w:rsidP="008121D9">
      <w:pPr>
        <w:widowControl w:val="0"/>
        <w:tabs>
          <w:tab w:val="right" w:pos="9070"/>
        </w:tabs>
        <w:autoSpaceDE w:val="0"/>
        <w:autoSpaceDN w:val="0"/>
        <w:spacing w:line="258" w:lineRule="exact"/>
        <w:jc w:val="both"/>
        <w:rPr>
          <w:rFonts w:ascii="Aptos" w:eastAsia="Arial MT" w:hAnsi="Aptos" w:cs="Arial MT"/>
          <w:b/>
          <w:szCs w:val="22"/>
          <w:highlight w:val="lightGray"/>
        </w:rPr>
      </w:pPr>
      <w:r w:rsidRPr="008121D9">
        <w:rPr>
          <w:rFonts w:ascii="Aptos" w:eastAsia="Arial MT" w:hAnsi="Aptos" w:cs="Arial MT"/>
          <w:b/>
          <w:szCs w:val="22"/>
          <w:highlight w:val="lightGray"/>
        </w:rPr>
        <w:t>Hintergrund</w:t>
      </w:r>
      <w:r>
        <w:rPr>
          <w:rFonts w:ascii="Aptos" w:eastAsia="Arial MT" w:hAnsi="Aptos" w:cs="Arial MT"/>
          <w:b/>
          <w:szCs w:val="22"/>
          <w:highlight w:val="lightGray"/>
        </w:rPr>
        <w:tab/>
      </w:r>
    </w:p>
    <w:p w14:paraId="4624D263" w14:textId="77777777" w:rsidR="00623AF8" w:rsidRPr="001E0D14" w:rsidRDefault="00623AF8" w:rsidP="00623AF8">
      <w:pPr>
        <w:pStyle w:val="StandardWeb"/>
        <w:spacing w:before="0" w:beforeAutospacing="0" w:after="120" w:afterAutospacing="0"/>
        <w:jc w:val="both"/>
        <w:rPr>
          <w:rFonts w:ascii="Aptos" w:hAnsi="Aptos"/>
          <w:sz w:val="22"/>
          <w:szCs w:val="22"/>
        </w:rPr>
      </w:pPr>
      <w:r w:rsidRPr="001E0D14">
        <w:rPr>
          <w:rFonts w:ascii="Aptos" w:hAnsi="Aptos"/>
          <w:sz w:val="22"/>
          <w:szCs w:val="22"/>
        </w:rPr>
        <w:t xml:space="preserve">Im Herbst 2023 rief der europäische Wirtschafts- und Sozialausschuss </w:t>
      </w:r>
      <w:r>
        <w:rPr>
          <w:rFonts w:ascii="Aptos" w:hAnsi="Aptos"/>
          <w:sz w:val="22"/>
          <w:szCs w:val="22"/>
        </w:rPr>
        <w:t xml:space="preserve">(EWSA) </w:t>
      </w:r>
      <w:r w:rsidRPr="001E0D14">
        <w:rPr>
          <w:rFonts w:ascii="Aptos" w:hAnsi="Aptos"/>
          <w:sz w:val="22"/>
          <w:szCs w:val="22"/>
        </w:rPr>
        <w:t xml:space="preserve">zum Europäischen Blauen Deal auf, unterstützt von MEPs, die die Bedeutung von Wasser für eine Netto-Null-Wirtschaft betonten. Sie forderten </w:t>
      </w:r>
      <w:r>
        <w:rPr>
          <w:rFonts w:ascii="Aptos" w:hAnsi="Aptos"/>
          <w:sz w:val="22"/>
          <w:szCs w:val="22"/>
        </w:rPr>
        <w:t xml:space="preserve">u.a. </w:t>
      </w:r>
      <w:r w:rsidRPr="001E0D14">
        <w:rPr>
          <w:rFonts w:ascii="Aptos" w:hAnsi="Aptos"/>
          <w:sz w:val="22"/>
          <w:szCs w:val="22"/>
        </w:rPr>
        <w:t>die Ernennung eines Vizepräsidenten der EU-Kommission für Wasserfrag</w:t>
      </w:r>
      <w:r>
        <w:rPr>
          <w:rFonts w:ascii="Aptos" w:hAnsi="Aptos"/>
          <w:sz w:val="22"/>
          <w:szCs w:val="22"/>
        </w:rPr>
        <w:t xml:space="preserve">en und mittel- bzw. langfristig eine </w:t>
      </w:r>
      <w:r w:rsidRPr="007A1DB2">
        <w:rPr>
          <w:rFonts w:ascii="Aptos" w:hAnsi="Aptos"/>
          <w:sz w:val="22"/>
          <w:szCs w:val="22"/>
        </w:rPr>
        <w:t>wasserbewusste Gesetzgebung, die die Bedeutung von Wasser in allen Politikbereichen anerkennt, das Menschenrecht auf Wasser garantiert und eine widerstandsfähige Wasserwirtschaft ermöglicht</w:t>
      </w:r>
      <w:r>
        <w:rPr>
          <w:rFonts w:ascii="Aptos" w:hAnsi="Aptos"/>
          <w:sz w:val="22"/>
          <w:szCs w:val="22"/>
        </w:rPr>
        <w:t>.</w:t>
      </w:r>
      <w:r w:rsidRPr="001E0D14">
        <w:rPr>
          <w:rFonts w:ascii="Aptos" w:hAnsi="Aptos"/>
          <w:sz w:val="22"/>
          <w:szCs w:val="22"/>
        </w:rPr>
        <w:t xml:space="preserve"> Kommissionspräsidentin Ursula von der Leyen kündigte </w:t>
      </w:r>
      <w:r>
        <w:rPr>
          <w:rFonts w:ascii="Aptos" w:hAnsi="Aptos"/>
          <w:sz w:val="22"/>
          <w:szCs w:val="22"/>
        </w:rPr>
        <w:t xml:space="preserve">in ihrer Rede zur Lage der Europäischen Union </w:t>
      </w:r>
      <w:r w:rsidRPr="001E0D14">
        <w:rPr>
          <w:rFonts w:ascii="Aptos" w:hAnsi="Aptos"/>
          <w:sz w:val="22"/>
          <w:szCs w:val="22"/>
        </w:rPr>
        <w:t>eine Initiative zu</w:t>
      </w:r>
      <w:r>
        <w:rPr>
          <w:rFonts w:ascii="Aptos" w:hAnsi="Aptos"/>
          <w:sz w:val="22"/>
          <w:szCs w:val="22"/>
        </w:rPr>
        <w:t xml:space="preserve"> Wasser-Resilienz</w:t>
      </w:r>
      <w:r w:rsidRPr="001E0D14">
        <w:rPr>
          <w:rFonts w:ascii="Aptos" w:hAnsi="Aptos"/>
          <w:sz w:val="22"/>
          <w:szCs w:val="22"/>
        </w:rPr>
        <w:t xml:space="preserve"> als Teil des Green Deals an, die jedoch nicht wie geplant am 12. März 2024 vorgestellt wurde und seitdem ohne neuen Termin bleibt.</w:t>
      </w:r>
    </w:p>
    <w:p w14:paraId="0DA801C0" w14:textId="77777777" w:rsidR="00623AF8" w:rsidRDefault="00623AF8" w:rsidP="00623AF8">
      <w:pPr>
        <w:pStyle w:val="StandardWeb"/>
        <w:spacing w:before="0" w:beforeAutospacing="0" w:after="120" w:afterAutospacing="0"/>
        <w:jc w:val="both"/>
        <w:rPr>
          <w:rFonts w:ascii="Aptos" w:hAnsi="Aptos"/>
          <w:sz w:val="22"/>
          <w:szCs w:val="22"/>
        </w:rPr>
      </w:pPr>
      <w:r w:rsidRPr="001E0D14">
        <w:rPr>
          <w:rFonts w:ascii="Aptos" w:hAnsi="Aptos"/>
          <w:sz w:val="22"/>
          <w:szCs w:val="22"/>
        </w:rPr>
        <w:t>Die Zurückstellung der Wasser-Resilienz-Initiative von der Agenda der Europäischen Kommission löste Besorgnis</w:t>
      </w:r>
      <w:r>
        <w:rPr>
          <w:rFonts w:ascii="Aptos" w:hAnsi="Aptos"/>
          <w:sz w:val="22"/>
          <w:szCs w:val="22"/>
        </w:rPr>
        <w:t xml:space="preserve"> aus</w:t>
      </w:r>
      <w:r w:rsidRPr="001E0D14">
        <w:rPr>
          <w:rFonts w:ascii="Aptos" w:hAnsi="Aptos"/>
          <w:sz w:val="22"/>
          <w:szCs w:val="22"/>
        </w:rPr>
        <w:t>, dass Europas Klimaambitionen geschwächt werden könnten. Die Initiative sollte eine umfassende Wasserstrategie der EU darstellen, die Nachhaltigkeit und Klimaresilienz fördert</w:t>
      </w:r>
      <w:r>
        <w:rPr>
          <w:rFonts w:ascii="Aptos" w:hAnsi="Aptos"/>
          <w:sz w:val="22"/>
          <w:szCs w:val="22"/>
        </w:rPr>
        <w:t xml:space="preserve"> und hätte ein Wegweiser in Richtung einer wasserbewussten Gesetzgebung und eines Blue Deals sein können. </w:t>
      </w:r>
    </w:p>
    <w:p w14:paraId="0157D7CE" w14:textId="77777777" w:rsidR="00623AF8" w:rsidRPr="007A1DB2" w:rsidRDefault="00623AF8" w:rsidP="00623AF8">
      <w:pPr>
        <w:pStyle w:val="StandardWeb"/>
        <w:spacing w:before="0" w:beforeAutospacing="0" w:after="120" w:afterAutospacing="0"/>
        <w:jc w:val="both"/>
        <w:rPr>
          <w:rFonts w:ascii="Aptos" w:hAnsi="Aptos"/>
          <w:sz w:val="22"/>
          <w:szCs w:val="22"/>
        </w:rPr>
      </w:pPr>
      <w:r>
        <w:rPr>
          <w:rFonts w:ascii="Aptos" w:hAnsi="Aptos"/>
          <w:sz w:val="22"/>
          <w:szCs w:val="22"/>
        </w:rPr>
        <w:t>Wasser-Resilienz</w:t>
      </w:r>
      <w:r w:rsidRPr="001E0D14">
        <w:rPr>
          <w:rFonts w:ascii="Aptos" w:hAnsi="Aptos"/>
          <w:sz w:val="22"/>
          <w:szCs w:val="22"/>
        </w:rPr>
        <w:t xml:space="preserve"> ist entscheidend für kommunale Unternehmen, um die Wasserversorgung zu sichern, das Menschenrecht auf Wasser zu gewährleisten</w:t>
      </w:r>
      <w:r>
        <w:rPr>
          <w:rFonts w:ascii="Aptos" w:hAnsi="Aptos"/>
          <w:sz w:val="22"/>
          <w:szCs w:val="22"/>
        </w:rPr>
        <w:t>,</w:t>
      </w:r>
      <w:r w:rsidRPr="001E0D14">
        <w:rPr>
          <w:rFonts w:ascii="Aptos" w:hAnsi="Aptos"/>
          <w:sz w:val="22"/>
          <w:szCs w:val="22"/>
        </w:rPr>
        <w:t xml:space="preserve"> eine nachhaltige Wasserwirtschaft zu fördern</w:t>
      </w:r>
      <w:r>
        <w:rPr>
          <w:rFonts w:ascii="Aptos" w:hAnsi="Aptos"/>
          <w:sz w:val="22"/>
          <w:szCs w:val="22"/>
        </w:rPr>
        <w:t xml:space="preserve"> und Umweltziele zu erreichen.</w:t>
      </w:r>
      <w:r w:rsidRPr="001E0D14">
        <w:rPr>
          <w:rFonts w:ascii="Aptos" w:hAnsi="Aptos"/>
          <w:sz w:val="22"/>
          <w:szCs w:val="22"/>
        </w:rPr>
        <w:t xml:space="preserve"> </w:t>
      </w:r>
      <w:r>
        <w:rPr>
          <w:rFonts w:ascii="Aptos" w:hAnsi="Aptos"/>
          <w:sz w:val="22"/>
          <w:szCs w:val="22"/>
        </w:rPr>
        <w:t xml:space="preserve">Damit einher gehen u.a. eine Reduzierung bzw. Effizienzsteigerung der Wassernutzung in der Landwirtschaft und Industrie. </w:t>
      </w:r>
      <w:r w:rsidRPr="001E0D14">
        <w:rPr>
          <w:rFonts w:ascii="Aptos" w:hAnsi="Aptos"/>
          <w:sz w:val="22"/>
          <w:szCs w:val="22"/>
        </w:rPr>
        <w:t xml:space="preserve">Eine gerechte Verteilung und Vorrang der menschlichen Nutzung sowie die Verbesserung der Infrastruktur zur Reduzierung von Wasserverlusten sind zentral. </w:t>
      </w:r>
      <w:r>
        <w:rPr>
          <w:rFonts w:ascii="Aptos" w:hAnsi="Aptos"/>
          <w:sz w:val="22"/>
          <w:szCs w:val="22"/>
        </w:rPr>
        <w:t>Es ist</w:t>
      </w:r>
      <w:r w:rsidRPr="001E0D14">
        <w:rPr>
          <w:rFonts w:ascii="Aptos" w:hAnsi="Aptos"/>
          <w:sz w:val="22"/>
          <w:szCs w:val="22"/>
        </w:rPr>
        <w:t xml:space="preserve"> </w:t>
      </w:r>
      <w:r>
        <w:rPr>
          <w:rFonts w:ascii="Aptos" w:hAnsi="Aptos"/>
          <w:sz w:val="22"/>
          <w:szCs w:val="22"/>
        </w:rPr>
        <w:t>essenziell</w:t>
      </w:r>
      <w:r w:rsidRPr="001E0D14">
        <w:rPr>
          <w:rFonts w:ascii="Aptos" w:hAnsi="Aptos"/>
          <w:sz w:val="22"/>
          <w:szCs w:val="22"/>
        </w:rPr>
        <w:t>, Wasser als Gemeingut für Mensch und Natur zu erhalten und ausreichende Investitionen in die Wasserinfrastruktur zu fördern.</w:t>
      </w:r>
    </w:p>
    <w:p w14:paraId="21FE9E07" w14:textId="77777777" w:rsidR="00623AF8" w:rsidRPr="007A1DB2" w:rsidRDefault="00623AF8" w:rsidP="00623AF8">
      <w:pPr>
        <w:jc w:val="both"/>
        <w:rPr>
          <w:rFonts w:ascii="Aptos" w:hAnsi="Aptos"/>
          <w:bCs/>
          <w:sz w:val="22"/>
          <w:szCs w:val="22"/>
          <w:u w:val="single"/>
        </w:rPr>
        <w:sectPr w:rsidR="00623AF8" w:rsidRPr="007A1DB2" w:rsidSect="00034C8E">
          <w:pgSz w:w="11906" w:h="16838"/>
          <w:pgMar w:top="1871" w:right="1418" w:bottom="1134" w:left="1418" w:header="709" w:footer="510" w:gutter="0"/>
          <w:cols w:space="708"/>
          <w:docGrid w:linePitch="360"/>
        </w:sectPr>
      </w:pPr>
    </w:p>
    <w:p w14:paraId="4001421E" w14:textId="77777777" w:rsidR="00623AF8" w:rsidRPr="007A1DB2" w:rsidRDefault="00623AF8" w:rsidP="00623AF8">
      <w:pPr>
        <w:pStyle w:val="berschrift1"/>
        <w:rPr>
          <w:rFonts w:ascii="Aptos" w:hAnsi="Aptos"/>
          <w:sz w:val="22"/>
          <w:szCs w:val="22"/>
        </w:rPr>
      </w:pPr>
      <w:bookmarkStart w:id="37" w:name="_Toc165027656"/>
      <w:bookmarkStart w:id="38" w:name="_Toc170983646"/>
      <w:r w:rsidRPr="007A1DB2">
        <w:rPr>
          <w:rFonts w:ascii="Aptos" w:hAnsi="Aptos"/>
          <w:sz w:val="22"/>
          <w:szCs w:val="22"/>
        </w:rPr>
        <w:lastRenderedPageBreak/>
        <w:t>Verursacherprinzip – Koppelung EPR-Systeme an Investitionszyklen</w:t>
      </w:r>
      <w:bookmarkEnd w:id="37"/>
      <w:bookmarkEnd w:id="38"/>
    </w:p>
    <w:p w14:paraId="0B525A7F"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02094BE4" w14:textId="77777777" w:rsidTr="00875DD0">
        <w:tc>
          <w:tcPr>
            <w:tcW w:w="9060" w:type="dxa"/>
            <w:shd w:val="clear" w:color="auto" w:fill="D9D9D9" w:themeFill="background1" w:themeFillShade="D9"/>
          </w:tcPr>
          <w:p w14:paraId="716670FB"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5BA400AA" w14:textId="77777777" w:rsidTr="00875DD0">
        <w:tc>
          <w:tcPr>
            <w:tcW w:w="9060" w:type="dxa"/>
          </w:tcPr>
          <w:p w14:paraId="39B1234D" w14:textId="77777777" w:rsidR="00623AF8" w:rsidRPr="007A1DB2" w:rsidRDefault="00623AF8" w:rsidP="00875DD0">
            <w:pPr>
              <w:spacing w:before="120" w:after="120"/>
              <w:jc w:val="both"/>
              <w:rPr>
                <w:rFonts w:ascii="Aptos" w:hAnsi="Aptos"/>
                <w:sz w:val="22"/>
                <w:szCs w:val="22"/>
              </w:rPr>
            </w:pPr>
            <w:r w:rsidRPr="007A1DB2">
              <w:rPr>
                <w:rFonts w:ascii="Aptos" w:hAnsi="Aptos"/>
                <w:sz w:val="22"/>
                <w:szCs w:val="22"/>
              </w:rPr>
              <w:t xml:space="preserve">Die erweiterte Herstellerverantwortung ist eine bereits seit längerem im Abfallrecht und </w:t>
            </w:r>
            <w:r>
              <w:rPr>
                <w:rFonts w:ascii="Aptos" w:hAnsi="Aptos"/>
                <w:sz w:val="22"/>
                <w:szCs w:val="22"/>
              </w:rPr>
              <w:t>mit</w:t>
            </w:r>
            <w:r w:rsidRPr="007A1DB2">
              <w:rPr>
                <w:rFonts w:ascii="Aptos" w:hAnsi="Aptos"/>
                <w:sz w:val="22"/>
                <w:szCs w:val="22"/>
              </w:rPr>
              <w:t xml:space="preserve"> der Überarbeitung der kommunalen Abwasserrichtlinie nun auch erstmals im Wassersektor genutzte Möglichkeit zur Umsetzung des primärrechtlich verankerten Verursacherprinzips. Die Beseitigung von Schadstoffen erfordert in der Regel massive zusätzliche Investitionskosten, zB durch den Ausbau einer vierten Reinigungsstufe zur Behandlung von Mikroschadstoffen oder einer zusätzlichen Aufbereitung von Trinkwasser. </w:t>
            </w:r>
            <w:r w:rsidRPr="007A1DB2">
              <w:rPr>
                <w:rFonts w:ascii="Aptos" w:hAnsi="Aptos"/>
                <w:b/>
                <w:bCs/>
                <w:sz w:val="22"/>
                <w:szCs w:val="22"/>
              </w:rPr>
              <w:t>Inwiefern werden Sie als designierte:r EU-Kommissar:in dafür Sorge tragen, dass bei künftigen und bestehenden EPR-Systemen die Geldflüsse von den Herstellern an die Investitionszyklen der Betreiber/Versorger gekoppelt sind und gewährleistet werden kann, dass die finanzielle Belastung, die bereits in Planungs- bzw. Frühphasen entsteht, nicht auf Bürger:innen abgewälzt wird</w:t>
            </w:r>
            <w:r>
              <w:rPr>
                <w:rFonts w:ascii="Aptos" w:hAnsi="Aptos"/>
                <w:b/>
                <w:bCs/>
                <w:sz w:val="22"/>
                <w:szCs w:val="22"/>
              </w:rPr>
              <w:t>?</w:t>
            </w:r>
          </w:p>
        </w:tc>
      </w:tr>
      <w:tr w:rsidR="00623AF8" w:rsidRPr="007A1DB2" w14:paraId="301D46A5" w14:textId="77777777" w:rsidTr="00875DD0">
        <w:tc>
          <w:tcPr>
            <w:tcW w:w="9060" w:type="dxa"/>
            <w:shd w:val="clear" w:color="auto" w:fill="D9D9D9" w:themeFill="background1" w:themeFillShade="D9"/>
          </w:tcPr>
          <w:p w14:paraId="3DBA535F"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255674FB" w14:textId="77777777" w:rsidTr="00875DD0">
        <w:tc>
          <w:tcPr>
            <w:tcW w:w="9060" w:type="dxa"/>
          </w:tcPr>
          <w:p w14:paraId="6E2BE754" w14:textId="1ADDF9D2" w:rsidR="00623AF8" w:rsidRPr="00A041E1" w:rsidRDefault="00623AF8" w:rsidP="00F63BE8">
            <w:pPr>
              <w:pStyle w:val="Listenabsatz"/>
              <w:numPr>
                <w:ilvl w:val="0"/>
                <w:numId w:val="2"/>
              </w:numPr>
              <w:spacing w:before="120" w:after="120"/>
              <w:jc w:val="both"/>
              <w:rPr>
                <w:rFonts w:ascii="Aptos" w:hAnsi="Aptos"/>
                <w:iCs/>
                <w:sz w:val="22"/>
                <w:szCs w:val="22"/>
              </w:rPr>
            </w:pPr>
            <w:r w:rsidRPr="00A041E1">
              <w:rPr>
                <w:rFonts w:ascii="Aptos" w:hAnsi="Aptos"/>
                <w:iCs/>
                <w:sz w:val="22"/>
                <w:szCs w:val="22"/>
              </w:rPr>
              <w:t>Wie wollen Sie sicherstellen, dass es im Zuge von EPR-Systemen in der Wasserwirtschaft nicht zu einem ebenso starken Einfluss bzw. einem Mitbestimmungsrecht der Industrie kommt, wie dies in der Abfallwirtschaft zu sehen ist?</w:t>
            </w:r>
          </w:p>
        </w:tc>
      </w:tr>
    </w:tbl>
    <w:p w14:paraId="00D29795" w14:textId="77777777" w:rsidR="00623AF8" w:rsidRPr="007A1DB2" w:rsidRDefault="00623AF8" w:rsidP="00623AF8">
      <w:pPr>
        <w:spacing w:after="120"/>
        <w:jc w:val="both"/>
        <w:rPr>
          <w:rFonts w:ascii="Aptos" w:hAnsi="Aptos"/>
          <w:i/>
          <w:iCs/>
          <w:sz w:val="22"/>
          <w:szCs w:val="22"/>
          <w:u w:val="single"/>
        </w:rPr>
      </w:pPr>
    </w:p>
    <w:p w14:paraId="20ECA0CD" w14:textId="2114EE0A" w:rsidR="00AF0827" w:rsidRPr="00AF0827" w:rsidRDefault="00AF0827" w:rsidP="00AF0827">
      <w:pPr>
        <w:widowControl w:val="0"/>
        <w:tabs>
          <w:tab w:val="right" w:pos="9070"/>
        </w:tabs>
        <w:autoSpaceDE w:val="0"/>
        <w:autoSpaceDN w:val="0"/>
        <w:spacing w:line="258" w:lineRule="exact"/>
        <w:jc w:val="both"/>
        <w:rPr>
          <w:rFonts w:ascii="Aptos" w:eastAsia="Arial MT" w:hAnsi="Aptos" w:cs="Arial MT"/>
          <w:b/>
          <w:szCs w:val="22"/>
          <w:highlight w:val="lightGray"/>
        </w:rPr>
      </w:pPr>
      <w:r w:rsidRPr="00AF0827">
        <w:rPr>
          <w:rFonts w:ascii="Aptos" w:eastAsia="Arial MT" w:hAnsi="Aptos" w:cs="Arial MT"/>
          <w:b/>
          <w:szCs w:val="22"/>
          <w:highlight w:val="lightGray"/>
        </w:rPr>
        <w:t>Hintergrund</w:t>
      </w:r>
      <w:r>
        <w:rPr>
          <w:rFonts w:ascii="Aptos" w:eastAsia="Arial MT" w:hAnsi="Aptos" w:cs="Arial MT"/>
          <w:b/>
          <w:szCs w:val="22"/>
          <w:highlight w:val="lightGray"/>
        </w:rPr>
        <w:tab/>
      </w:r>
    </w:p>
    <w:p w14:paraId="6E76AB9D" w14:textId="77777777" w:rsidR="00623AF8" w:rsidRPr="00E409B1" w:rsidRDefault="00623AF8" w:rsidP="00623AF8">
      <w:pPr>
        <w:spacing w:after="120"/>
        <w:jc w:val="both"/>
        <w:rPr>
          <w:rFonts w:ascii="Aptos" w:hAnsi="Aptos"/>
          <w:sz w:val="22"/>
          <w:szCs w:val="22"/>
        </w:rPr>
      </w:pPr>
      <w:r w:rsidRPr="00E409B1">
        <w:rPr>
          <w:rFonts w:ascii="Aptos" w:hAnsi="Aptos"/>
          <w:sz w:val="22"/>
          <w:szCs w:val="22"/>
        </w:rPr>
        <w:t>Das primärrechtlich verankerte Verursacherprinzip ist ein essenzielle</w:t>
      </w:r>
      <w:r w:rsidRPr="007A1DB2">
        <w:rPr>
          <w:rFonts w:ascii="Aptos" w:hAnsi="Aptos"/>
          <w:sz w:val="22"/>
          <w:szCs w:val="22"/>
        </w:rPr>
        <w:t>r Bestandteil</w:t>
      </w:r>
      <w:r w:rsidRPr="00E409B1">
        <w:rPr>
          <w:rFonts w:ascii="Aptos" w:hAnsi="Aptos"/>
          <w:sz w:val="22"/>
          <w:szCs w:val="22"/>
        </w:rPr>
        <w:t xml:space="preserve"> der EU-Umweltpolitik</w:t>
      </w:r>
      <w:r w:rsidRPr="007A1DB2">
        <w:rPr>
          <w:rFonts w:ascii="Aptos" w:hAnsi="Aptos"/>
          <w:sz w:val="22"/>
          <w:szCs w:val="22"/>
        </w:rPr>
        <w:t xml:space="preserve"> und soll</w:t>
      </w:r>
      <w:r w:rsidRPr="00E409B1">
        <w:rPr>
          <w:rFonts w:ascii="Aptos" w:hAnsi="Aptos"/>
          <w:sz w:val="22"/>
          <w:szCs w:val="22"/>
        </w:rPr>
        <w:t xml:space="preserve"> einen Anreiz zur Vermeidung von Umweltverschmutzungen an der Quelle liefern, indem die Verursacher für die Kosten von Maßnahmen zur Vermeidung, Bekämpfung und Beseitigung von Umweltverschmutzungen aufkommen. Der Europäische Rechnungshof (ERH) stellte </w:t>
      </w:r>
      <w:r w:rsidRPr="007A1DB2">
        <w:rPr>
          <w:rFonts w:ascii="Aptos" w:hAnsi="Aptos"/>
          <w:sz w:val="22"/>
          <w:szCs w:val="22"/>
        </w:rPr>
        <w:t>bereits 2021</w:t>
      </w:r>
      <w:r w:rsidRPr="00E409B1">
        <w:rPr>
          <w:rFonts w:ascii="Aptos" w:hAnsi="Aptos"/>
          <w:sz w:val="22"/>
          <w:szCs w:val="22"/>
        </w:rPr>
        <w:t xml:space="preserve"> in einem </w:t>
      </w:r>
      <w:r w:rsidRPr="00E409B1">
        <w:rPr>
          <w:rFonts w:ascii="Aptos" w:hAnsi="Aptos"/>
          <w:b/>
          <w:bCs/>
          <w:sz w:val="22"/>
          <w:szCs w:val="22"/>
        </w:rPr>
        <w:t xml:space="preserve">Sonderbericht </w:t>
      </w:r>
      <w:r w:rsidRPr="007A1DB2">
        <w:rPr>
          <w:rFonts w:ascii="Aptos" w:hAnsi="Aptos"/>
          <w:b/>
          <w:bCs/>
          <w:sz w:val="22"/>
          <w:szCs w:val="22"/>
        </w:rPr>
        <w:t>(</w:t>
      </w:r>
      <w:r w:rsidRPr="00E409B1">
        <w:rPr>
          <w:rFonts w:ascii="Aptos" w:hAnsi="Aptos"/>
          <w:b/>
          <w:bCs/>
          <w:sz w:val="22"/>
          <w:szCs w:val="22"/>
        </w:rPr>
        <w:t>12/2021</w:t>
      </w:r>
      <w:r w:rsidRPr="007A1DB2">
        <w:rPr>
          <w:rFonts w:ascii="Aptos" w:hAnsi="Aptos"/>
          <w:b/>
          <w:bCs/>
          <w:sz w:val="22"/>
          <w:szCs w:val="22"/>
        </w:rPr>
        <w:t>)</w:t>
      </w:r>
      <w:r w:rsidRPr="00E409B1">
        <w:rPr>
          <w:rFonts w:ascii="Aptos" w:hAnsi="Aptos"/>
          <w:sz w:val="22"/>
          <w:szCs w:val="22"/>
        </w:rPr>
        <w:t xml:space="preserve"> erhebliche Defizite bei der Anwendung in mehreren Rechtsbereichen fest.</w:t>
      </w:r>
      <w:r w:rsidRPr="00C01788">
        <w:rPr>
          <w:rFonts w:ascii="Aptos" w:hAnsi="Aptos"/>
          <w:sz w:val="22"/>
          <w:szCs w:val="22"/>
        </w:rPr>
        <w:t xml:space="preserve"> </w:t>
      </w:r>
      <w:r w:rsidRPr="007A1DB2">
        <w:rPr>
          <w:rFonts w:ascii="Aptos" w:hAnsi="Aptos"/>
          <w:sz w:val="22"/>
          <w:szCs w:val="22"/>
        </w:rPr>
        <w:t xml:space="preserve">Derzeit führt die EU-Kommission eine </w:t>
      </w:r>
      <w:r w:rsidRPr="007A1DB2">
        <w:rPr>
          <w:rFonts w:ascii="Aptos" w:hAnsi="Aptos"/>
          <w:b/>
          <w:bCs/>
          <w:sz w:val="22"/>
          <w:szCs w:val="22"/>
        </w:rPr>
        <w:t>Eignungsprüfung des Verursacherprinzips</w:t>
      </w:r>
      <w:r w:rsidRPr="007A1DB2">
        <w:rPr>
          <w:rFonts w:ascii="Aptos" w:hAnsi="Aptos"/>
          <w:sz w:val="22"/>
          <w:szCs w:val="22"/>
        </w:rPr>
        <w:t xml:space="preserve"> durch, zu der Ende 2022 eine Sondierung und im Sommer 2023 eine öffentliche Konsultation durchgeführt wurden.</w:t>
      </w:r>
    </w:p>
    <w:p w14:paraId="59A294E4" w14:textId="77777777" w:rsidR="00623AF8" w:rsidRPr="007A1DB2" w:rsidRDefault="00623AF8" w:rsidP="00623AF8">
      <w:pPr>
        <w:spacing w:after="120"/>
        <w:jc w:val="both"/>
        <w:rPr>
          <w:rFonts w:ascii="Aptos" w:hAnsi="Aptos"/>
          <w:i/>
          <w:iCs/>
          <w:sz w:val="22"/>
          <w:szCs w:val="22"/>
          <w:u w:val="single"/>
        </w:rPr>
      </w:pPr>
      <w:r w:rsidRPr="007A1DB2">
        <w:rPr>
          <w:rFonts w:ascii="Aptos" w:hAnsi="Aptos"/>
          <w:sz w:val="22"/>
          <w:szCs w:val="22"/>
        </w:rPr>
        <w:t xml:space="preserve">Die Erweiterte Herstellerverantwortung ist eine bereits im Abfallrecht und </w:t>
      </w:r>
      <w:r>
        <w:rPr>
          <w:rFonts w:ascii="Aptos" w:hAnsi="Aptos"/>
          <w:sz w:val="22"/>
          <w:szCs w:val="22"/>
        </w:rPr>
        <w:t>mit</w:t>
      </w:r>
      <w:r w:rsidRPr="007A1DB2">
        <w:rPr>
          <w:rFonts w:ascii="Aptos" w:hAnsi="Aptos"/>
          <w:sz w:val="22"/>
          <w:szCs w:val="22"/>
        </w:rPr>
        <w:t xml:space="preserve"> der Überarbeitung der kommunalen Abwasserrichtlinie auch dort genutzte Möglichkeit zur konkreten Umsetzung des Verursacherprinzips, die allerdings jeweils auch Mängel, z.B. hinsichtlich der vollen Kostenübernahme, aufweisen.</w:t>
      </w:r>
      <w:r>
        <w:rPr>
          <w:rFonts w:ascii="Aptos" w:hAnsi="Aptos"/>
          <w:sz w:val="22"/>
          <w:szCs w:val="22"/>
        </w:rPr>
        <w:t xml:space="preserve"> </w:t>
      </w:r>
      <w:r w:rsidRPr="007A1DB2">
        <w:rPr>
          <w:rFonts w:ascii="Aptos" w:hAnsi="Aptos"/>
          <w:iCs/>
          <w:sz w:val="22"/>
          <w:szCs w:val="22"/>
        </w:rPr>
        <w:t xml:space="preserve">Bei der Umsetzung von neuen Behandlungsverfahren in der Abwasserbehandlung (4. Reinigungsstufe), zusätzlichen Aufbereitungsmaßnahmen in der Trinkwasserversorgung, einer höheren Sortiertiefe in Abfallsortieranlagen zur Rückgewinnung von Rohstoffen etc. handelt es sich durchwegs um kostenintensive Vorhaben mit langen Vorlauf-, Planungs- und Ausbauphasen. Im Sinne einer umfassenden und wirksamen Umsetzung des Verursacherprinzips muss daher sichergestellt werden, dass die Betreiber zum Zeitpunkt der anstehenden Investitionen tatsächlich auf die entsprechenden Mittel aus dem EPR-System zugreifen können und sich nicht um eine Zwischenfinanzierung kümmern müssen, die wiederum zulasten der öffentlichen Hand und/oder der Bürger:innen geht. Darüber hinaus sollte das EPR-System sicherstellen, dass die Kläranlagenbetreiber, Trinkwasserversorger, Abfallbehandler bzw. -sortierer etc. unabhängig und unbeeinflusst von den Verursachern über ihren Investitionsbedarf entscheiden und über die Mittel entsprechend verfügen können. </w:t>
      </w:r>
    </w:p>
    <w:p w14:paraId="4D36D1CF" w14:textId="77777777" w:rsidR="00623AF8" w:rsidRPr="007A1DB2" w:rsidRDefault="00623AF8" w:rsidP="00623AF8">
      <w:pPr>
        <w:jc w:val="both"/>
        <w:rPr>
          <w:rFonts w:ascii="Aptos" w:hAnsi="Aptos"/>
          <w:bCs/>
          <w:sz w:val="22"/>
          <w:szCs w:val="22"/>
          <w:u w:val="single"/>
        </w:rPr>
        <w:sectPr w:rsidR="00623AF8" w:rsidRPr="007A1DB2" w:rsidSect="00034C8E">
          <w:pgSz w:w="11906" w:h="16838"/>
          <w:pgMar w:top="1871" w:right="1418" w:bottom="1134" w:left="1418" w:header="709" w:footer="510" w:gutter="0"/>
          <w:cols w:space="708"/>
          <w:docGrid w:linePitch="360"/>
        </w:sectPr>
      </w:pPr>
    </w:p>
    <w:p w14:paraId="4B1BCA04" w14:textId="77777777" w:rsidR="00623AF8" w:rsidRPr="007A1DB2" w:rsidRDefault="00623AF8" w:rsidP="00623AF8">
      <w:pPr>
        <w:pStyle w:val="berschrift1"/>
        <w:rPr>
          <w:rFonts w:ascii="Aptos" w:hAnsi="Aptos"/>
          <w:sz w:val="22"/>
          <w:szCs w:val="22"/>
        </w:rPr>
      </w:pPr>
      <w:bookmarkStart w:id="39" w:name="_Toc165027657"/>
      <w:bookmarkStart w:id="40" w:name="_Toc170983647"/>
      <w:r w:rsidRPr="007A1DB2">
        <w:rPr>
          <w:rFonts w:ascii="Aptos" w:hAnsi="Aptos"/>
          <w:sz w:val="22"/>
          <w:szCs w:val="22"/>
        </w:rPr>
        <w:lastRenderedPageBreak/>
        <w:t>Verursacherprinzip – vollständige und wirksame Umsetzung</w:t>
      </w:r>
      <w:bookmarkEnd w:id="39"/>
      <w:bookmarkEnd w:id="40"/>
      <w:r w:rsidRPr="007A1DB2">
        <w:rPr>
          <w:rFonts w:ascii="Aptos" w:hAnsi="Aptos"/>
          <w:sz w:val="22"/>
          <w:szCs w:val="22"/>
        </w:rPr>
        <w:t xml:space="preserve"> </w:t>
      </w:r>
    </w:p>
    <w:p w14:paraId="0421D0CD"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50519252" w14:textId="77777777" w:rsidTr="00875DD0">
        <w:tc>
          <w:tcPr>
            <w:tcW w:w="9060" w:type="dxa"/>
            <w:shd w:val="clear" w:color="auto" w:fill="D9D9D9" w:themeFill="background1" w:themeFillShade="D9"/>
          </w:tcPr>
          <w:p w14:paraId="2053F7AE"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 xml:space="preserve">Frage </w:t>
            </w:r>
          </w:p>
        </w:tc>
      </w:tr>
      <w:tr w:rsidR="00623AF8" w:rsidRPr="007A1DB2" w14:paraId="1553D10E" w14:textId="77777777" w:rsidTr="00875DD0">
        <w:tc>
          <w:tcPr>
            <w:tcW w:w="9060" w:type="dxa"/>
          </w:tcPr>
          <w:p w14:paraId="646731E6" w14:textId="77777777" w:rsidR="00623AF8" w:rsidRPr="007A1DB2" w:rsidRDefault="00623AF8" w:rsidP="00875DD0">
            <w:pPr>
              <w:spacing w:before="120"/>
              <w:jc w:val="both"/>
              <w:rPr>
                <w:rFonts w:ascii="Aptos" w:hAnsi="Aptos"/>
                <w:sz w:val="22"/>
                <w:szCs w:val="22"/>
              </w:rPr>
            </w:pPr>
            <w:r w:rsidRPr="007A1DB2">
              <w:rPr>
                <w:rFonts w:ascii="Aptos" w:hAnsi="Aptos"/>
                <w:sz w:val="22"/>
                <w:szCs w:val="22"/>
              </w:rPr>
              <w:t>S</w:t>
            </w:r>
            <w:r w:rsidRPr="00E409B1">
              <w:rPr>
                <w:rFonts w:ascii="Aptos" w:hAnsi="Aptos"/>
                <w:sz w:val="22"/>
                <w:szCs w:val="22"/>
              </w:rPr>
              <w:t xml:space="preserve">owohl im europäischen Sekundärrecht sowie auf Ebene der Mitgliedstaaten </w:t>
            </w:r>
            <w:r w:rsidRPr="007A1DB2">
              <w:rPr>
                <w:rFonts w:ascii="Aptos" w:hAnsi="Aptos"/>
                <w:sz w:val="22"/>
                <w:szCs w:val="22"/>
              </w:rPr>
              <w:t xml:space="preserve">wird das Verursacherprinzip nach wie vor </w:t>
            </w:r>
            <w:r w:rsidRPr="00E409B1">
              <w:rPr>
                <w:rFonts w:ascii="Aptos" w:hAnsi="Aptos"/>
                <w:sz w:val="22"/>
                <w:szCs w:val="22"/>
              </w:rPr>
              <w:t>nicht ausreichend umgesetzt. Neben der Problematik der diffusen Wasserverschmutzung durch die Landwirtschaft stellt</w:t>
            </w:r>
            <w:r w:rsidRPr="007A1DB2">
              <w:rPr>
                <w:rFonts w:ascii="Aptos" w:hAnsi="Aptos"/>
                <w:sz w:val="22"/>
                <w:szCs w:val="22"/>
              </w:rPr>
              <w:t>e</w:t>
            </w:r>
            <w:r w:rsidRPr="00E409B1">
              <w:rPr>
                <w:rFonts w:ascii="Aptos" w:hAnsi="Aptos"/>
                <w:sz w:val="22"/>
                <w:szCs w:val="22"/>
              </w:rPr>
              <w:t xml:space="preserve"> der </w:t>
            </w:r>
            <w:r w:rsidRPr="007A1DB2">
              <w:rPr>
                <w:rFonts w:ascii="Aptos" w:hAnsi="Aptos"/>
                <w:sz w:val="22"/>
                <w:szCs w:val="22"/>
              </w:rPr>
              <w:t xml:space="preserve">Europäische </w:t>
            </w:r>
            <w:r w:rsidRPr="00E409B1">
              <w:rPr>
                <w:rFonts w:ascii="Aptos" w:hAnsi="Aptos"/>
                <w:sz w:val="22"/>
                <w:szCs w:val="22"/>
              </w:rPr>
              <w:t xml:space="preserve">Rechnungshof </w:t>
            </w:r>
            <w:r w:rsidRPr="007A1DB2">
              <w:rPr>
                <w:rFonts w:ascii="Aptos" w:hAnsi="Aptos"/>
                <w:sz w:val="22"/>
                <w:szCs w:val="22"/>
              </w:rPr>
              <w:t xml:space="preserve">2021 </w:t>
            </w:r>
            <w:r w:rsidRPr="00E409B1">
              <w:rPr>
                <w:rFonts w:ascii="Aptos" w:hAnsi="Aptos"/>
                <w:sz w:val="22"/>
                <w:szCs w:val="22"/>
              </w:rPr>
              <w:t xml:space="preserve">im Zusammenhang mit der Richtlinie über Industrieemissionen (2010/75/EU), der Wasserrahmenrichtlinie (2000/60/EG), der Pestizidrichtlinie (2009/128/EG) und der Nitratrichtlinie (91/676/EWG) fest, dass der Großteil der Folgekosten von den Haushalten und nicht von den Verursachern getragen wird. </w:t>
            </w:r>
            <w:r w:rsidRPr="007A1DB2">
              <w:rPr>
                <w:rFonts w:ascii="Aptos" w:hAnsi="Aptos"/>
                <w:sz w:val="22"/>
                <w:szCs w:val="22"/>
              </w:rPr>
              <w:t>Auch im</w:t>
            </w:r>
            <w:r w:rsidRPr="00E409B1">
              <w:rPr>
                <w:rFonts w:ascii="Aptos" w:hAnsi="Aptos"/>
                <w:sz w:val="22"/>
                <w:szCs w:val="22"/>
              </w:rPr>
              <w:t xml:space="preserve"> Abfallrecht </w:t>
            </w:r>
            <w:r w:rsidRPr="007A1DB2">
              <w:rPr>
                <w:rFonts w:ascii="Aptos" w:hAnsi="Aptos"/>
                <w:sz w:val="22"/>
                <w:szCs w:val="22"/>
              </w:rPr>
              <w:t>stellen die</w:t>
            </w:r>
            <w:r w:rsidRPr="00E409B1">
              <w:rPr>
                <w:rFonts w:ascii="Aptos" w:hAnsi="Aptos"/>
                <w:sz w:val="22"/>
                <w:szCs w:val="22"/>
              </w:rPr>
              <w:t xml:space="preserve"> bestehenden Regelungen nicht sicher, dass die Verursacher die gesamten Kosten für die Schadstoffbelastungen </w:t>
            </w:r>
            <w:r w:rsidRPr="007A1DB2">
              <w:rPr>
                <w:rFonts w:ascii="Aptos" w:hAnsi="Aptos"/>
                <w:sz w:val="22"/>
                <w:szCs w:val="22"/>
              </w:rPr>
              <w:t>tragen, und in der Trinkwasserversorgung liegt die Kostenlast durch zusätzliche Wasseraufbereitung zur Beseitigung von Schadstoffen derzeit ebenso auf den Verbraucher:innen bzw. der öffentlichen Hand. Aktuell führt die EU-Kommission eine Eignungsprüfung des Prinzips durch.</w:t>
            </w:r>
          </w:p>
          <w:p w14:paraId="65F223C9" w14:textId="77777777" w:rsidR="00623AF8" w:rsidRPr="007A1DB2" w:rsidRDefault="00623AF8" w:rsidP="00875DD0">
            <w:pPr>
              <w:spacing w:after="120"/>
              <w:jc w:val="both"/>
              <w:rPr>
                <w:rFonts w:ascii="Aptos" w:hAnsi="Aptos"/>
                <w:b/>
                <w:bCs/>
                <w:sz w:val="22"/>
                <w:szCs w:val="22"/>
              </w:rPr>
            </w:pPr>
            <w:r w:rsidRPr="007A1DB2">
              <w:rPr>
                <w:rFonts w:ascii="Aptos" w:hAnsi="Aptos"/>
                <w:b/>
                <w:bCs/>
                <w:sz w:val="22"/>
                <w:szCs w:val="22"/>
              </w:rPr>
              <w:t>Welche konkreten Handlungsschritte planen Sie, um die umfassende Umsetzung des Verursacherprinzips künftig und in bestehenden Gesetzgebungen zu gewährleisten?</w:t>
            </w:r>
          </w:p>
        </w:tc>
      </w:tr>
      <w:tr w:rsidR="00623AF8" w:rsidRPr="007A1DB2" w14:paraId="325C4A2C" w14:textId="77777777" w:rsidTr="00875DD0">
        <w:tc>
          <w:tcPr>
            <w:tcW w:w="9060" w:type="dxa"/>
            <w:shd w:val="clear" w:color="auto" w:fill="D9D9D9" w:themeFill="background1" w:themeFillShade="D9"/>
          </w:tcPr>
          <w:p w14:paraId="4B87C34D"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373D15C6" w14:textId="77777777" w:rsidTr="00875DD0">
        <w:tc>
          <w:tcPr>
            <w:tcW w:w="9060" w:type="dxa"/>
          </w:tcPr>
          <w:p w14:paraId="199654BA" w14:textId="71DDD0C6" w:rsidR="00623AF8" w:rsidRPr="00A041E1" w:rsidRDefault="00623AF8" w:rsidP="00F63BE8">
            <w:pPr>
              <w:pStyle w:val="Listenabsatz"/>
              <w:numPr>
                <w:ilvl w:val="0"/>
                <w:numId w:val="2"/>
              </w:numPr>
              <w:spacing w:before="120" w:after="120"/>
              <w:jc w:val="both"/>
              <w:rPr>
                <w:rFonts w:ascii="Aptos" w:hAnsi="Aptos"/>
                <w:sz w:val="22"/>
                <w:szCs w:val="22"/>
              </w:rPr>
            </w:pPr>
            <w:r w:rsidRPr="00A041E1">
              <w:rPr>
                <w:rFonts w:ascii="Aptos" w:hAnsi="Aptos"/>
                <w:sz w:val="22"/>
                <w:szCs w:val="22"/>
              </w:rPr>
              <w:t>Wie stellen Sie sicher, dass bei einer Umsetzung des Verursacherprinzips über ein System der Erweiterten Herstellerverantwortung die von den Verursachern eingehobenen Gelder zielgerichtet und zweckgebunden im Interesse des Gemeinwohls eingesetzt werden und welche Kontrollmechanismen Seitens der öffentlichen Hand stellen Sie sich vor?</w:t>
            </w:r>
          </w:p>
        </w:tc>
      </w:tr>
    </w:tbl>
    <w:p w14:paraId="3D791B3B" w14:textId="77777777" w:rsidR="00623AF8" w:rsidRPr="007A1DB2" w:rsidRDefault="00623AF8" w:rsidP="00623AF8">
      <w:pPr>
        <w:spacing w:after="120"/>
        <w:jc w:val="both"/>
        <w:rPr>
          <w:rFonts w:ascii="Aptos" w:hAnsi="Aptos"/>
          <w:i/>
          <w:iCs/>
          <w:sz w:val="22"/>
          <w:szCs w:val="22"/>
          <w:u w:val="single"/>
        </w:rPr>
      </w:pPr>
    </w:p>
    <w:p w14:paraId="6A167927" w14:textId="66F6B4E0" w:rsidR="00623AF8" w:rsidRPr="00AF0827" w:rsidRDefault="00AF0827" w:rsidP="00AF0827">
      <w:pPr>
        <w:widowControl w:val="0"/>
        <w:tabs>
          <w:tab w:val="right" w:pos="9070"/>
        </w:tabs>
        <w:autoSpaceDE w:val="0"/>
        <w:autoSpaceDN w:val="0"/>
        <w:spacing w:line="258" w:lineRule="exact"/>
        <w:jc w:val="both"/>
        <w:rPr>
          <w:rFonts w:ascii="Aptos" w:eastAsia="Arial MT" w:hAnsi="Aptos" w:cs="Arial MT"/>
          <w:b/>
          <w:szCs w:val="22"/>
          <w:highlight w:val="lightGray"/>
        </w:rPr>
      </w:pPr>
      <w:r w:rsidRPr="00AF0827">
        <w:rPr>
          <w:rFonts w:ascii="Aptos" w:eastAsia="Arial MT" w:hAnsi="Aptos" w:cs="Arial MT"/>
          <w:b/>
          <w:szCs w:val="22"/>
          <w:highlight w:val="lightGray"/>
        </w:rPr>
        <w:t>Hintergrund</w:t>
      </w:r>
      <w:r>
        <w:rPr>
          <w:rFonts w:ascii="Aptos" w:eastAsia="Arial MT" w:hAnsi="Aptos" w:cs="Arial MT"/>
          <w:b/>
          <w:szCs w:val="22"/>
          <w:highlight w:val="lightGray"/>
        </w:rPr>
        <w:tab/>
      </w:r>
    </w:p>
    <w:p w14:paraId="7B32BB62" w14:textId="77777777" w:rsidR="00623AF8" w:rsidRPr="00E409B1" w:rsidRDefault="00623AF8" w:rsidP="00623AF8">
      <w:pPr>
        <w:jc w:val="both"/>
        <w:rPr>
          <w:rFonts w:ascii="Aptos" w:hAnsi="Aptos"/>
          <w:sz w:val="22"/>
          <w:szCs w:val="22"/>
        </w:rPr>
      </w:pPr>
      <w:r w:rsidRPr="00E409B1">
        <w:rPr>
          <w:rFonts w:ascii="Aptos" w:hAnsi="Aptos"/>
          <w:sz w:val="22"/>
          <w:szCs w:val="22"/>
        </w:rPr>
        <w:t>Das primärrechtlich verankerte Verursacherprinzip ist ein essenzielle</w:t>
      </w:r>
      <w:r w:rsidRPr="007A1DB2">
        <w:rPr>
          <w:rFonts w:ascii="Aptos" w:hAnsi="Aptos"/>
          <w:sz w:val="22"/>
          <w:szCs w:val="22"/>
        </w:rPr>
        <w:t>r Bestandteil</w:t>
      </w:r>
      <w:r w:rsidRPr="00E409B1">
        <w:rPr>
          <w:rFonts w:ascii="Aptos" w:hAnsi="Aptos"/>
          <w:sz w:val="22"/>
          <w:szCs w:val="22"/>
        </w:rPr>
        <w:t xml:space="preserve"> der EU-Umweltpolitik</w:t>
      </w:r>
      <w:r w:rsidRPr="007A1DB2">
        <w:rPr>
          <w:rFonts w:ascii="Aptos" w:hAnsi="Aptos"/>
          <w:sz w:val="22"/>
          <w:szCs w:val="22"/>
        </w:rPr>
        <w:t xml:space="preserve"> und soll</w:t>
      </w:r>
      <w:r w:rsidRPr="00E409B1">
        <w:rPr>
          <w:rFonts w:ascii="Aptos" w:hAnsi="Aptos"/>
          <w:sz w:val="22"/>
          <w:szCs w:val="22"/>
        </w:rPr>
        <w:t xml:space="preserve"> einen Anreiz zur Vermeidung von Umweltverschmutzungen an der Quelle liefern, indem die Verursacher für die Kosten von Maßnahmen zur Vermeidung, Bekämpfung und Beseitigung von Umweltverschmutzungen aufkommen. Der Europäische Rechnungshof (ERH) stellte </w:t>
      </w:r>
      <w:r w:rsidRPr="007A1DB2">
        <w:rPr>
          <w:rFonts w:ascii="Aptos" w:hAnsi="Aptos"/>
          <w:sz w:val="22"/>
          <w:szCs w:val="22"/>
        </w:rPr>
        <w:t>bereits 2021</w:t>
      </w:r>
      <w:r w:rsidRPr="00E409B1">
        <w:rPr>
          <w:rFonts w:ascii="Aptos" w:hAnsi="Aptos"/>
          <w:sz w:val="22"/>
          <w:szCs w:val="22"/>
        </w:rPr>
        <w:t xml:space="preserve"> in einem </w:t>
      </w:r>
      <w:r w:rsidRPr="00E409B1">
        <w:rPr>
          <w:rFonts w:ascii="Aptos" w:hAnsi="Aptos"/>
          <w:b/>
          <w:bCs/>
          <w:sz w:val="22"/>
          <w:szCs w:val="22"/>
        </w:rPr>
        <w:t xml:space="preserve">Sonderbericht </w:t>
      </w:r>
      <w:r w:rsidRPr="007A1DB2">
        <w:rPr>
          <w:rFonts w:ascii="Aptos" w:hAnsi="Aptos"/>
          <w:b/>
          <w:bCs/>
          <w:sz w:val="22"/>
          <w:szCs w:val="22"/>
        </w:rPr>
        <w:t>(</w:t>
      </w:r>
      <w:r w:rsidRPr="00E409B1">
        <w:rPr>
          <w:rFonts w:ascii="Aptos" w:hAnsi="Aptos"/>
          <w:b/>
          <w:bCs/>
          <w:sz w:val="22"/>
          <w:szCs w:val="22"/>
        </w:rPr>
        <w:t>12/2021</w:t>
      </w:r>
      <w:r w:rsidRPr="007A1DB2">
        <w:rPr>
          <w:rFonts w:ascii="Aptos" w:hAnsi="Aptos"/>
          <w:b/>
          <w:bCs/>
          <w:sz w:val="22"/>
          <w:szCs w:val="22"/>
        </w:rPr>
        <w:t>)</w:t>
      </w:r>
      <w:r w:rsidRPr="00E409B1">
        <w:rPr>
          <w:rFonts w:ascii="Aptos" w:hAnsi="Aptos"/>
          <w:sz w:val="22"/>
          <w:szCs w:val="22"/>
        </w:rPr>
        <w:t xml:space="preserve"> erhebliche Defizite bei der Anwendung in mehreren Rechtsbereichen fest.</w:t>
      </w:r>
      <w:r w:rsidRPr="007A1DB2">
        <w:rPr>
          <w:rFonts w:ascii="Aptos" w:hAnsi="Aptos"/>
          <w:sz w:val="22"/>
          <w:szCs w:val="22"/>
        </w:rPr>
        <w:t xml:space="preserve"> </w:t>
      </w:r>
      <w:r w:rsidRPr="00E409B1">
        <w:rPr>
          <w:rFonts w:ascii="Aptos" w:hAnsi="Aptos"/>
          <w:sz w:val="22"/>
          <w:szCs w:val="22"/>
        </w:rPr>
        <w:t xml:space="preserve">Mit Blick auf den Trinkwassersektor äußerte zudem das </w:t>
      </w:r>
      <w:r w:rsidRPr="007A1DB2">
        <w:rPr>
          <w:rFonts w:ascii="Aptos" w:hAnsi="Aptos"/>
          <w:b/>
          <w:bCs/>
          <w:sz w:val="22"/>
          <w:szCs w:val="22"/>
        </w:rPr>
        <w:t>EU-</w:t>
      </w:r>
      <w:r w:rsidRPr="00E409B1">
        <w:rPr>
          <w:rFonts w:ascii="Aptos" w:hAnsi="Aptos"/>
          <w:b/>
          <w:bCs/>
          <w:sz w:val="22"/>
          <w:szCs w:val="22"/>
        </w:rPr>
        <w:t>Parlament in seiner Entschließung vom 01.12.2019</w:t>
      </w:r>
      <w:r w:rsidRPr="00E409B1">
        <w:rPr>
          <w:rFonts w:ascii="Aptos" w:hAnsi="Aptos"/>
          <w:sz w:val="22"/>
          <w:szCs w:val="22"/>
        </w:rPr>
        <w:t xml:space="preserve"> Bedenken, dass den Trinkwasserversorgern in der Wasseraufbereitung zusätzliche Kosten für die Beseitigung von Schadstoffen entstehen. Diese werden derzeit von den Verbraucher:innen und der öffentlichen Hand getragen, nicht von den Verursachern. Das </w:t>
      </w:r>
      <w:r w:rsidRPr="007A1DB2">
        <w:rPr>
          <w:rFonts w:ascii="Aptos" w:hAnsi="Aptos"/>
          <w:sz w:val="22"/>
          <w:szCs w:val="22"/>
        </w:rPr>
        <w:t>EU-</w:t>
      </w:r>
      <w:r w:rsidRPr="00E409B1">
        <w:rPr>
          <w:rFonts w:ascii="Aptos" w:hAnsi="Aptos"/>
          <w:sz w:val="22"/>
          <w:szCs w:val="22"/>
        </w:rPr>
        <w:t xml:space="preserve">Parlament forderte die EU-Kommission und die Mitgliedstaaten </w:t>
      </w:r>
      <w:r w:rsidRPr="007A1DB2">
        <w:rPr>
          <w:rFonts w:ascii="Aptos" w:hAnsi="Aptos"/>
          <w:sz w:val="22"/>
          <w:szCs w:val="22"/>
        </w:rPr>
        <w:t>zur Sicherstellung einer vollständigen und wirksamen Durchsetzung des Prinzips auf.</w:t>
      </w:r>
    </w:p>
    <w:p w14:paraId="644BA638" w14:textId="77777777" w:rsidR="00623AF8" w:rsidRPr="007A1DB2" w:rsidRDefault="00623AF8" w:rsidP="00623AF8">
      <w:pPr>
        <w:jc w:val="both"/>
        <w:rPr>
          <w:rFonts w:ascii="Aptos" w:hAnsi="Aptos"/>
          <w:sz w:val="22"/>
          <w:szCs w:val="22"/>
        </w:rPr>
      </w:pPr>
      <w:r w:rsidRPr="007A1DB2">
        <w:rPr>
          <w:rFonts w:ascii="Aptos" w:hAnsi="Aptos"/>
          <w:sz w:val="22"/>
          <w:szCs w:val="22"/>
        </w:rPr>
        <w:t xml:space="preserve">Die Erweiterte Herstellerverantwortung ist eine bereits im Abfallrecht und </w:t>
      </w:r>
      <w:r>
        <w:rPr>
          <w:rFonts w:ascii="Aptos" w:hAnsi="Aptos"/>
          <w:sz w:val="22"/>
          <w:szCs w:val="22"/>
        </w:rPr>
        <w:t>mit</w:t>
      </w:r>
      <w:r w:rsidRPr="007A1DB2">
        <w:rPr>
          <w:rFonts w:ascii="Aptos" w:hAnsi="Aptos"/>
          <w:sz w:val="22"/>
          <w:szCs w:val="22"/>
        </w:rPr>
        <w:t xml:space="preserve"> der Überarbeitung der kommunalen Abwasserrichtlinie auch dort genutzte Möglichkeit zur konkreten Umsetzung des Verursacherprinzips, die allerdings jeweils auch Mängel, z.B. hinsichtlich der vollen Kostenübernahme, aufweisen.</w:t>
      </w:r>
    </w:p>
    <w:p w14:paraId="4534A9DB" w14:textId="77777777" w:rsidR="00623AF8" w:rsidRPr="00E409B1" w:rsidRDefault="00623AF8" w:rsidP="00623AF8">
      <w:pPr>
        <w:jc w:val="both"/>
        <w:rPr>
          <w:rFonts w:ascii="Aptos" w:hAnsi="Aptos"/>
          <w:sz w:val="22"/>
          <w:szCs w:val="22"/>
        </w:rPr>
      </w:pPr>
      <w:r w:rsidRPr="007A1DB2">
        <w:rPr>
          <w:rFonts w:ascii="Aptos" w:hAnsi="Aptos"/>
          <w:sz w:val="22"/>
          <w:szCs w:val="22"/>
        </w:rPr>
        <w:t xml:space="preserve">Derzeit führt die EU-Kommission eine </w:t>
      </w:r>
      <w:r w:rsidRPr="007A1DB2">
        <w:rPr>
          <w:rFonts w:ascii="Aptos" w:hAnsi="Aptos"/>
          <w:b/>
          <w:bCs/>
          <w:sz w:val="22"/>
          <w:szCs w:val="22"/>
        </w:rPr>
        <w:t>Eignungsprüfung des Verursacherprinzips</w:t>
      </w:r>
      <w:r w:rsidRPr="007A1DB2">
        <w:rPr>
          <w:rFonts w:ascii="Aptos" w:hAnsi="Aptos"/>
          <w:sz w:val="22"/>
          <w:szCs w:val="22"/>
        </w:rPr>
        <w:t xml:space="preserve"> durch, zu der Ende 2022 eine Sondierung und im Sommer 2023 eine öffentliche Konsultation durchgeführt wurden.</w:t>
      </w:r>
    </w:p>
    <w:p w14:paraId="10650589" w14:textId="77777777" w:rsidR="00623AF8" w:rsidRPr="007A1DB2" w:rsidRDefault="00623AF8" w:rsidP="00623AF8">
      <w:pPr>
        <w:spacing w:after="120"/>
        <w:jc w:val="both"/>
        <w:rPr>
          <w:rFonts w:ascii="Aptos" w:hAnsi="Aptos"/>
          <w:i/>
          <w:iCs/>
          <w:sz w:val="22"/>
          <w:szCs w:val="22"/>
          <w:u w:val="single"/>
        </w:rPr>
      </w:pPr>
    </w:p>
    <w:p w14:paraId="0E921D7B" w14:textId="77777777" w:rsidR="00623AF8" w:rsidRPr="007A1DB2" w:rsidRDefault="00623AF8" w:rsidP="00623AF8">
      <w:pPr>
        <w:jc w:val="both"/>
        <w:rPr>
          <w:rFonts w:ascii="Aptos" w:hAnsi="Aptos"/>
          <w:bCs/>
          <w:sz w:val="22"/>
          <w:szCs w:val="22"/>
          <w:u w:val="single"/>
        </w:rPr>
        <w:sectPr w:rsidR="00623AF8" w:rsidRPr="007A1DB2" w:rsidSect="00034C8E">
          <w:pgSz w:w="11906" w:h="16838"/>
          <w:pgMar w:top="1871" w:right="1418" w:bottom="1134" w:left="1418" w:header="709" w:footer="510" w:gutter="0"/>
          <w:cols w:space="708"/>
          <w:docGrid w:linePitch="360"/>
        </w:sectPr>
      </w:pPr>
    </w:p>
    <w:p w14:paraId="3B15BF78" w14:textId="77777777" w:rsidR="00623AF8" w:rsidRPr="007A1DB2" w:rsidRDefault="00623AF8" w:rsidP="00623AF8">
      <w:pPr>
        <w:pStyle w:val="berschrift1"/>
        <w:rPr>
          <w:rFonts w:ascii="Aptos" w:hAnsi="Aptos"/>
          <w:sz w:val="22"/>
          <w:szCs w:val="22"/>
        </w:rPr>
      </w:pPr>
      <w:bookmarkStart w:id="41" w:name="_Toc165027658"/>
      <w:bookmarkStart w:id="42" w:name="_Toc170983648"/>
      <w:r w:rsidRPr="007A1DB2">
        <w:rPr>
          <w:rFonts w:ascii="Aptos" w:hAnsi="Aptos"/>
          <w:sz w:val="22"/>
          <w:szCs w:val="22"/>
        </w:rPr>
        <w:lastRenderedPageBreak/>
        <w:t xml:space="preserve">Nexus Wasser </w:t>
      </w:r>
      <w:r>
        <w:rPr>
          <w:rFonts w:ascii="Aptos" w:hAnsi="Aptos"/>
          <w:sz w:val="22"/>
          <w:szCs w:val="22"/>
        </w:rPr>
        <w:t>&amp; Biodiversität</w:t>
      </w:r>
      <w:r w:rsidRPr="007A1DB2">
        <w:rPr>
          <w:rFonts w:ascii="Aptos" w:hAnsi="Aptos"/>
          <w:sz w:val="22"/>
          <w:szCs w:val="22"/>
        </w:rPr>
        <w:t>/Ökologie</w:t>
      </w:r>
      <w:r>
        <w:rPr>
          <w:rFonts w:ascii="Aptos" w:hAnsi="Aptos"/>
          <w:sz w:val="22"/>
          <w:szCs w:val="22"/>
        </w:rPr>
        <w:t xml:space="preserve"> – Nutzungskonflikte</w:t>
      </w:r>
      <w:bookmarkEnd w:id="41"/>
      <w:bookmarkEnd w:id="42"/>
      <w:r>
        <w:rPr>
          <w:rFonts w:ascii="Aptos" w:hAnsi="Aptos"/>
          <w:sz w:val="22"/>
          <w:szCs w:val="22"/>
        </w:rPr>
        <w:t xml:space="preserve"> </w:t>
      </w:r>
    </w:p>
    <w:p w14:paraId="4C5F2600"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67690DEC" w14:textId="77777777" w:rsidTr="00875DD0">
        <w:tc>
          <w:tcPr>
            <w:tcW w:w="9060" w:type="dxa"/>
            <w:shd w:val="clear" w:color="auto" w:fill="D9D9D9" w:themeFill="background1" w:themeFillShade="D9"/>
          </w:tcPr>
          <w:p w14:paraId="7941ABCF"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1899F56B" w14:textId="77777777" w:rsidTr="00875DD0">
        <w:tc>
          <w:tcPr>
            <w:tcW w:w="9060" w:type="dxa"/>
          </w:tcPr>
          <w:p w14:paraId="4447FBF6" w14:textId="77777777" w:rsidR="00623AF8" w:rsidRPr="007A1DB2" w:rsidRDefault="00623AF8" w:rsidP="00875DD0">
            <w:pPr>
              <w:spacing w:before="120" w:after="120"/>
              <w:jc w:val="both"/>
              <w:rPr>
                <w:rFonts w:ascii="Aptos" w:hAnsi="Aptos"/>
                <w:sz w:val="22"/>
                <w:szCs w:val="22"/>
              </w:rPr>
            </w:pPr>
            <w:r w:rsidRPr="007A1DB2">
              <w:rPr>
                <w:rFonts w:ascii="Aptos" w:hAnsi="Aptos"/>
                <w:sz w:val="22"/>
                <w:szCs w:val="22"/>
              </w:rPr>
              <w:t>Oberflächengewässer sind durch menschliche Nutzung des Wassers</w:t>
            </w:r>
            <w:r>
              <w:rPr>
                <w:rFonts w:ascii="Aptos" w:hAnsi="Aptos"/>
                <w:sz w:val="22"/>
                <w:szCs w:val="22"/>
              </w:rPr>
              <w:t xml:space="preserve">, </w:t>
            </w:r>
            <w:r w:rsidRPr="007A1DB2">
              <w:rPr>
                <w:rFonts w:ascii="Aptos" w:hAnsi="Aptos"/>
                <w:sz w:val="22"/>
                <w:szCs w:val="22"/>
              </w:rPr>
              <w:t>durch Regulierung zugunsten menschlichen Flächenbedarfs</w:t>
            </w:r>
            <w:r>
              <w:rPr>
                <w:rFonts w:ascii="Aptos" w:hAnsi="Aptos"/>
                <w:sz w:val="22"/>
                <w:szCs w:val="22"/>
              </w:rPr>
              <w:t xml:space="preserve"> und </w:t>
            </w:r>
            <w:r w:rsidRPr="007A1DB2">
              <w:rPr>
                <w:rFonts w:ascii="Aptos" w:hAnsi="Aptos"/>
                <w:sz w:val="22"/>
                <w:szCs w:val="22"/>
              </w:rPr>
              <w:t xml:space="preserve">Maßnahmen im Sinne des Hochwasser- bzw. Katastrophenschutzes etc. einem starken Druck ausgesetzt. </w:t>
            </w:r>
            <w:r w:rsidRPr="007A1DB2">
              <w:rPr>
                <w:rFonts w:ascii="Aptos" w:hAnsi="Aptos"/>
                <w:b/>
                <w:bCs/>
                <w:sz w:val="22"/>
                <w:szCs w:val="22"/>
              </w:rPr>
              <w:t>Inwiefern werden Sie mit dem Konflikt dieser Nutzungen und Flächenbedarfe und dem Erhalt bzw. einer Wiederherstellung der Biodiversität sowie einer naturnahen Gewässerstruktur umgehen?</w:t>
            </w:r>
          </w:p>
        </w:tc>
      </w:tr>
      <w:tr w:rsidR="00623AF8" w:rsidRPr="007A1DB2" w14:paraId="0200654C" w14:textId="77777777" w:rsidTr="00875DD0">
        <w:tc>
          <w:tcPr>
            <w:tcW w:w="9060" w:type="dxa"/>
            <w:shd w:val="clear" w:color="auto" w:fill="D9D9D9" w:themeFill="background1" w:themeFillShade="D9"/>
          </w:tcPr>
          <w:p w14:paraId="6568D6AC"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3C435AE0" w14:textId="77777777" w:rsidTr="00875DD0">
        <w:tc>
          <w:tcPr>
            <w:tcW w:w="9060" w:type="dxa"/>
          </w:tcPr>
          <w:p w14:paraId="643ABBCC" w14:textId="47328738" w:rsidR="00623AF8" w:rsidRPr="00A041E1" w:rsidRDefault="00623AF8" w:rsidP="00F63BE8">
            <w:pPr>
              <w:pStyle w:val="Listenabsatz"/>
              <w:numPr>
                <w:ilvl w:val="0"/>
                <w:numId w:val="2"/>
              </w:numPr>
              <w:spacing w:before="120" w:after="120"/>
              <w:jc w:val="both"/>
              <w:rPr>
                <w:rFonts w:ascii="Aptos" w:hAnsi="Aptos"/>
                <w:i/>
                <w:iCs/>
                <w:sz w:val="22"/>
                <w:szCs w:val="22"/>
                <w:u w:val="single"/>
              </w:rPr>
            </w:pPr>
            <w:r w:rsidRPr="00A041E1">
              <w:rPr>
                <w:rFonts w:ascii="Aptos" w:hAnsi="Aptos"/>
                <w:sz w:val="22"/>
                <w:szCs w:val="22"/>
              </w:rPr>
              <w:t xml:space="preserve">Wie werden Sie mit den Konfliktlinien, die sich anhand der Debatten und Reaktionen zum Renaturierungsgesetz gezeigt haben, umgehen? </w:t>
            </w:r>
          </w:p>
        </w:tc>
      </w:tr>
    </w:tbl>
    <w:p w14:paraId="7F022514" w14:textId="77777777" w:rsidR="00623AF8" w:rsidRPr="007A1DB2" w:rsidRDefault="00623AF8" w:rsidP="00623AF8">
      <w:pPr>
        <w:spacing w:after="120"/>
        <w:jc w:val="both"/>
        <w:rPr>
          <w:rFonts w:ascii="Aptos" w:hAnsi="Aptos"/>
          <w:i/>
          <w:iCs/>
          <w:sz w:val="22"/>
          <w:szCs w:val="22"/>
          <w:u w:val="single"/>
        </w:rPr>
      </w:pPr>
    </w:p>
    <w:p w14:paraId="26C43323" w14:textId="4BFC3733" w:rsidR="00AF0827" w:rsidRPr="00C57722" w:rsidRDefault="00AF0827" w:rsidP="00AF0827">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37F986A7" w14:textId="2185D835" w:rsidR="00623AF8" w:rsidRPr="005429E1" w:rsidRDefault="00623AF8" w:rsidP="00623AF8">
      <w:pPr>
        <w:pStyle w:val="StandardWeb"/>
        <w:spacing w:before="0" w:beforeAutospacing="0" w:after="120" w:afterAutospacing="0"/>
        <w:jc w:val="both"/>
        <w:rPr>
          <w:rFonts w:ascii="Aptos" w:hAnsi="Aptos"/>
          <w:sz w:val="22"/>
          <w:szCs w:val="22"/>
        </w:rPr>
      </w:pPr>
      <w:r w:rsidRPr="005429E1">
        <w:rPr>
          <w:rFonts w:ascii="Aptos" w:hAnsi="Aptos"/>
          <w:sz w:val="22"/>
          <w:szCs w:val="22"/>
        </w:rPr>
        <w:t>Trinkwasserversorgung, Industrie, Landwirtschaft und Energieerzeugung – dieses komplexe System von Problemen umfasst nicht nur die Konkurrenz um Flächen und die Nutzung der Ressource Wasser, sondern auch die Frage der Verursachergerechtigkeit. Die Spannungen zwischen Klimaschutz, Biodiversität und den aktuellen gesellschaftlichen Strukturen sind erheblich.</w:t>
      </w:r>
    </w:p>
    <w:p w14:paraId="7AAF8AD5" w14:textId="77777777" w:rsidR="00623AF8" w:rsidRPr="005429E1" w:rsidRDefault="00623AF8" w:rsidP="00623AF8">
      <w:pPr>
        <w:pStyle w:val="StandardWeb"/>
        <w:spacing w:before="0" w:beforeAutospacing="0" w:after="120" w:afterAutospacing="0"/>
        <w:jc w:val="both"/>
        <w:rPr>
          <w:rFonts w:ascii="Aptos" w:hAnsi="Aptos"/>
          <w:sz w:val="22"/>
          <w:szCs w:val="22"/>
        </w:rPr>
      </w:pPr>
      <w:r w:rsidRPr="005429E1">
        <w:rPr>
          <w:rFonts w:ascii="Aptos" w:hAnsi="Aptos"/>
          <w:sz w:val="22"/>
          <w:szCs w:val="22"/>
        </w:rPr>
        <w:t xml:space="preserve">Ein anschauliches Beispiel für diese Problematik ist das Renaturierungsgesetz, zu dem mehrere Mitgliedstaaten nach Abschluss der Trilogverhandlungen ihre Zustimmung wieder zurückzogen und das Gesetz damit auf der Kippe stand. Erst im Juni wurde im Rat doch noch eine Mehrheit gefunden. Die Debatten und Reaktionen zum Renaturierungsgesetz verdeutlichen die Komplexität und die Konflikte in solchen umweltpolitischen, die sich nach der EU-Wahl auch im EU-Parlament vermutlich noch verstärken werden. </w:t>
      </w:r>
    </w:p>
    <w:p w14:paraId="3B6E093C" w14:textId="77777777" w:rsidR="00623AF8" w:rsidRPr="005429E1" w:rsidRDefault="00623AF8" w:rsidP="00623AF8">
      <w:pPr>
        <w:pStyle w:val="StandardWeb"/>
        <w:spacing w:before="0" w:beforeAutospacing="0" w:after="120" w:afterAutospacing="0"/>
        <w:jc w:val="both"/>
        <w:rPr>
          <w:rFonts w:ascii="Aptos" w:hAnsi="Aptos"/>
          <w:sz w:val="22"/>
          <w:szCs w:val="22"/>
        </w:rPr>
      </w:pPr>
      <w:r w:rsidRPr="005429E1">
        <w:rPr>
          <w:rFonts w:ascii="Aptos" w:hAnsi="Aptos"/>
          <w:sz w:val="22"/>
          <w:szCs w:val="22"/>
        </w:rPr>
        <w:t>Die Konflikte zwischen den verschiedenen Nutzungsansprüchen und den notwendigen Maßnahmen zum Klimaschutz und zur Erhaltung der Biodiversität machen deutlich, dass umfassende, gerechte und nachhaltige Strategien dringend erforderlich sind. Die Verursacher der Umweltbelastungen müssen stärker in die Pflicht genommen werden, um eine gerechte Verteilung der Ressourcen und eine nachhaltige Zukunft zu gewährleisten. Nur so können wir die Wasserressourcen schützen und gleichzeitig die Bedürfnisse unserer Gesellschaft erfüllen.</w:t>
      </w:r>
    </w:p>
    <w:p w14:paraId="07652661" w14:textId="77777777" w:rsidR="00623AF8" w:rsidRPr="005429E1" w:rsidRDefault="00623AF8" w:rsidP="00623AF8">
      <w:pPr>
        <w:spacing w:after="120"/>
        <w:jc w:val="both"/>
        <w:rPr>
          <w:rFonts w:ascii="Aptos" w:hAnsi="Aptos"/>
          <w:bCs/>
          <w:sz w:val="20"/>
          <w:szCs w:val="20"/>
          <w:u w:val="single"/>
        </w:rPr>
        <w:sectPr w:rsidR="00623AF8" w:rsidRPr="005429E1" w:rsidSect="00034C8E">
          <w:pgSz w:w="11906" w:h="16838"/>
          <w:pgMar w:top="1871" w:right="1418" w:bottom="1134" w:left="1418" w:header="709" w:footer="510" w:gutter="0"/>
          <w:cols w:space="708"/>
          <w:docGrid w:linePitch="360"/>
        </w:sectPr>
      </w:pPr>
    </w:p>
    <w:p w14:paraId="4E7E1A13" w14:textId="3BA38397" w:rsidR="00623AF8" w:rsidRPr="007A1DB2" w:rsidRDefault="00623AF8" w:rsidP="00623AF8">
      <w:pPr>
        <w:pStyle w:val="berschrift1"/>
        <w:rPr>
          <w:rFonts w:ascii="Aptos" w:hAnsi="Aptos"/>
          <w:sz w:val="22"/>
          <w:szCs w:val="22"/>
        </w:rPr>
      </w:pPr>
      <w:bookmarkStart w:id="43" w:name="_Toc165027659"/>
      <w:bookmarkStart w:id="44" w:name="_Toc170983649"/>
      <w:r>
        <w:rPr>
          <w:rFonts w:ascii="Aptos" w:hAnsi="Aptos"/>
          <w:sz w:val="22"/>
          <w:szCs w:val="22"/>
        </w:rPr>
        <w:lastRenderedPageBreak/>
        <w:t>Nexus Wasser &amp; Energie – Nutzungskonflikte Wasserstoffproduktion</w:t>
      </w:r>
      <w:bookmarkEnd w:id="43"/>
      <w:bookmarkEnd w:id="44"/>
    </w:p>
    <w:p w14:paraId="56BB25A4"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63F3A2BD" w14:textId="77777777" w:rsidTr="00875DD0">
        <w:tc>
          <w:tcPr>
            <w:tcW w:w="9060" w:type="dxa"/>
            <w:shd w:val="clear" w:color="auto" w:fill="D9D9D9" w:themeFill="background1" w:themeFillShade="D9"/>
          </w:tcPr>
          <w:p w14:paraId="649FDD24"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 xml:space="preserve">Frage </w:t>
            </w:r>
          </w:p>
        </w:tc>
      </w:tr>
      <w:tr w:rsidR="00623AF8" w:rsidRPr="007A1DB2" w14:paraId="512FD83E" w14:textId="77777777" w:rsidTr="00875DD0">
        <w:tc>
          <w:tcPr>
            <w:tcW w:w="9060" w:type="dxa"/>
          </w:tcPr>
          <w:p w14:paraId="14B725BF" w14:textId="77777777" w:rsidR="00623AF8" w:rsidRPr="009D7680" w:rsidRDefault="00623AF8" w:rsidP="00875DD0">
            <w:pPr>
              <w:spacing w:before="120" w:after="120"/>
              <w:jc w:val="both"/>
              <w:rPr>
                <w:rFonts w:ascii="Aptos" w:hAnsi="Aptos"/>
                <w:sz w:val="22"/>
                <w:szCs w:val="22"/>
              </w:rPr>
            </w:pPr>
            <w:r>
              <w:rPr>
                <w:rFonts w:ascii="Aptos" w:hAnsi="Aptos"/>
                <w:sz w:val="22"/>
                <w:szCs w:val="22"/>
              </w:rPr>
              <w:t xml:space="preserve">Im Vergleich zu Wasserentnahmen durch andere Nutzungsarten wie Landwirtschaft oder Industrie ist die für die Produktion von grünem Wasserstoff benötigte Menge Wasser scheinbar vernachlässigbar. Für wasserreiche Mitgliedstaaten sind die Wasserressourcen für die Wasserstoffproduktion (derzeit) ausreichend. Insbesondere Gebiete im Süden und Westen Europas sind jedoch bereits jetzt mit massivem Wasserstress konfrontiert und die Auswirkungen des Klimawandels üben zusätzlich Druck auf die Wasserressourcen aus. </w:t>
            </w:r>
            <w:r w:rsidRPr="009D7680">
              <w:rPr>
                <w:rFonts w:ascii="Aptos" w:hAnsi="Aptos"/>
                <w:b/>
                <w:bCs/>
                <w:sz w:val="22"/>
                <w:szCs w:val="22"/>
              </w:rPr>
              <w:t xml:space="preserve">Inwiefern werden Sie die klimatischen Bedingungen und deren aktuelle </w:t>
            </w:r>
            <w:r>
              <w:rPr>
                <w:rFonts w:ascii="Aptos" w:hAnsi="Aptos"/>
                <w:b/>
                <w:bCs/>
                <w:sz w:val="22"/>
                <w:szCs w:val="22"/>
              </w:rPr>
              <w:t>sowie</w:t>
            </w:r>
            <w:r w:rsidRPr="009D7680">
              <w:rPr>
                <w:rFonts w:ascii="Aptos" w:hAnsi="Aptos"/>
                <w:b/>
                <w:bCs/>
                <w:sz w:val="22"/>
                <w:szCs w:val="22"/>
              </w:rPr>
              <w:t xml:space="preserve"> zukünftige Auswirkungen auf die Wasserressourcen bei der Forcierung von grüner Wasserstoffproduktion </w:t>
            </w:r>
            <w:r>
              <w:rPr>
                <w:rFonts w:ascii="Aptos" w:hAnsi="Aptos"/>
                <w:b/>
                <w:bCs/>
                <w:sz w:val="22"/>
                <w:szCs w:val="22"/>
              </w:rPr>
              <w:t xml:space="preserve">in Europa </w:t>
            </w:r>
            <w:r w:rsidRPr="009D7680">
              <w:rPr>
                <w:rFonts w:ascii="Aptos" w:hAnsi="Aptos"/>
                <w:b/>
                <w:bCs/>
                <w:sz w:val="22"/>
                <w:szCs w:val="22"/>
              </w:rPr>
              <w:t>berücksichtigen?</w:t>
            </w:r>
          </w:p>
        </w:tc>
      </w:tr>
      <w:tr w:rsidR="00623AF8" w:rsidRPr="007A1DB2" w14:paraId="75A300A7" w14:textId="77777777" w:rsidTr="00875DD0">
        <w:tc>
          <w:tcPr>
            <w:tcW w:w="9060" w:type="dxa"/>
            <w:shd w:val="clear" w:color="auto" w:fill="D9D9D9" w:themeFill="background1" w:themeFillShade="D9"/>
          </w:tcPr>
          <w:p w14:paraId="3387A3C8"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 xml:space="preserve">Nachfrage </w:t>
            </w:r>
          </w:p>
        </w:tc>
      </w:tr>
      <w:tr w:rsidR="00623AF8" w:rsidRPr="007A1DB2" w14:paraId="4D25F57D" w14:textId="77777777" w:rsidTr="00875DD0">
        <w:tc>
          <w:tcPr>
            <w:tcW w:w="9060" w:type="dxa"/>
          </w:tcPr>
          <w:p w14:paraId="095CEE13" w14:textId="4FEBAE6B" w:rsidR="00623AF8" w:rsidRPr="00A041E1" w:rsidRDefault="00623AF8" w:rsidP="00F63BE8">
            <w:pPr>
              <w:pStyle w:val="Listenabsatz"/>
              <w:numPr>
                <w:ilvl w:val="0"/>
                <w:numId w:val="2"/>
              </w:numPr>
              <w:spacing w:before="120" w:after="120"/>
              <w:jc w:val="both"/>
              <w:rPr>
                <w:rFonts w:ascii="Aptos" w:hAnsi="Aptos"/>
                <w:sz w:val="22"/>
                <w:szCs w:val="22"/>
              </w:rPr>
            </w:pPr>
            <w:r w:rsidRPr="00A041E1">
              <w:rPr>
                <w:rFonts w:ascii="Aptos" w:hAnsi="Aptos"/>
                <w:sz w:val="22"/>
                <w:szCs w:val="22"/>
              </w:rPr>
              <w:t xml:space="preserve">Wie positionieren Sie sich als designierte:r EU-Kommissar:in zu der Möglichkeit, für die Produktion von grünem Wasserstoff zukünftig auf Abwasser als alternative Wasserquelle zurückzugreifen? </w:t>
            </w:r>
          </w:p>
        </w:tc>
      </w:tr>
    </w:tbl>
    <w:p w14:paraId="4447AB27" w14:textId="77777777" w:rsidR="00623AF8" w:rsidRPr="007A1DB2" w:rsidRDefault="00623AF8" w:rsidP="00623AF8">
      <w:pPr>
        <w:spacing w:after="120"/>
        <w:jc w:val="both"/>
        <w:rPr>
          <w:rFonts w:ascii="Aptos" w:hAnsi="Aptos"/>
          <w:i/>
          <w:iCs/>
          <w:sz w:val="22"/>
          <w:szCs w:val="22"/>
          <w:u w:val="single"/>
        </w:rPr>
      </w:pPr>
    </w:p>
    <w:p w14:paraId="44E501FF" w14:textId="011D208D" w:rsidR="00D3595E" w:rsidRPr="00C57722" w:rsidRDefault="00D3595E" w:rsidP="00D3595E">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54742C9E" w14:textId="76415EF6" w:rsidR="00623AF8" w:rsidRPr="00737D20" w:rsidRDefault="00623AF8" w:rsidP="00623AF8">
      <w:pPr>
        <w:spacing w:after="120"/>
        <w:jc w:val="both"/>
        <w:rPr>
          <w:rFonts w:ascii="Aptos" w:hAnsi="Aptos"/>
          <w:sz w:val="22"/>
          <w:szCs w:val="22"/>
        </w:rPr>
      </w:pPr>
      <w:r w:rsidRPr="00737D20">
        <w:rPr>
          <w:rFonts w:ascii="Aptos" w:hAnsi="Aptos"/>
          <w:sz w:val="22"/>
          <w:szCs w:val="22"/>
        </w:rPr>
        <w:t xml:space="preserve">Die Ressource Wasser ist für die Herstellung von grünem Wasserstoff über Elektrolyse essenziell. Vereinfacht dargestellt wird dabei unter Einwirkung von Strom Wasser </w:t>
      </w:r>
      <w:r>
        <w:rPr>
          <w:rFonts w:ascii="Aptos" w:hAnsi="Aptos"/>
          <w:sz w:val="22"/>
          <w:szCs w:val="22"/>
        </w:rPr>
        <w:t xml:space="preserve">in seine elementaren Bestandteile Wasserstoff (H2) und Sauerstoff </w:t>
      </w:r>
      <w:r w:rsidRPr="00737D20">
        <w:rPr>
          <w:rFonts w:ascii="Aptos" w:hAnsi="Aptos"/>
          <w:sz w:val="22"/>
          <w:szCs w:val="22"/>
        </w:rPr>
        <w:t xml:space="preserve">gespalten. Bei der Planung einer grünen Wasserstoffwirtschaft wird </w:t>
      </w:r>
      <w:r>
        <w:rPr>
          <w:rFonts w:ascii="Aptos" w:hAnsi="Aptos"/>
          <w:sz w:val="22"/>
          <w:szCs w:val="22"/>
        </w:rPr>
        <w:t xml:space="preserve">jedoch oft </w:t>
      </w:r>
      <w:r w:rsidRPr="00737D20">
        <w:rPr>
          <w:rFonts w:ascii="Aptos" w:hAnsi="Aptos"/>
          <w:sz w:val="22"/>
          <w:szCs w:val="22"/>
        </w:rPr>
        <w:t xml:space="preserve">davon ausgegangen, dass die Ressource Wasser unbegrenzt verfügbar ist. Auch in der österreichischen Wasserstoffstrategie findet sich </w:t>
      </w:r>
      <w:r>
        <w:rPr>
          <w:rFonts w:ascii="Aptos" w:hAnsi="Aptos"/>
          <w:sz w:val="22"/>
          <w:szCs w:val="22"/>
        </w:rPr>
        <w:t xml:space="preserve">bspw. </w:t>
      </w:r>
      <w:r w:rsidRPr="00737D20">
        <w:rPr>
          <w:rFonts w:ascii="Aptos" w:hAnsi="Aptos"/>
          <w:sz w:val="22"/>
          <w:szCs w:val="22"/>
        </w:rPr>
        <w:t xml:space="preserve">kein Verweis auf Einschätzungen hinsichtlich der ausreichenden Verfügbarkeit von Wasser. </w:t>
      </w:r>
    </w:p>
    <w:p w14:paraId="07E0936D" w14:textId="77777777" w:rsidR="00623AF8" w:rsidRDefault="00623AF8" w:rsidP="00623AF8">
      <w:pPr>
        <w:spacing w:after="120"/>
        <w:jc w:val="both"/>
        <w:rPr>
          <w:rFonts w:ascii="Aptos" w:hAnsi="Aptos"/>
          <w:sz w:val="22"/>
          <w:szCs w:val="22"/>
        </w:rPr>
      </w:pPr>
      <w:r w:rsidRPr="00B908B0">
        <w:rPr>
          <w:rFonts w:ascii="Aptos" w:hAnsi="Aptos"/>
          <w:sz w:val="22"/>
          <w:szCs w:val="22"/>
        </w:rPr>
        <w:t xml:space="preserve">Der Deutsche </w:t>
      </w:r>
      <w:r>
        <w:rPr>
          <w:rFonts w:ascii="Aptos" w:hAnsi="Aptos"/>
          <w:sz w:val="22"/>
          <w:szCs w:val="22"/>
        </w:rPr>
        <w:t>Verein des Gas- und Wasserfaches e.V. (</w:t>
      </w:r>
      <w:r w:rsidRPr="00B908B0">
        <w:rPr>
          <w:rFonts w:ascii="Aptos" w:hAnsi="Aptos"/>
          <w:sz w:val="22"/>
          <w:szCs w:val="22"/>
        </w:rPr>
        <w:t>DVGW</w:t>
      </w:r>
      <w:r>
        <w:rPr>
          <w:rFonts w:ascii="Aptos" w:hAnsi="Aptos"/>
          <w:sz w:val="22"/>
          <w:szCs w:val="22"/>
        </w:rPr>
        <w:t>)</w:t>
      </w:r>
      <w:r w:rsidRPr="00B908B0">
        <w:rPr>
          <w:rFonts w:ascii="Aptos" w:hAnsi="Aptos"/>
          <w:sz w:val="22"/>
          <w:szCs w:val="22"/>
        </w:rPr>
        <w:t xml:space="preserve"> </w:t>
      </w:r>
      <w:r>
        <w:rPr>
          <w:rFonts w:ascii="Aptos" w:hAnsi="Aptos"/>
          <w:sz w:val="22"/>
          <w:szCs w:val="22"/>
        </w:rPr>
        <w:t>hat den Wasserbedarf der Elektrolyse untersucht und berechnet</w:t>
      </w:r>
      <w:r w:rsidRPr="00B908B0">
        <w:rPr>
          <w:rFonts w:ascii="Aptos" w:hAnsi="Aptos"/>
          <w:sz w:val="22"/>
          <w:szCs w:val="22"/>
        </w:rPr>
        <w:t xml:space="preserve">, dass für die Herstellung von 1 kg Wasserstoff 10 Liter Reinstwasser </w:t>
      </w:r>
      <w:r>
        <w:rPr>
          <w:rFonts w:ascii="Aptos" w:hAnsi="Aptos"/>
          <w:sz w:val="22"/>
          <w:szCs w:val="22"/>
        </w:rPr>
        <w:t>bzw.</w:t>
      </w:r>
      <w:r w:rsidRPr="00B908B0">
        <w:rPr>
          <w:rFonts w:ascii="Aptos" w:hAnsi="Aptos"/>
          <w:sz w:val="22"/>
          <w:szCs w:val="22"/>
        </w:rPr>
        <w:t xml:space="preserve"> – abhängig von der Wasserquelle (Meerwasser oder Oberflächenwasser) und der eingesetzten Technologie </w:t>
      </w:r>
      <w:r>
        <w:rPr>
          <w:rFonts w:ascii="Aptos" w:hAnsi="Aptos"/>
          <w:sz w:val="22"/>
          <w:szCs w:val="22"/>
        </w:rPr>
        <w:t xml:space="preserve">– </w:t>
      </w:r>
      <w:r w:rsidRPr="00B908B0">
        <w:rPr>
          <w:rFonts w:ascii="Aptos" w:hAnsi="Aptos"/>
          <w:sz w:val="22"/>
          <w:szCs w:val="22"/>
        </w:rPr>
        <w:t>zwischen 12 und 30 Liter Rohwasser</w:t>
      </w:r>
      <w:r>
        <w:rPr>
          <w:rFonts w:ascii="Aptos" w:hAnsi="Aptos"/>
          <w:sz w:val="22"/>
          <w:szCs w:val="22"/>
        </w:rPr>
        <w:t xml:space="preserve"> benötigt werden</w:t>
      </w:r>
      <w:r w:rsidRPr="00B908B0">
        <w:rPr>
          <w:rFonts w:ascii="Aptos" w:hAnsi="Aptos"/>
          <w:sz w:val="22"/>
          <w:szCs w:val="22"/>
        </w:rPr>
        <w:t>.</w:t>
      </w:r>
      <w:r w:rsidRPr="00D119FE">
        <w:rPr>
          <w:rFonts w:ascii="Aptos" w:hAnsi="Aptos"/>
          <w:sz w:val="22"/>
          <w:szCs w:val="22"/>
          <w:vertAlign w:val="superscript"/>
        </w:rPr>
        <w:footnoteReference w:id="3"/>
      </w:r>
      <w:r>
        <w:rPr>
          <w:rFonts w:ascii="Aptos" w:hAnsi="Aptos"/>
          <w:sz w:val="22"/>
          <w:szCs w:val="22"/>
        </w:rPr>
        <w:t xml:space="preserve"> Für die geplante Produktion von grünem Wasserstoff sind die Wasserressourcen in Deutschland somit (derzeit) ausreichend. Auch in Deutschland gibt es allerdings Regionen, die stark von Trockenheit betroffen sind. Bei der strategischen Planung für die Wasserstoffproduktion müssen also die Verfügbarkeit und Qualität lokaler Wasserressourcen unbedingt einfließen. Innerhalb der Mitgliedstaaten zeigt sich zudem ein gravierender Unterschied hinsichtlich vorhandener Wasserressourcen. Wie aus dem Wasserrisiko-Atlas des World Resources Instituts (WRI) hervorgeht, besteht insbesondere im Süden und Westen Europas bereits jetzt massiver Wasserstress, der sich durch den voranschreitenden Klimawandel noch verstärken wird.</w:t>
      </w:r>
    </w:p>
    <w:p w14:paraId="4D8470E6" w14:textId="77777777" w:rsidR="00623AF8" w:rsidRPr="007A1DB2" w:rsidRDefault="00623AF8" w:rsidP="00623AF8">
      <w:pPr>
        <w:spacing w:after="120"/>
        <w:jc w:val="both"/>
        <w:rPr>
          <w:rFonts w:ascii="Aptos" w:hAnsi="Aptos"/>
          <w:sz w:val="22"/>
          <w:szCs w:val="22"/>
        </w:rPr>
        <w:sectPr w:rsidR="00623AF8" w:rsidRPr="007A1DB2" w:rsidSect="00034C8E">
          <w:pgSz w:w="11906" w:h="16838"/>
          <w:pgMar w:top="1871" w:right="1418" w:bottom="1134" w:left="1418" w:header="709" w:footer="510" w:gutter="0"/>
          <w:cols w:space="708"/>
          <w:docGrid w:linePitch="360"/>
        </w:sectPr>
      </w:pPr>
      <w:r>
        <w:rPr>
          <w:rFonts w:ascii="Aptos" w:hAnsi="Aptos"/>
          <w:sz w:val="22"/>
          <w:szCs w:val="22"/>
        </w:rPr>
        <w:t xml:space="preserve">Der Rückgriff auf Abwasser als alternative Wasserquelle ist zwar möglich aber mit immens hohen Kosten verbunden, da das gereinigte Abwasser zusätzlichen Aufbereitungsschritten zugeführt werden müsste, um den für die Elektrolyse erforderlichen Reinheitsgrad zu erreichen. Die Umsetzung dieser Idee würde die Kläranlagen angesichts der durch die Vorgaben der neuen UWWTD ohnehin anstehenden Ausbauerfordernisse zusätzlich unter massiven Druck setzen. </w:t>
      </w:r>
    </w:p>
    <w:p w14:paraId="6CEBF926" w14:textId="77777777" w:rsidR="00623AF8" w:rsidRPr="007A1DB2" w:rsidRDefault="00623AF8" w:rsidP="00623AF8">
      <w:pPr>
        <w:pStyle w:val="berschrift1"/>
        <w:rPr>
          <w:rFonts w:ascii="Aptos" w:hAnsi="Aptos"/>
          <w:sz w:val="22"/>
          <w:szCs w:val="22"/>
        </w:rPr>
      </w:pPr>
      <w:bookmarkStart w:id="45" w:name="_Toc165027660"/>
      <w:bookmarkStart w:id="46" w:name="_Toc170983650"/>
      <w:r w:rsidRPr="007A1DB2">
        <w:rPr>
          <w:rFonts w:ascii="Aptos" w:hAnsi="Aptos"/>
          <w:sz w:val="22"/>
          <w:szCs w:val="22"/>
        </w:rPr>
        <w:lastRenderedPageBreak/>
        <w:t>Konzessionsrichtlinie</w:t>
      </w:r>
      <w:r>
        <w:rPr>
          <w:rFonts w:ascii="Aptos" w:hAnsi="Aptos"/>
          <w:sz w:val="22"/>
          <w:szCs w:val="22"/>
        </w:rPr>
        <w:t xml:space="preserve"> – Ausnahme Wassersektor</w:t>
      </w:r>
      <w:bookmarkEnd w:id="45"/>
      <w:bookmarkEnd w:id="46"/>
    </w:p>
    <w:p w14:paraId="33C21F97"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4F54B445" w14:textId="77777777" w:rsidTr="00875DD0">
        <w:tc>
          <w:tcPr>
            <w:tcW w:w="9060" w:type="dxa"/>
            <w:shd w:val="clear" w:color="auto" w:fill="D9D9D9" w:themeFill="background1" w:themeFillShade="D9"/>
          </w:tcPr>
          <w:p w14:paraId="3942B634"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 xml:space="preserve">Frage </w:t>
            </w:r>
          </w:p>
        </w:tc>
      </w:tr>
      <w:tr w:rsidR="00623AF8" w:rsidRPr="007A1DB2" w14:paraId="0094ABCE" w14:textId="77777777" w:rsidTr="00875DD0">
        <w:tc>
          <w:tcPr>
            <w:tcW w:w="9060" w:type="dxa"/>
          </w:tcPr>
          <w:p w14:paraId="7F948A90" w14:textId="77777777" w:rsidR="00623AF8" w:rsidRPr="007A1DB2" w:rsidRDefault="00623AF8" w:rsidP="00875DD0">
            <w:pPr>
              <w:spacing w:before="120" w:after="120"/>
              <w:jc w:val="both"/>
              <w:rPr>
                <w:rFonts w:ascii="Aptos" w:hAnsi="Aptos"/>
                <w:sz w:val="22"/>
                <w:szCs w:val="22"/>
              </w:rPr>
            </w:pPr>
            <w:r w:rsidRPr="007A1DB2">
              <w:rPr>
                <w:rFonts w:ascii="Aptos" w:hAnsi="Aptos"/>
                <w:sz w:val="22"/>
                <w:szCs w:val="22"/>
              </w:rPr>
              <w:t xml:space="preserve">Die Bewertung der Konzessionsrichtlinie hat ergeben, dass eine starke Rolle der öffentlichen Hand im Wassersektor wichtig ist. Der Bericht zeigt, dass sich die große Mehrheit der Stakeholder dezidiert für eine öffentliche Wasserversorgung aussprechen. </w:t>
            </w:r>
            <w:r w:rsidRPr="007A1DB2">
              <w:rPr>
                <w:rFonts w:ascii="Aptos" w:hAnsi="Aptos"/>
                <w:b/>
                <w:bCs/>
                <w:sz w:val="22"/>
                <w:szCs w:val="22"/>
              </w:rPr>
              <w:t>Inwiefern gedenken Sie als designierte:r Kommissar:in, dem Rechnung zu tragen und die Mitgliedstaaten bei der Aufrechterhaltung bzw. dem Schutz ihrer öffentlichen Wasserversorgungsstruktur zu unterstützen?</w:t>
            </w:r>
          </w:p>
        </w:tc>
      </w:tr>
      <w:tr w:rsidR="00623AF8" w:rsidRPr="007A1DB2" w14:paraId="3C7E2827" w14:textId="77777777" w:rsidTr="00875DD0">
        <w:tc>
          <w:tcPr>
            <w:tcW w:w="9060" w:type="dxa"/>
            <w:shd w:val="clear" w:color="auto" w:fill="D9D9D9" w:themeFill="background1" w:themeFillShade="D9"/>
          </w:tcPr>
          <w:p w14:paraId="628FAA1E"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 xml:space="preserve">Nachfrage </w:t>
            </w:r>
          </w:p>
        </w:tc>
      </w:tr>
      <w:tr w:rsidR="00623AF8" w:rsidRPr="007A1DB2" w14:paraId="2F8BEAE9" w14:textId="77777777" w:rsidTr="00875DD0">
        <w:tc>
          <w:tcPr>
            <w:tcW w:w="9060" w:type="dxa"/>
          </w:tcPr>
          <w:p w14:paraId="4ED72AA5" w14:textId="6B25E4B9" w:rsidR="00623AF8" w:rsidRPr="00A041E1" w:rsidRDefault="00623AF8" w:rsidP="00F63BE8">
            <w:pPr>
              <w:pStyle w:val="Listenabsatz"/>
              <w:numPr>
                <w:ilvl w:val="0"/>
                <w:numId w:val="2"/>
              </w:numPr>
              <w:spacing w:before="120" w:after="120"/>
              <w:jc w:val="both"/>
              <w:rPr>
                <w:rFonts w:ascii="Aptos" w:hAnsi="Aptos"/>
                <w:i/>
                <w:iCs/>
                <w:sz w:val="22"/>
                <w:szCs w:val="22"/>
                <w:u w:val="single"/>
              </w:rPr>
            </w:pPr>
            <w:r w:rsidRPr="00A041E1">
              <w:rPr>
                <w:rFonts w:ascii="Aptos" w:hAnsi="Aptos"/>
                <w:sz w:val="22"/>
                <w:szCs w:val="22"/>
              </w:rPr>
              <w:t>Planen Sie eine Änderung von Artikel 12 der Konzessionsrichtlinie, in der die Ausnahme des Wassersektors geregelt wird?</w:t>
            </w:r>
          </w:p>
        </w:tc>
      </w:tr>
    </w:tbl>
    <w:p w14:paraId="3C8D2705" w14:textId="77777777" w:rsidR="00D3595E" w:rsidRDefault="00D3595E" w:rsidP="00623AF8">
      <w:pPr>
        <w:jc w:val="both"/>
        <w:rPr>
          <w:rFonts w:ascii="Aptos" w:hAnsi="Aptos"/>
          <w:b/>
          <w:iCs/>
          <w:sz w:val="22"/>
          <w:szCs w:val="22"/>
        </w:rPr>
      </w:pPr>
    </w:p>
    <w:p w14:paraId="0414C1C7" w14:textId="3067AE44" w:rsidR="00D3595E" w:rsidRPr="00C57722" w:rsidRDefault="00D3595E" w:rsidP="00D3595E">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38D501B0" w14:textId="557675AC" w:rsidR="00623AF8" w:rsidRPr="007A1DB2" w:rsidRDefault="00623AF8" w:rsidP="00623AF8">
      <w:pPr>
        <w:jc w:val="both"/>
        <w:rPr>
          <w:rFonts w:ascii="Aptos" w:hAnsi="Aptos"/>
          <w:sz w:val="22"/>
          <w:szCs w:val="22"/>
        </w:rPr>
      </w:pPr>
      <w:r w:rsidRPr="007A1DB2">
        <w:rPr>
          <w:rFonts w:ascii="Aptos" w:hAnsi="Aptos"/>
          <w:sz w:val="22"/>
          <w:szCs w:val="22"/>
        </w:rPr>
        <w:t xml:space="preserve">Am 28. Juli 2023 veröffentlichte die EU-Kommission ihren </w:t>
      </w:r>
      <w:r w:rsidRPr="007A1DB2">
        <w:rPr>
          <w:rFonts w:ascii="Aptos" w:hAnsi="Aptos"/>
          <w:b/>
          <w:bCs/>
          <w:sz w:val="22"/>
          <w:szCs w:val="22"/>
        </w:rPr>
        <w:t>Bericht über die Bewertung der Konzessionsrichtlinie</w:t>
      </w:r>
      <w:r w:rsidRPr="007A1DB2">
        <w:rPr>
          <w:rFonts w:ascii="Aptos" w:hAnsi="Aptos"/>
          <w:sz w:val="22"/>
          <w:szCs w:val="22"/>
        </w:rPr>
        <w:t xml:space="preserve"> (2014/23/EU). Die EU-Kommission betont, dass es sich um einen kapitalintensiven Sektor mit einigem Marktversagen handelt, das staatliche Eingriffe notwendig macht. Dazu gehören zum einen der lebenswichtige Charakter von Wasser und zum anderen der Umfang der getätigten Investitionen in Wasserleitungen und Kanäle, vor allem in abgelegenen oder kaum besiedelten Gebieten, die sich erst nach langer Zeit amortisieren und erhebliche Risiken bergen. Die Anerkennung der gesellschaftlichen Bedeutung und die Vorbeugung von Marktversagen im Wassersektor haben zu einer Sonderbehandlung in der Konzessionsrichtlinie geführt. </w:t>
      </w:r>
    </w:p>
    <w:p w14:paraId="5EAE8D09" w14:textId="77777777" w:rsidR="00623AF8" w:rsidRPr="007A1DB2" w:rsidRDefault="00623AF8" w:rsidP="00623AF8">
      <w:pPr>
        <w:spacing w:after="120"/>
        <w:jc w:val="both"/>
        <w:rPr>
          <w:rFonts w:ascii="Aptos" w:hAnsi="Aptos"/>
          <w:sz w:val="22"/>
          <w:szCs w:val="22"/>
        </w:rPr>
      </w:pPr>
      <w:r w:rsidRPr="007A1DB2">
        <w:rPr>
          <w:rFonts w:ascii="Aptos" w:hAnsi="Aptos"/>
          <w:sz w:val="22"/>
          <w:szCs w:val="22"/>
        </w:rPr>
        <w:t>Da die Richtlinie erst seit 2020 EU-weit umgesetzt ist, beruft sich die EU-Kommission auf die begrenzte Datenlage, die es zum jetzigen Zeitpunkt noch nicht möglich mache, eindeutige Schlussfolgerungen hinsichtlich der Auswirkungen der Richtlinie auf den Wassersektor zu ziehen.</w:t>
      </w:r>
    </w:p>
    <w:p w14:paraId="696572C6" w14:textId="77777777" w:rsidR="00623AF8" w:rsidRPr="007A1DB2" w:rsidRDefault="00623AF8" w:rsidP="00623AF8">
      <w:pPr>
        <w:spacing w:after="120"/>
        <w:jc w:val="both"/>
        <w:rPr>
          <w:rFonts w:ascii="Aptos" w:hAnsi="Aptos"/>
          <w:sz w:val="22"/>
          <w:szCs w:val="22"/>
        </w:rPr>
      </w:pPr>
      <w:r w:rsidRPr="007A1DB2">
        <w:rPr>
          <w:rFonts w:ascii="Aptos" w:hAnsi="Aptos"/>
          <w:sz w:val="22"/>
          <w:szCs w:val="22"/>
        </w:rPr>
        <w:t xml:space="preserve">Zu erwähnen ist in diesem Zusammenhang auch der von </w:t>
      </w:r>
      <w:r w:rsidRPr="007A1DB2">
        <w:rPr>
          <w:rFonts w:ascii="Aptos" w:hAnsi="Aptos"/>
          <w:b/>
          <w:bCs/>
          <w:sz w:val="22"/>
          <w:szCs w:val="22"/>
        </w:rPr>
        <w:t>Enrico Letta</w:t>
      </w:r>
      <w:r w:rsidRPr="007A1DB2">
        <w:rPr>
          <w:rFonts w:ascii="Aptos" w:hAnsi="Aptos"/>
          <w:sz w:val="22"/>
          <w:szCs w:val="22"/>
        </w:rPr>
        <w:t xml:space="preserve"> im April 2024 veröffentlichten </w:t>
      </w:r>
      <w:r w:rsidRPr="007A1DB2">
        <w:rPr>
          <w:rFonts w:ascii="Aptos" w:hAnsi="Aptos"/>
          <w:b/>
          <w:bCs/>
          <w:sz w:val="22"/>
          <w:szCs w:val="22"/>
        </w:rPr>
        <w:t>Bericht „Much more than a market</w:t>
      </w:r>
      <w:r w:rsidRPr="007A1DB2">
        <w:rPr>
          <w:rFonts w:ascii="Aptos" w:hAnsi="Aptos"/>
          <w:sz w:val="22"/>
          <w:szCs w:val="22"/>
        </w:rPr>
        <w:t xml:space="preserve">“, der die gesellschaftliche und wirtschaftliche Relevanz des Wassersektors thematisiert, ihn dadurch aber auch in unmissverständlichen Kontext zum Binnenmarkt setzt. Letta argumentiert, dass die starke Fragmentierung der Branche eine ‚gleichberechtigte‘/ausgewogene Entwicklung und Instandhaltung der Wasserinfrastruktur behindere. Diese Fragmentierung führe dazu, dass kleinere Versorgungsunternehmen nur schwer finanziell tragfähige Projekte verwirklichen können, und verschärfe in weiterer Folge die Unterschiede in der Dienstleistungsqualität und im Umweltschutz in den Mitgliedstaaten. Letta knüpft die Fragmentierung der Branche außerdem unmittelbar an den Umstand, dass jährlich etwa 20% des europäischen Territoriums bzw. 30% der Bevölkerung von Wasserstress betroffen sind, was unseres Erachtens eine unzulässige und sachlich falsche Argumentation ist. Eine mögliche Lösung sieht Letta in der Förderung von Zusammenschlüssen zwischen Wasserversorgern. Die dadurch gebildeten größeren Einheiten wären dann in der Lage, umfangreiche Infrastrukturinvestitionen zu tätigen und die durch die Fragmentierung des Sektors bedingten Ungleichheiten bei Zugang und Qualität zu beseitigen. </w:t>
      </w:r>
    </w:p>
    <w:p w14:paraId="73F11455" w14:textId="77777777" w:rsidR="00623AF8" w:rsidRPr="007A1DB2" w:rsidRDefault="00623AF8" w:rsidP="00623AF8">
      <w:pPr>
        <w:spacing w:after="120"/>
        <w:jc w:val="both"/>
        <w:rPr>
          <w:rFonts w:ascii="Aptos" w:hAnsi="Aptos"/>
          <w:i/>
          <w:iCs/>
          <w:sz w:val="22"/>
          <w:szCs w:val="22"/>
          <w:u w:val="single"/>
        </w:rPr>
      </w:pPr>
      <w:r w:rsidRPr="007A1DB2">
        <w:rPr>
          <w:rFonts w:ascii="Aptos" w:hAnsi="Aptos"/>
          <w:sz w:val="22"/>
          <w:szCs w:val="22"/>
        </w:rPr>
        <w:t>Diese Argumentationslinie erinnert an das Bestreben des ehemaligen EU-Kommissars Michel Barnier, den Wassersektor über die Aufnahme in die Konzessionsrichtlinie in den Binnenmarkt zu integrieren und wird daher von uns als tendenziell problematisch erachtet.</w:t>
      </w:r>
    </w:p>
    <w:p w14:paraId="02A5EB22" w14:textId="77777777" w:rsidR="00623AF8" w:rsidRPr="007A1DB2" w:rsidRDefault="00623AF8" w:rsidP="00623AF8">
      <w:pPr>
        <w:jc w:val="both"/>
        <w:rPr>
          <w:rFonts w:ascii="Aptos" w:hAnsi="Aptos"/>
          <w:bCs/>
          <w:sz w:val="22"/>
          <w:szCs w:val="22"/>
          <w:u w:val="single"/>
        </w:rPr>
        <w:sectPr w:rsidR="00623AF8" w:rsidRPr="007A1DB2" w:rsidSect="00034C8E">
          <w:pgSz w:w="11906" w:h="16838"/>
          <w:pgMar w:top="1871" w:right="1418" w:bottom="1134" w:left="1418" w:header="709" w:footer="510" w:gutter="0"/>
          <w:cols w:space="708"/>
          <w:docGrid w:linePitch="360"/>
        </w:sectPr>
      </w:pPr>
    </w:p>
    <w:p w14:paraId="323A1A58" w14:textId="77777777" w:rsidR="00623AF8" w:rsidRPr="007A1DB2" w:rsidRDefault="00623AF8" w:rsidP="00623AF8">
      <w:pPr>
        <w:pStyle w:val="berschrift1"/>
        <w:rPr>
          <w:rFonts w:ascii="Aptos" w:hAnsi="Aptos"/>
          <w:sz w:val="22"/>
          <w:szCs w:val="22"/>
        </w:rPr>
      </w:pPr>
      <w:bookmarkStart w:id="47" w:name="_Toc165027661"/>
      <w:bookmarkStart w:id="48" w:name="_Toc170983651"/>
      <w:r>
        <w:rPr>
          <w:rFonts w:ascii="Aptos" w:hAnsi="Aptos"/>
          <w:sz w:val="22"/>
          <w:szCs w:val="22"/>
        </w:rPr>
        <w:lastRenderedPageBreak/>
        <w:t xml:space="preserve">Überarbeitung der </w:t>
      </w:r>
      <w:r w:rsidRPr="007A1DB2">
        <w:rPr>
          <w:rFonts w:ascii="Aptos" w:hAnsi="Aptos"/>
          <w:sz w:val="22"/>
          <w:szCs w:val="22"/>
        </w:rPr>
        <w:t>Klärschlamm</w:t>
      </w:r>
      <w:r>
        <w:rPr>
          <w:rFonts w:ascii="Aptos" w:hAnsi="Aptos"/>
          <w:sz w:val="22"/>
          <w:szCs w:val="22"/>
        </w:rPr>
        <w:t>-Richtlinie</w:t>
      </w:r>
      <w:bookmarkEnd w:id="47"/>
      <w:bookmarkEnd w:id="48"/>
    </w:p>
    <w:p w14:paraId="7A117523"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2D5F3D6E" w14:textId="77777777" w:rsidTr="00875DD0">
        <w:tc>
          <w:tcPr>
            <w:tcW w:w="9060" w:type="dxa"/>
            <w:shd w:val="clear" w:color="auto" w:fill="D9D9D9" w:themeFill="background1" w:themeFillShade="D9"/>
          </w:tcPr>
          <w:p w14:paraId="0AC7C863"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 xml:space="preserve">Frage </w:t>
            </w:r>
          </w:p>
        </w:tc>
      </w:tr>
      <w:tr w:rsidR="00623AF8" w:rsidRPr="007A1DB2" w14:paraId="337E9B40" w14:textId="77777777" w:rsidTr="00875DD0">
        <w:tc>
          <w:tcPr>
            <w:tcW w:w="9060" w:type="dxa"/>
          </w:tcPr>
          <w:p w14:paraId="39C47908" w14:textId="77777777" w:rsidR="00623AF8" w:rsidRPr="007A1DB2" w:rsidRDefault="00623AF8" w:rsidP="00875DD0">
            <w:pPr>
              <w:spacing w:before="120"/>
              <w:jc w:val="both"/>
              <w:rPr>
                <w:rFonts w:ascii="Aptos" w:hAnsi="Aptos"/>
                <w:sz w:val="22"/>
                <w:szCs w:val="22"/>
              </w:rPr>
            </w:pPr>
            <w:r w:rsidRPr="007A1DB2">
              <w:rPr>
                <w:rFonts w:ascii="Aptos" w:hAnsi="Aptos"/>
                <w:sz w:val="22"/>
                <w:szCs w:val="22"/>
              </w:rPr>
              <w:t xml:space="preserve">Die derzeit gültige Klärschlamm-Richtlinie stammt aus dem Jahr 1986 und wurde seither nicht wesentlich aktualisiert. Sowohl der Wissenstand über Schadstoffbelastungen im Klärschlamm und Herausforderungen im Zusammenhang mit Phosphorrückgewinnung als auch technologische Möglichkeiten in der Klärschlammerzeugung bzw. Abwasserbehandlung haben sich jedoch in den letzten Jahrzehnten deutlich verändert. Klärschlamm wird mittlerweile insbesondere auch zur Energiegewinnung genutzt und in einigen Mitgliedstaaten gelten bereits </w:t>
            </w:r>
            <w:r>
              <w:rPr>
                <w:rFonts w:ascii="Aptos" w:hAnsi="Aptos"/>
                <w:sz w:val="22"/>
                <w:szCs w:val="22"/>
              </w:rPr>
              <w:t>strengere</w:t>
            </w:r>
            <w:r w:rsidRPr="007A1DB2">
              <w:rPr>
                <w:rFonts w:ascii="Aptos" w:hAnsi="Aptos"/>
                <w:sz w:val="22"/>
                <w:szCs w:val="22"/>
              </w:rPr>
              <w:t xml:space="preserve"> Grenzwerte für Schadstoffe in Böden.</w:t>
            </w:r>
          </w:p>
          <w:p w14:paraId="4163FA1A" w14:textId="77777777" w:rsidR="00623AF8" w:rsidRPr="007A1DB2" w:rsidRDefault="00623AF8" w:rsidP="00875DD0">
            <w:pPr>
              <w:spacing w:after="120"/>
              <w:jc w:val="both"/>
              <w:rPr>
                <w:rFonts w:ascii="Aptos" w:hAnsi="Aptos"/>
                <w:b/>
                <w:bCs/>
                <w:sz w:val="22"/>
                <w:szCs w:val="22"/>
              </w:rPr>
            </w:pPr>
            <w:r w:rsidRPr="007A1DB2">
              <w:rPr>
                <w:rFonts w:ascii="Aptos" w:hAnsi="Aptos"/>
                <w:b/>
                <w:bCs/>
                <w:sz w:val="22"/>
                <w:szCs w:val="22"/>
              </w:rPr>
              <w:t xml:space="preserve">Sehen Sie nach der im letzten Jahr erfolgten Bewertung die Notwendigkeit zur Überarbeitung der Richtlinie, und wenn ja, welche Teilbereiche bedürfen primär einer Überarbeitung und welche Bereiche einer Erweiterung bzw. zusätzlichen Regulierung? </w:t>
            </w:r>
          </w:p>
        </w:tc>
      </w:tr>
      <w:tr w:rsidR="00623AF8" w:rsidRPr="007A1DB2" w14:paraId="528387A6" w14:textId="77777777" w:rsidTr="00875DD0">
        <w:tc>
          <w:tcPr>
            <w:tcW w:w="9060" w:type="dxa"/>
            <w:shd w:val="clear" w:color="auto" w:fill="D9D9D9" w:themeFill="background1" w:themeFillShade="D9"/>
          </w:tcPr>
          <w:p w14:paraId="1B16BDFE"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 xml:space="preserve">Nachfrage </w:t>
            </w:r>
          </w:p>
        </w:tc>
      </w:tr>
      <w:tr w:rsidR="00623AF8" w:rsidRPr="007A1DB2" w14:paraId="2E4D2E60" w14:textId="77777777" w:rsidTr="00875DD0">
        <w:tc>
          <w:tcPr>
            <w:tcW w:w="9060" w:type="dxa"/>
          </w:tcPr>
          <w:p w14:paraId="1AF7C4FF" w14:textId="75315FC7" w:rsidR="00623AF8" w:rsidRPr="00A041E1" w:rsidRDefault="00623AF8" w:rsidP="00F63BE8">
            <w:pPr>
              <w:pStyle w:val="Listenabsatz"/>
              <w:numPr>
                <w:ilvl w:val="0"/>
                <w:numId w:val="2"/>
              </w:numPr>
              <w:spacing w:before="120" w:after="120"/>
              <w:jc w:val="both"/>
              <w:rPr>
                <w:rFonts w:ascii="Aptos" w:hAnsi="Aptos"/>
                <w:i/>
                <w:iCs/>
                <w:sz w:val="22"/>
                <w:szCs w:val="22"/>
                <w:u w:val="single"/>
              </w:rPr>
            </w:pPr>
            <w:r w:rsidRPr="00A041E1">
              <w:rPr>
                <w:rFonts w:ascii="Aptos" w:hAnsi="Aptos"/>
                <w:sz w:val="22"/>
                <w:szCs w:val="22"/>
              </w:rPr>
              <w:t>Wie stellen Sie sich den zukünftigen Umgang mit der organischen Substanz und den wertvollen Nährstoffen, insbesondere Phosphor, Stickstoff und Kalium im Klärschlamm vor und gibt es Überlegungen hinsichtlich einer Regulierung der landwirtschaftlichen Ausbringung von Klärschlamm?</w:t>
            </w:r>
          </w:p>
        </w:tc>
      </w:tr>
    </w:tbl>
    <w:p w14:paraId="61F8D424" w14:textId="77777777" w:rsidR="00623AF8" w:rsidRPr="007A1DB2" w:rsidRDefault="00623AF8" w:rsidP="00623AF8">
      <w:pPr>
        <w:spacing w:after="120"/>
        <w:jc w:val="both"/>
        <w:rPr>
          <w:rFonts w:ascii="Aptos" w:hAnsi="Aptos"/>
          <w:i/>
          <w:iCs/>
          <w:sz w:val="22"/>
          <w:szCs w:val="22"/>
          <w:u w:val="single"/>
        </w:rPr>
      </w:pPr>
    </w:p>
    <w:p w14:paraId="283BD595" w14:textId="3D554B18" w:rsidR="007233C7" w:rsidRPr="00C57722" w:rsidRDefault="007233C7" w:rsidP="007233C7">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76CC762A" w14:textId="21251FA6" w:rsidR="00623AF8" w:rsidRPr="007A1DB2" w:rsidRDefault="00623AF8" w:rsidP="00623AF8">
      <w:pPr>
        <w:spacing w:after="120"/>
        <w:jc w:val="both"/>
        <w:rPr>
          <w:rFonts w:ascii="Aptos" w:hAnsi="Aptos"/>
          <w:sz w:val="22"/>
          <w:szCs w:val="22"/>
        </w:rPr>
      </w:pPr>
      <w:r w:rsidRPr="007A1DB2">
        <w:rPr>
          <w:rFonts w:ascii="Aptos" w:hAnsi="Aptos"/>
          <w:sz w:val="22"/>
          <w:szCs w:val="22"/>
        </w:rPr>
        <w:t>Die Klärschlammrichtlinie besteht bereits seit fast 40 Jahren in einer im Grunde unveränderten Form. Seither hat jedoch das Wissen über Schadstoffbelastungen deutlich zugenommen</w:t>
      </w:r>
      <w:r>
        <w:rPr>
          <w:rFonts w:ascii="Aptos" w:hAnsi="Aptos"/>
          <w:sz w:val="22"/>
          <w:szCs w:val="22"/>
        </w:rPr>
        <w:t xml:space="preserve"> und die </w:t>
      </w:r>
      <w:r w:rsidRPr="007A1DB2">
        <w:rPr>
          <w:rFonts w:ascii="Aptos" w:hAnsi="Aptos"/>
          <w:sz w:val="22"/>
          <w:szCs w:val="22"/>
        </w:rPr>
        <w:t>Erkenntnisse über</w:t>
      </w:r>
      <w:r>
        <w:rPr>
          <w:rFonts w:ascii="Aptos" w:hAnsi="Aptos"/>
          <w:sz w:val="22"/>
          <w:szCs w:val="22"/>
        </w:rPr>
        <w:t xml:space="preserve"> </w:t>
      </w:r>
      <w:r w:rsidRPr="007A1DB2">
        <w:rPr>
          <w:rFonts w:ascii="Aptos" w:hAnsi="Aptos"/>
          <w:sz w:val="22"/>
          <w:szCs w:val="22"/>
        </w:rPr>
        <w:t xml:space="preserve">Relevanz und Begrenztheit </w:t>
      </w:r>
      <w:r>
        <w:rPr>
          <w:rFonts w:ascii="Aptos" w:hAnsi="Aptos"/>
          <w:sz w:val="22"/>
          <w:szCs w:val="22"/>
        </w:rPr>
        <w:t>von Nährstoffen wie Phosphor, Stickstoff und Kalium</w:t>
      </w:r>
      <w:r w:rsidRPr="007A1DB2">
        <w:rPr>
          <w:rFonts w:ascii="Aptos" w:hAnsi="Aptos"/>
          <w:sz w:val="22"/>
          <w:szCs w:val="22"/>
        </w:rPr>
        <w:t xml:space="preserve"> haben sich vertieft</w:t>
      </w:r>
      <w:r>
        <w:rPr>
          <w:rFonts w:ascii="Aptos" w:hAnsi="Aptos"/>
          <w:sz w:val="22"/>
          <w:szCs w:val="22"/>
        </w:rPr>
        <w:t>. Gleichzeitig haben sich auch</w:t>
      </w:r>
      <w:r w:rsidRPr="007A1DB2">
        <w:rPr>
          <w:rFonts w:ascii="Aptos" w:hAnsi="Aptos"/>
          <w:sz w:val="22"/>
          <w:szCs w:val="22"/>
        </w:rPr>
        <w:t xml:space="preserve"> technologische Möglichkeiten zur Klärschlammerzeugung und -nutzung weiterentwickelt. </w:t>
      </w:r>
    </w:p>
    <w:p w14:paraId="1CDE1E73" w14:textId="77777777" w:rsidR="00623AF8" w:rsidRPr="007A1DB2" w:rsidRDefault="00623AF8" w:rsidP="00623AF8">
      <w:pPr>
        <w:spacing w:after="120"/>
        <w:jc w:val="both"/>
        <w:rPr>
          <w:rFonts w:ascii="Aptos" w:hAnsi="Aptos"/>
          <w:sz w:val="22"/>
          <w:szCs w:val="22"/>
        </w:rPr>
      </w:pPr>
      <w:r w:rsidRPr="007A1DB2">
        <w:rPr>
          <w:rFonts w:ascii="Aptos" w:hAnsi="Aptos"/>
          <w:sz w:val="22"/>
          <w:szCs w:val="22"/>
        </w:rPr>
        <w:t xml:space="preserve">Im Jahr </w:t>
      </w:r>
      <w:r w:rsidRPr="007A1DB2">
        <w:rPr>
          <w:rFonts w:ascii="Aptos" w:hAnsi="Aptos"/>
          <w:b/>
          <w:bCs/>
          <w:sz w:val="22"/>
          <w:szCs w:val="22"/>
        </w:rPr>
        <w:t>2023</w:t>
      </w:r>
      <w:r w:rsidRPr="007A1DB2">
        <w:rPr>
          <w:rFonts w:ascii="Aptos" w:hAnsi="Aptos"/>
          <w:sz w:val="22"/>
          <w:szCs w:val="22"/>
        </w:rPr>
        <w:t xml:space="preserve"> erfolgte schließlich eine umfassende </w:t>
      </w:r>
      <w:r w:rsidRPr="007A1DB2">
        <w:rPr>
          <w:rFonts w:ascii="Aptos" w:hAnsi="Aptos"/>
          <w:b/>
          <w:bCs/>
          <w:sz w:val="22"/>
          <w:szCs w:val="22"/>
        </w:rPr>
        <w:t>Bewertung</w:t>
      </w:r>
      <w:r w:rsidRPr="007A1DB2">
        <w:rPr>
          <w:rFonts w:ascii="Aptos" w:hAnsi="Aptos"/>
          <w:sz w:val="22"/>
          <w:szCs w:val="22"/>
        </w:rPr>
        <w:t xml:space="preserve"> der „EU-Richtlinie über den Schutz der Umwelt und insbesondere der Böden bei der Verwendung von Klärschlamm in der Landwirtschaft (86/278/EWG)“, um mögliche Handlungsbedarfe für eine Überarbeitung zu ermitteln. </w:t>
      </w:r>
    </w:p>
    <w:p w14:paraId="1042D88E" w14:textId="77777777" w:rsidR="00623AF8" w:rsidRPr="007A1DB2" w:rsidRDefault="00623AF8" w:rsidP="00623AF8">
      <w:pPr>
        <w:spacing w:after="120"/>
        <w:jc w:val="both"/>
        <w:rPr>
          <w:rFonts w:ascii="Aptos" w:hAnsi="Aptos"/>
          <w:sz w:val="22"/>
          <w:szCs w:val="22"/>
        </w:rPr>
      </w:pPr>
      <w:r w:rsidRPr="007A1DB2">
        <w:rPr>
          <w:rFonts w:ascii="Aptos" w:hAnsi="Aptos"/>
          <w:sz w:val="22"/>
          <w:szCs w:val="22"/>
        </w:rPr>
        <w:t xml:space="preserve">Die Bewertung hat im Wesentlichen festgestellt, dass die Richtlinie durch die Festlegung eines Mindestmaßes an Harmonisierung bei der Kontrolle der Umweltverschmutzung und der Gesundheitsrisiken sowie durch die Förderung einer kostengünstigen Schlammbehandlung grundsätzlich nach wie vor einen Mehrwert aufweist, obwohl viele Mitgliedstaaten bereits über die Anforderungen der Richtlinie hinausgegangen sind, indem sie das Umweltschutzniveau erhöht und die Grenzwerte für Schadstoffe in Böden und Schlämmen verschärft haben. </w:t>
      </w:r>
    </w:p>
    <w:p w14:paraId="46582D19" w14:textId="39FEC369" w:rsidR="00623AF8" w:rsidRPr="007233C7" w:rsidRDefault="00623AF8" w:rsidP="007233C7">
      <w:pPr>
        <w:spacing w:after="120"/>
        <w:jc w:val="both"/>
        <w:rPr>
          <w:rFonts w:ascii="Aptos" w:hAnsi="Aptos"/>
          <w:sz w:val="22"/>
          <w:szCs w:val="22"/>
        </w:rPr>
        <w:sectPr w:rsidR="00623AF8" w:rsidRPr="007233C7" w:rsidSect="00034C8E">
          <w:pgSz w:w="11906" w:h="16838"/>
          <w:pgMar w:top="1871" w:right="1418" w:bottom="1134" w:left="1418" w:header="709" w:footer="510" w:gutter="0"/>
          <w:cols w:space="708"/>
          <w:docGrid w:linePitch="360"/>
        </w:sectPr>
      </w:pPr>
      <w:r w:rsidRPr="007A1DB2">
        <w:rPr>
          <w:rFonts w:ascii="Aptos" w:hAnsi="Aptos"/>
          <w:sz w:val="22"/>
          <w:szCs w:val="22"/>
        </w:rPr>
        <w:t>Gleichzeitig weist die Bewertung aber auch auf zahlreiche Aspekte hin, zu denen eine Überarbeitung nötig sein könnte. Fraglich sei etwa, ob auf EU-Ebene mehr Leitlinien oder Anweisungen für die Behandlung erforderlich sind, um den Nutzen für Nährstoffe und möglicherweise Energie zu maximieren, oder inwiefern im Rahmen der europäischen Bodenstrategie auch die Ausbringung von Klärschlamm auf nicht landwirtschaftlich genutzten Flächen geprüft werden könnte.</w:t>
      </w:r>
    </w:p>
    <w:p w14:paraId="4EF973DF" w14:textId="051E2668" w:rsidR="00623AF8" w:rsidRPr="007233C7" w:rsidRDefault="00623AF8" w:rsidP="00A041E1">
      <w:pPr>
        <w:pStyle w:val="berschrift1"/>
        <w:spacing w:before="0" w:after="240"/>
        <w:rPr>
          <w:rFonts w:ascii="Aptos" w:hAnsi="Aptos"/>
          <w:sz w:val="22"/>
          <w:szCs w:val="22"/>
        </w:rPr>
      </w:pPr>
      <w:bookmarkStart w:id="49" w:name="_Toc165027662"/>
      <w:bookmarkStart w:id="50" w:name="_Toc170983652"/>
      <w:r>
        <w:rPr>
          <w:rFonts w:ascii="Aptos" w:hAnsi="Aptos"/>
          <w:sz w:val="22"/>
          <w:szCs w:val="22"/>
        </w:rPr>
        <w:lastRenderedPageBreak/>
        <w:t>Zukunft der Wasserrahmen-Richtlinie</w:t>
      </w:r>
      <w:bookmarkEnd w:id="49"/>
      <w:bookmarkEnd w:id="50"/>
    </w:p>
    <w:tbl>
      <w:tblPr>
        <w:tblStyle w:val="Tabellenraster"/>
        <w:tblW w:w="0" w:type="auto"/>
        <w:tblLook w:val="04A0" w:firstRow="1" w:lastRow="0" w:firstColumn="1" w:lastColumn="0" w:noHBand="0" w:noVBand="1"/>
      </w:tblPr>
      <w:tblGrid>
        <w:gridCol w:w="9060"/>
      </w:tblGrid>
      <w:tr w:rsidR="00623AF8" w:rsidRPr="007A1DB2" w14:paraId="51410297" w14:textId="77777777" w:rsidTr="00875DD0">
        <w:tc>
          <w:tcPr>
            <w:tcW w:w="9060" w:type="dxa"/>
            <w:shd w:val="clear" w:color="auto" w:fill="D9D9D9" w:themeFill="background1" w:themeFillShade="D9"/>
          </w:tcPr>
          <w:p w14:paraId="52DF07F4"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 xml:space="preserve">Frage </w:t>
            </w:r>
          </w:p>
        </w:tc>
      </w:tr>
      <w:tr w:rsidR="00623AF8" w:rsidRPr="007A1DB2" w14:paraId="06F87C51" w14:textId="77777777" w:rsidTr="00875DD0">
        <w:tc>
          <w:tcPr>
            <w:tcW w:w="9060" w:type="dxa"/>
          </w:tcPr>
          <w:p w14:paraId="460D4AB9" w14:textId="77777777" w:rsidR="00623AF8" w:rsidRPr="007A1DB2" w:rsidRDefault="00623AF8" w:rsidP="00875DD0">
            <w:pPr>
              <w:spacing w:before="120" w:after="120"/>
              <w:jc w:val="both"/>
              <w:rPr>
                <w:rFonts w:ascii="Aptos" w:hAnsi="Aptos"/>
                <w:sz w:val="22"/>
                <w:szCs w:val="22"/>
              </w:rPr>
            </w:pPr>
            <w:r w:rsidRPr="007A1DB2">
              <w:rPr>
                <w:rFonts w:ascii="Aptos" w:hAnsi="Aptos" w:cs="Calibri"/>
                <w:sz w:val="22"/>
                <w:szCs w:val="22"/>
              </w:rPr>
              <w:t xml:space="preserve">Die Wasserrahmenrichtlinie der Europäischen Union bildet einen wichtigen Rahmen für den Schutz und die nachhaltige Bewirtschaftung von Oberflächen- und Grundwasser in Europa. Seit ihrer Einführung im Jahr 2000 haben die Mitgliedstaaten beträchtliche Anstrengungen unternommen, um die Ziele der Richtlinie zu erreichen. Diese Ziele umfassen die Erreichung eines guten ökologischen und chemischen Zustands der Gewässer bis </w:t>
            </w:r>
            <w:r>
              <w:rPr>
                <w:rFonts w:ascii="Aptos" w:hAnsi="Aptos" w:cs="Calibri"/>
                <w:sz w:val="22"/>
                <w:szCs w:val="22"/>
              </w:rPr>
              <w:t xml:space="preserve">spätestens </w:t>
            </w:r>
            <w:r w:rsidRPr="007A1DB2">
              <w:rPr>
                <w:rFonts w:ascii="Aptos" w:hAnsi="Aptos" w:cs="Calibri"/>
                <w:sz w:val="22"/>
                <w:szCs w:val="22"/>
              </w:rPr>
              <w:t xml:space="preserve">zum Jahr 2027. Trotz </w:t>
            </w:r>
            <w:r>
              <w:rPr>
                <w:rFonts w:ascii="Aptos" w:hAnsi="Aptos" w:cs="Calibri"/>
                <w:sz w:val="22"/>
                <w:szCs w:val="22"/>
              </w:rPr>
              <w:t>zahlreicher</w:t>
            </w:r>
            <w:r w:rsidRPr="007A1DB2">
              <w:rPr>
                <w:rFonts w:ascii="Aptos" w:hAnsi="Aptos" w:cs="Calibri"/>
                <w:sz w:val="22"/>
                <w:szCs w:val="22"/>
              </w:rPr>
              <w:t xml:space="preserve"> Fortschritte </w:t>
            </w:r>
            <w:r>
              <w:rPr>
                <w:rFonts w:ascii="Aptos" w:hAnsi="Aptos" w:cs="Calibri"/>
                <w:sz w:val="22"/>
                <w:szCs w:val="22"/>
              </w:rPr>
              <w:t>werden die Mitgliedstaaten nicht alle Zielvorgaben zeitgerecht erfüllen können</w:t>
            </w:r>
            <w:r w:rsidRPr="007A1DB2">
              <w:rPr>
                <w:rFonts w:ascii="Aptos" w:hAnsi="Aptos" w:cs="Calibri"/>
                <w:sz w:val="22"/>
                <w:szCs w:val="22"/>
              </w:rPr>
              <w:t xml:space="preserve">. </w:t>
            </w:r>
            <w:r>
              <w:rPr>
                <w:rFonts w:ascii="Aptos" w:hAnsi="Aptos" w:cs="Calibri"/>
                <w:sz w:val="22"/>
                <w:szCs w:val="22"/>
              </w:rPr>
              <w:t xml:space="preserve">Vor dem Hintergrund der EU-Taxonomie ergibt sich bei einer unvollständigen Zielumsetzung bis 2027 zusätzlich das Problem, dass zuvor als taxonomiekonform eingestufte Tätigkeiten plötzlich als nicht mehr „grün“ gelten. </w:t>
            </w:r>
            <w:r w:rsidRPr="00342D38">
              <w:rPr>
                <w:rFonts w:ascii="Aptos" w:hAnsi="Aptos" w:cs="Calibri"/>
                <w:b/>
                <w:bCs/>
                <w:sz w:val="22"/>
                <w:szCs w:val="22"/>
              </w:rPr>
              <w:t>Wie gedenken Sie nach 2027 mit der WRRL hinsichtlich einer Verlängerung oder</w:t>
            </w:r>
            <w:r>
              <w:rPr>
                <w:rFonts w:ascii="Aptos" w:hAnsi="Aptos" w:cs="Calibri"/>
                <w:b/>
                <w:bCs/>
                <w:sz w:val="22"/>
                <w:szCs w:val="22"/>
              </w:rPr>
              <w:t xml:space="preserve"> möglichen</w:t>
            </w:r>
            <w:r w:rsidRPr="00342D38">
              <w:rPr>
                <w:rFonts w:ascii="Aptos" w:hAnsi="Aptos" w:cs="Calibri"/>
                <w:b/>
                <w:bCs/>
                <w:sz w:val="22"/>
                <w:szCs w:val="22"/>
              </w:rPr>
              <w:t xml:space="preserve"> </w:t>
            </w:r>
            <w:r>
              <w:rPr>
                <w:rFonts w:ascii="Aptos" w:hAnsi="Aptos" w:cs="Calibri"/>
                <w:b/>
                <w:bCs/>
                <w:sz w:val="22"/>
                <w:szCs w:val="22"/>
              </w:rPr>
              <w:t xml:space="preserve">Überarbeitung </w:t>
            </w:r>
            <w:r w:rsidRPr="00342D38">
              <w:rPr>
                <w:rFonts w:ascii="Aptos" w:hAnsi="Aptos" w:cs="Calibri"/>
                <w:b/>
                <w:bCs/>
                <w:sz w:val="22"/>
                <w:szCs w:val="22"/>
              </w:rPr>
              <w:t>zu</w:t>
            </w:r>
            <w:r>
              <w:rPr>
                <w:rFonts w:ascii="Aptos" w:hAnsi="Aptos" w:cs="Calibri"/>
                <w:b/>
                <w:bCs/>
                <w:sz w:val="22"/>
                <w:szCs w:val="22"/>
              </w:rPr>
              <w:t xml:space="preserve"> </w:t>
            </w:r>
            <w:r w:rsidRPr="00342D38">
              <w:rPr>
                <w:rFonts w:ascii="Aptos" w:hAnsi="Aptos" w:cs="Calibri"/>
                <w:b/>
                <w:bCs/>
                <w:sz w:val="22"/>
                <w:szCs w:val="22"/>
              </w:rPr>
              <w:t>verfahren?</w:t>
            </w:r>
          </w:p>
        </w:tc>
      </w:tr>
      <w:tr w:rsidR="00623AF8" w:rsidRPr="007A1DB2" w14:paraId="15F46EB1" w14:textId="77777777" w:rsidTr="00875DD0">
        <w:tc>
          <w:tcPr>
            <w:tcW w:w="9060" w:type="dxa"/>
            <w:shd w:val="clear" w:color="auto" w:fill="D9D9D9" w:themeFill="background1" w:themeFillShade="D9"/>
          </w:tcPr>
          <w:p w14:paraId="05C5F27E"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12B54C4A" w14:textId="77777777" w:rsidTr="00875DD0">
        <w:tc>
          <w:tcPr>
            <w:tcW w:w="9060" w:type="dxa"/>
          </w:tcPr>
          <w:p w14:paraId="5D474880" w14:textId="4C69EE8F" w:rsidR="00623AF8" w:rsidRPr="00A041E1" w:rsidRDefault="00623AF8" w:rsidP="00F63BE8">
            <w:pPr>
              <w:pStyle w:val="Listenabsatz"/>
              <w:numPr>
                <w:ilvl w:val="0"/>
                <w:numId w:val="2"/>
              </w:numPr>
              <w:spacing w:before="120" w:after="120"/>
              <w:jc w:val="both"/>
              <w:rPr>
                <w:rFonts w:ascii="Aptos" w:hAnsi="Aptos"/>
                <w:i/>
                <w:iCs/>
                <w:sz w:val="22"/>
                <w:szCs w:val="22"/>
                <w:u w:val="single"/>
              </w:rPr>
            </w:pPr>
            <w:r w:rsidRPr="00A041E1">
              <w:rPr>
                <w:rFonts w:ascii="Aptos" w:hAnsi="Aptos" w:cs="Calibri"/>
                <w:sz w:val="22"/>
                <w:szCs w:val="22"/>
              </w:rPr>
              <w:t>Im Hinblick auf das Spannungsfeld zwischen den Zielen der Renaturierung bzw. des Gewässer- und Umweltschutzes und der notwendigen Energiewende: Wie viele Erzeugungseinbußen sind Sie bereit, insgesamt und speziell für die flexible Erzeugung bei Speicherwasserkraft, aufgrund der Umsetzung der Wasserrahmen-Richtlinie zu akzeptieren?</w:t>
            </w:r>
          </w:p>
        </w:tc>
      </w:tr>
    </w:tbl>
    <w:p w14:paraId="323B5030" w14:textId="3F499677" w:rsidR="007233C7" w:rsidRPr="00C57722" w:rsidRDefault="007233C7" w:rsidP="003A06A0">
      <w:pPr>
        <w:widowControl w:val="0"/>
        <w:tabs>
          <w:tab w:val="right" w:pos="9070"/>
        </w:tabs>
        <w:autoSpaceDE w:val="0"/>
        <w:autoSpaceDN w:val="0"/>
        <w:spacing w:before="240"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7B6100EE" w14:textId="6C9ECFC8" w:rsidR="00623AF8" w:rsidRPr="00462E6D" w:rsidRDefault="00623AF8" w:rsidP="00623AF8">
      <w:pPr>
        <w:jc w:val="both"/>
        <w:rPr>
          <w:rFonts w:ascii="Aptos" w:hAnsi="Aptos"/>
          <w:sz w:val="22"/>
          <w:szCs w:val="22"/>
        </w:rPr>
      </w:pPr>
      <w:r w:rsidRPr="00462E6D">
        <w:rPr>
          <w:rFonts w:ascii="Aptos" w:hAnsi="Aptos"/>
          <w:sz w:val="22"/>
          <w:szCs w:val="22"/>
        </w:rPr>
        <w:t xml:space="preserve">Die </w:t>
      </w:r>
      <w:r>
        <w:rPr>
          <w:rFonts w:ascii="Aptos" w:hAnsi="Aptos"/>
          <w:sz w:val="22"/>
          <w:szCs w:val="22"/>
        </w:rPr>
        <w:t xml:space="preserve">im Jahr 2000 in Kraft getretene </w:t>
      </w:r>
      <w:r w:rsidRPr="00462E6D">
        <w:rPr>
          <w:rFonts w:ascii="Aptos" w:hAnsi="Aptos"/>
          <w:sz w:val="22"/>
          <w:szCs w:val="22"/>
        </w:rPr>
        <w:t>Wasserrahmenrichtlinie, hat das Ziel, bis 2015</w:t>
      </w:r>
      <w:r>
        <w:rPr>
          <w:rFonts w:ascii="Aptos" w:hAnsi="Aptos"/>
          <w:sz w:val="22"/>
          <w:szCs w:val="22"/>
        </w:rPr>
        <w:t xml:space="preserve"> – </w:t>
      </w:r>
      <w:r w:rsidRPr="00BA1B2C">
        <w:rPr>
          <w:rFonts w:ascii="Aptos" w:hAnsi="Aptos"/>
          <w:sz w:val="22"/>
          <w:szCs w:val="22"/>
        </w:rPr>
        <w:t xml:space="preserve">mit Ausnahmen </w:t>
      </w:r>
      <w:r w:rsidRPr="00462E6D">
        <w:rPr>
          <w:rFonts w:ascii="Aptos" w:hAnsi="Aptos"/>
          <w:sz w:val="22"/>
          <w:szCs w:val="22"/>
        </w:rPr>
        <w:t>spätestens bis 2027</w:t>
      </w:r>
      <w:r>
        <w:rPr>
          <w:rFonts w:ascii="Aptos" w:hAnsi="Aptos"/>
          <w:sz w:val="22"/>
          <w:szCs w:val="22"/>
        </w:rPr>
        <w:t xml:space="preserve"> –</w:t>
      </w:r>
      <w:r w:rsidRPr="00462E6D">
        <w:rPr>
          <w:rFonts w:ascii="Aptos" w:hAnsi="Aptos"/>
          <w:sz w:val="22"/>
          <w:szCs w:val="22"/>
        </w:rPr>
        <w:t xml:space="preserve"> einen guten ökologischen und chemischen Zustand für Oberflächengewässer sowie ein gutes ökologisches Potenzial und einen guten chemischen Zustand für veränderte oder künstliche Gewässer zu erreichen. Für Grundwasser soll ein guter mengenmäßiger und chemischer Zustand erreicht werden. Es soll eine systematische Verbesserung und keine weitere Verschlechterung des Zustands aller Gewässer erfolgen, um aquatische Ökosysteme sowie von Wasser abhängige Landökosysteme und Feuchtgebiete zu schützen</w:t>
      </w:r>
      <w:r w:rsidRPr="00BA1B2C">
        <w:rPr>
          <w:rFonts w:ascii="Aptos" w:hAnsi="Aptos"/>
          <w:sz w:val="22"/>
          <w:szCs w:val="22"/>
        </w:rPr>
        <w:t xml:space="preserve"> (Verschlechterungsverbot)</w:t>
      </w:r>
      <w:r w:rsidRPr="00462E6D">
        <w:rPr>
          <w:rFonts w:ascii="Aptos" w:hAnsi="Aptos"/>
          <w:sz w:val="22"/>
          <w:szCs w:val="22"/>
        </w:rPr>
        <w:t>.</w:t>
      </w:r>
      <w:r>
        <w:rPr>
          <w:rFonts w:ascii="Aptos" w:hAnsi="Aptos"/>
          <w:sz w:val="22"/>
          <w:szCs w:val="22"/>
        </w:rPr>
        <w:t xml:space="preserve"> Z</w:t>
      </w:r>
      <w:r w:rsidRPr="00462E6D">
        <w:rPr>
          <w:rFonts w:ascii="Aptos" w:hAnsi="Aptos"/>
          <w:sz w:val="22"/>
          <w:szCs w:val="22"/>
        </w:rPr>
        <w:t>entrale Elemente der Wasserrahmenrichtlinie umfassen</w:t>
      </w:r>
      <w:r>
        <w:rPr>
          <w:rFonts w:ascii="Aptos" w:hAnsi="Aptos"/>
          <w:sz w:val="22"/>
          <w:szCs w:val="22"/>
        </w:rPr>
        <w:t xml:space="preserve"> etwa eine umfassende Analyse der Flusseinzugsgebiete, die Erstellung flussgebietsbezogener Bewirtschaftungspläne samt Maßnahmenprogramm zur Erreichung der Ziele bis spätestens 2027 sowie die zyklische Überarbeitung der Bewirtschaftungspläne durch die Mitgliedstaaten alle 6 Jahre (2009, 2015, 2021).</w:t>
      </w:r>
    </w:p>
    <w:p w14:paraId="536D935C" w14:textId="77777777" w:rsidR="00623AF8" w:rsidRPr="00462E6D" w:rsidRDefault="00623AF8" w:rsidP="00623AF8">
      <w:pPr>
        <w:jc w:val="both"/>
        <w:rPr>
          <w:rFonts w:ascii="Aptos" w:hAnsi="Aptos"/>
          <w:sz w:val="22"/>
          <w:szCs w:val="22"/>
        </w:rPr>
      </w:pPr>
      <w:r w:rsidRPr="00462E6D">
        <w:rPr>
          <w:rFonts w:ascii="Aptos" w:hAnsi="Aptos"/>
          <w:sz w:val="22"/>
          <w:szCs w:val="22"/>
        </w:rPr>
        <w:t>Eine Bewertung aus dem Jahr 2019 ergab, dass die Richtlinie ihren Zweck erfüllt, aber ihre Umsetzung beschleunigt werden muss. Die Kommission kündigte daher im Juni 2020 an, sich verstärkt auf die Umsetzung und Durchsetzung der Richtlinie zu konzentrieren.</w:t>
      </w:r>
    </w:p>
    <w:p w14:paraId="2DBB15A7" w14:textId="77777777" w:rsidR="00623AF8" w:rsidRPr="00285411" w:rsidRDefault="00623AF8" w:rsidP="00623AF8">
      <w:pPr>
        <w:jc w:val="both"/>
        <w:rPr>
          <w:rFonts w:ascii="Aptos" w:hAnsi="Aptos"/>
          <w:i/>
          <w:iCs/>
          <w:sz w:val="22"/>
          <w:szCs w:val="22"/>
          <w:u w:val="single"/>
        </w:rPr>
      </w:pPr>
      <w:r>
        <w:rPr>
          <w:rFonts w:ascii="Aptos" w:hAnsi="Aptos"/>
          <w:sz w:val="22"/>
          <w:szCs w:val="22"/>
        </w:rPr>
        <w:t>Nur r</w:t>
      </w:r>
      <w:r w:rsidRPr="00462E6D">
        <w:rPr>
          <w:rFonts w:ascii="Aptos" w:hAnsi="Aptos"/>
          <w:sz w:val="22"/>
          <w:szCs w:val="22"/>
        </w:rPr>
        <w:t>und 40 % der Oberflächenwasserkörper in Europa haben einen guten oder sehr guten ökologischen Zustand, wobei Seen und Küstengewässer besser abschneiden als Flüsse und Übergangsgewässer.</w:t>
      </w:r>
      <w:r>
        <w:rPr>
          <w:rStyle w:val="Funotenzeichen"/>
          <w:rFonts w:ascii="Aptos" w:hAnsi="Aptos"/>
          <w:sz w:val="22"/>
          <w:szCs w:val="22"/>
        </w:rPr>
        <w:footnoteReference w:id="4"/>
      </w:r>
      <w:r w:rsidRPr="00462E6D">
        <w:rPr>
          <w:rFonts w:ascii="Aptos" w:hAnsi="Aptos"/>
          <w:sz w:val="22"/>
          <w:szCs w:val="22"/>
        </w:rPr>
        <w:t xml:space="preserve"> Der ökologische Gesamtzustand hat sich seit 2009 nicht verbessert, aber einige biologische Qualitätselemente haben sich zwischen 2009 und 2015 verbessert. Die Ergebnisse der Bewertungen von 2021 sind noch nicht bekannt. Nach dem "one out, all out"-Prinzip kann ein Wasserkörper nur dann einen guten Zustand erreichen, wenn alle biologischen und unterstützenden Qualitätselemente mindestens gut bewertet werden.</w:t>
      </w:r>
    </w:p>
    <w:p w14:paraId="7D3A6A5A" w14:textId="77777777" w:rsidR="00623AF8" w:rsidRPr="00285411" w:rsidRDefault="00623AF8" w:rsidP="00623AF8">
      <w:pPr>
        <w:spacing w:after="120"/>
        <w:jc w:val="both"/>
        <w:rPr>
          <w:rFonts w:ascii="Aptos" w:hAnsi="Aptos"/>
          <w:i/>
          <w:iCs/>
          <w:sz w:val="22"/>
          <w:szCs w:val="22"/>
          <w:u w:val="single"/>
        </w:rPr>
        <w:sectPr w:rsidR="00623AF8" w:rsidRPr="00285411" w:rsidSect="003C63F7">
          <w:pgSz w:w="11906" w:h="16838"/>
          <w:pgMar w:top="1871" w:right="1418" w:bottom="851" w:left="1418" w:header="709" w:footer="510" w:gutter="0"/>
          <w:cols w:space="708"/>
          <w:docGrid w:linePitch="360"/>
        </w:sectPr>
      </w:pPr>
    </w:p>
    <w:p w14:paraId="450EF1DC" w14:textId="77777777" w:rsidR="00623AF8" w:rsidRPr="007A1DB2" w:rsidRDefault="00623AF8" w:rsidP="00623AF8">
      <w:pPr>
        <w:pStyle w:val="berschrift1"/>
        <w:rPr>
          <w:rFonts w:ascii="Aptos" w:hAnsi="Aptos"/>
          <w:sz w:val="22"/>
          <w:szCs w:val="22"/>
        </w:rPr>
      </w:pPr>
      <w:bookmarkStart w:id="51" w:name="_Toc165027663"/>
      <w:bookmarkStart w:id="52" w:name="_Toc170983653"/>
      <w:r>
        <w:rPr>
          <w:rFonts w:ascii="Aptos" w:hAnsi="Aptos"/>
          <w:sz w:val="22"/>
          <w:szCs w:val="22"/>
        </w:rPr>
        <w:lastRenderedPageBreak/>
        <w:t>Kohlenstoffabscheidung, -nutzung &amp; -speicherung – Risiken</w:t>
      </w:r>
      <w:bookmarkEnd w:id="51"/>
      <w:bookmarkEnd w:id="52"/>
      <w:r>
        <w:rPr>
          <w:rFonts w:ascii="Aptos" w:hAnsi="Aptos"/>
          <w:sz w:val="22"/>
          <w:szCs w:val="22"/>
        </w:rPr>
        <w:t xml:space="preserve"> </w:t>
      </w:r>
    </w:p>
    <w:p w14:paraId="696165CD"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7695CCB3" w14:textId="77777777" w:rsidTr="00875DD0">
        <w:tc>
          <w:tcPr>
            <w:tcW w:w="9060" w:type="dxa"/>
            <w:shd w:val="clear" w:color="auto" w:fill="D9D9D9" w:themeFill="background1" w:themeFillShade="D9"/>
          </w:tcPr>
          <w:p w14:paraId="588B645B"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6F34348D" w14:textId="77777777" w:rsidTr="00875DD0">
        <w:tc>
          <w:tcPr>
            <w:tcW w:w="9060" w:type="dxa"/>
          </w:tcPr>
          <w:p w14:paraId="6BDAE077" w14:textId="77777777" w:rsidR="00623AF8" w:rsidRPr="007A1DB2" w:rsidRDefault="00623AF8" w:rsidP="00875DD0">
            <w:pPr>
              <w:pStyle w:val="StandardWeb"/>
              <w:spacing w:before="120" w:beforeAutospacing="0" w:after="0" w:afterAutospacing="0"/>
              <w:rPr>
                <w:rFonts w:ascii="Aptos" w:hAnsi="Aptos" w:cs="Calibri"/>
                <w:sz w:val="22"/>
                <w:szCs w:val="22"/>
              </w:rPr>
            </w:pPr>
            <w:r w:rsidRPr="007A1DB2">
              <w:rPr>
                <w:rFonts w:ascii="Aptos" w:hAnsi="Aptos" w:cs="Calibri"/>
                <w:sz w:val="22"/>
                <w:szCs w:val="22"/>
              </w:rPr>
              <w:t>Angesichts der Dringlichkeit, den Klimawandel einzudämmen, hat die Diskussion über Kohlenstoffabscheidung, -nutzung und -speicherung (CCUS) weltweit an Bedeutung gewonnen. CCUS bietet zwar eine Möglichkeit, CO</w:t>
            </w:r>
            <w:r w:rsidRPr="007A1DB2">
              <w:rPr>
                <w:rFonts w:ascii="Aptos" w:hAnsi="Aptos" w:cs="Calibri"/>
                <w:sz w:val="22"/>
                <w:szCs w:val="22"/>
                <w:vertAlign w:val="subscript"/>
              </w:rPr>
              <w:t>2</w:t>
            </w:r>
            <w:r w:rsidRPr="007A1DB2">
              <w:rPr>
                <w:rFonts w:ascii="Aptos" w:hAnsi="Aptos" w:cs="Calibri"/>
                <w:sz w:val="22"/>
                <w:szCs w:val="22"/>
              </w:rPr>
              <w:t>-Emissionen zu reduzieren, indem es ermöglicht, Kohlenstoff aus industriellen Prozessen und Stromerzeugung zu erfassen und zu speichern. Allerdings sind damit auch diverse Risiken verbunden, insbesondere hinsichtlich möglicher Leckagen und den damit verbundenen Schadstoffeinträgen in Grundwasser und Böden sowie wiederum erhöhten CO</w:t>
            </w:r>
            <w:r w:rsidRPr="007A1DB2">
              <w:rPr>
                <w:rFonts w:ascii="Aptos" w:hAnsi="Aptos" w:cs="Calibri"/>
                <w:sz w:val="22"/>
                <w:szCs w:val="22"/>
                <w:vertAlign w:val="subscript"/>
              </w:rPr>
              <w:t>2-</w:t>
            </w:r>
            <w:r w:rsidRPr="007A1DB2">
              <w:rPr>
                <w:rFonts w:ascii="Aptos" w:hAnsi="Aptos" w:cs="Calibri"/>
                <w:sz w:val="22"/>
                <w:szCs w:val="22"/>
              </w:rPr>
              <w:t xml:space="preserve">Werten. </w:t>
            </w:r>
          </w:p>
          <w:p w14:paraId="46E235BB" w14:textId="77777777" w:rsidR="00623AF8" w:rsidRPr="007A1DB2" w:rsidRDefault="00623AF8" w:rsidP="00875DD0">
            <w:pPr>
              <w:pStyle w:val="StandardWeb"/>
              <w:spacing w:before="0" w:beforeAutospacing="0" w:after="120" w:afterAutospacing="0"/>
              <w:rPr>
                <w:rFonts w:ascii="Aptos" w:hAnsi="Aptos" w:cs="Calibri"/>
                <w:sz w:val="22"/>
                <w:szCs w:val="22"/>
              </w:rPr>
            </w:pPr>
            <w:r w:rsidRPr="007A1DB2">
              <w:rPr>
                <w:rFonts w:ascii="Aptos" w:hAnsi="Aptos" w:cs="Calibri"/>
                <w:b/>
                <w:bCs/>
                <w:sz w:val="22"/>
                <w:szCs w:val="22"/>
              </w:rPr>
              <w:t>Inwiefern ist vor diesem Hintergrund CCUS tatsächlich als zukunftsfähiges und nachhaltiges Verfahren zu betrachten?</w:t>
            </w:r>
          </w:p>
        </w:tc>
      </w:tr>
      <w:tr w:rsidR="00623AF8" w:rsidRPr="007A1DB2" w14:paraId="2C4BA99F" w14:textId="77777777" w:rsidTr="00875DD0">
        <w:tc>
          <w:tcPr>
            <w:tcW w:w="9060" w:type="dxa"/>
            <w:shd w:val="clear" w:color="auto" w:fill="D9D9D9" w:themeFill="background1" w:themeFillShade="D9"/>
          </w:tcPr>
          <w:p w14:paraId="40D0FB76"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213DA78B" w14:textId="77777777" w:rsidTr="00875DD0">
        <w:tc>
          <w:tcPr>
            <w:tcW w:w="9060" w:type="dxa"/>
          </w:tcPr>
          <w:p w14:paraId="6DB704BD" w14:textId="2C70A180" w:rsidR="00623AF8" w:rsidRPr="00E22256" w:rsidRDefault="00623AF8" w:rsidP="00F63BE8">
            <w:pPr>
              <w:pStyle w:val="StandardWeb"/>
              <w:numPr>
                <w:ilvl w:val="0"/>
                <w:numId w:val="2"/>
              </w:numPr>
              <w:spacing w:before="120" w:beforeAutospacing="0" w:after="120" w:afterAutospacing="0"/>
              <w:rPr>
                <w:rFonts w:ascii="Aptos" w:hAnsi="Aptos" w:cs="Calibri"/>
                <w:sz w:val="22"/>
                <w:szCs w:val="22"/>
              </w:rPr>
            </w:pPr>
            <w:r w:rsidRPr="00E22256">
              <w:rPr>
                <w:rFonts w:ascii="Aptos" w:hAnsi="Aptos" w:cs="Calibri"/>
                <w:sz w:val="22"/>
                <w:szCs w:val="22"/>
              </w:rPr>
              <w:t xml:space="preserve">Inwiefern kann angesichts dieser Risiken die Sicherheit und Qualität unserer Wasserressourcen gewährleistet werden und sehen Sie die Notwendigkeit für zusätzliche legislative Maßnahmen? </w:t>
            </w:r>
          </w:p>
        </w:tc>
      </w:tr>
    </w:tbl>
    <w:p w14:paraId="55515417" w14:textId="77777777" w:rsidR="00623AF8" w:rsidRPr="007A1DB2" w:rsidRDefault="00623AF8" w:rsidP="00623AF8">
      <w:pPr>
        <w:spacing w:after="120"/>
        <w:jc w:val="both"/>
        <w:rPr>
          <w:rFonts w:ascii="Aptos" w:hAnsi="Aptos"/>
          <w:i/>
          <w:iCs/>
          <w:sz w:val="22"/>
          <w:szCs w:val="22"/>
          <w:u w:val="single"/>
        </w:rPr>
      </w:pPr>
    </w:p>
    <w:p w14:paraId="5F83B65C" w14:textId="26A160F6" w:rsidR="008E7E2E" w:rsidRPr="00C57722" w:rsidRDefault="008E7E2E" w:rsidP="008E7E2E">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0F913B0E" w14:textId="76E58DF4" w:rsidR="00623AF8" w:rsidRPr="002563CE" w:rsidRDefault="00623AF8" w:rsidP="00623AF8">
      <w:pPr>
        <w:pStyle w:val="StandardWeb"/>
        <w:spacing w:before="0" w:beforeAutospacing="0" w:after="120" w:afterAutospacing="0"/>
        <w:jc w:val="both"/>
        <w:rPr>
          <w:rFonts w:ascii="Aptos" w:eastAsiaTheme="minorHAnsi" w:hAnsi="Aptos" w:cstheme="minorBidi"/>
          <w:sz w:val="22"/>
          <w:szCs w:val="22"/>
          <w:lang w:eastAsia="en-US"/>
        </w:rPr>
      </w:pPr>
      <w:r w:rsidRPr="002563CE">
        <w:rPr>
          <w:rFonts w:ascii="Aptos" w:eastAsiaTheme="minorHAnsi" w:hAnsi="Aptos" w:cstheme="minorBidi"/>
          <w:sz w:val="22"/>
          <w:szCs w:val="22"/>
          <w:lang w:eastAsia="en-US"/>
        </w:rPr>
        <w:t>Die unterirdische Speicherung von Kohlendioxid, sowohl auf dem Festland als auch unter dem Meeresboden, zielt auf den Klimaschutz ab. Gesetzliche Regelungen schreiben vor, dass das Kohlendioxid vollständig und dauerhaft im Untergrund verbleiben muss. Leckagen könnten jedoch schädliche Auswirkungen auf Grundwasser und Boden zur Folge haben.</w:t>
      </w:r>
    </w:p>
    <w:p w14:paraId="51933C16" w14:textId="77777777" w:rsidR="00623AF8" w:rsidRPr="002563CE" w:rsidRDefault="00623AF8" w:rsidP="00623AF8">
      <w:pPr>
        <w:pStyle w:val="StandardWeb"/>
        <w:spacing w:before="0" w:beforeAutospacing="0" w:after="120" w:afterAutospacing="0"/>
        <w:jc w:val="both"/>
        <w:rPr>
          <w:rFonts w:ascii="Aptos" w:eastAsiaTheme="minorHAnsi" w:hAnsi="Aptos" w:cstheme="minorBidi"/>
          <w:sz w:val="22"/>
          <w:szCs w:val="22"/>
          <w:lang w:eastAsia="en-US"/>
        </w:rPr>
      </w:pPr>
      <w:r w:rsidRPr="002563CE">
        <w:rPr>
          <w:rFonts w:ascii="Aptos" w:eastAsiaTheme="minorHAnsi" w:hAnsi="Aptos" w:cstheme="minorBidi"/>
          <w:sz w:val="22"/>
          <w:szCs w:val="22"/>
          <w:lang w:eastAsia="en-US"/>
        </w:rPr>
        <w:t>Das Hauptziel der unterirdischen Kohlendioxidspeicherung (CO2) ist es, die CO2-Emissionen in die Atmosphäre zu reduzieren. Das CO2, das gespeichert wird, kann aus verschiedenen Quellen stammen: fossilen Energieanlagen, Industrieanlagen, der Nutzung von Biomasse zur Energieerzeugung, Müllverbrennungsanlagen oder direkt aus der Atmosphäre. Mögliche Speicherorte sind teilweise oder vollständig erschöpfte Öl- und Gaslagerstätten sowie salzhaltige Aquifere. Diese Speicherung kann sowohl an Land als auch unter dem Meeresboden erfolgen.</w:t>
      </w:r>
    </w:p>
    <w:p w14:paraId="1874F415" w14:textId="77777777" w:rsidR="00623AF8" w:rsidRPr="002563CE" w:rsidRDefault="00623AF8" w:rsidP="00623AF8">
      <w:pPr>
        <w:pStyle w:val="StandardWeb"/>
        <w:spacing w:before="0" w:beforeAutospacing="0" w:after="120" w:afterAutospacing="0"/>
        <w:jc w:val="both"/>
        <w:rPr>
          <w:rFonts w:ascii="Aptos" w:eastAsiaTheme="minorHAnsi" w:hAnsi="Aptos" w:cstheme="minorBidi"/>
          <w:sz w:val="22"/>
          <w:szCs w:val="22"/>
          <w:lang w:eastAsia="en-US"/>
        </w:rPr>
      </w:pPr>
      <w:r w:rsidRPr="002563CE">
        <w:rPr>
          <w:rFonts w:ascii="Aptos" w:eastAsiaTheme="minorHAnsi" w:hAnsi="Aptos" w:cstheme="minorBidi"/>
          <w:sz w:val="22"/>
          <w:szCs w:val="22"/>
          <w:lang w:eastAsia="en-US"/>
        </w:rPr>
        <w:t>Vor allem Leckagen von CO2 bergen Risiken für Grundwasser und Boden. Durch das entweichende CO2 können Schadstoffe im Untergrund freigesetzt und salzhaltiges Grundwasser aus tiefen Aquiferen verdrängt werden. Unter ungünstigen Bedingungen kann dieses verdrängte salzige Grundwasser in oberflächennahe Süßwasserschichten und bis an die Erdoberfläche gelangen, was zu Versalzungen und Schäden im Grundwasser, in Böden und in Oberflächengewässern führen kann.</w:t>
      </w:r>
    </w:p>
    <w:p w14:paraId="59C4862B" w14:textId="77777777" w:rsidR="00623AF8" w:rsidRPr="00E471D6" w:rsidRDefault="00623AF8" w:rsidP="00623AF8">
      <w:pPr>
        <w:pStyle w:val="StandardWeb"/>
        <w:spacing w:before="0" w:beforeAutospacing="0" w:after="120" w:afterAutospacing="0"/>
        <w:jc w:val="both"/>
        <w:rPr>
          <w:rFonts w:ascii="Aptos" w:eastAsiaTheme="minorHAnsi" w:hAnsi="Aptos" w:cstheme="minorBidi"/>
          <w:sz w:val="22"/>
          <w:szCs w:val="22"/>
          <w:lang w:eastAsia="en-US"/>
        </w:rPr>
        <w:sectPr w:rsidR="00623AF8" w:rsidRPr="00E471D6" w:rsidSect="00034C8E">
          <w:pgSz w:w="11906" w:h="16838"/>
          <w:pgMar w:top="1871" w:right="1418" w:bottom="1134" w:left="1418" w:header="709" w:footer="510" w:gutter="0"/>
          <w:cols w:space="708"/>
          <w:docGrid w:linePitch="360"/>
        </w:sectPr>
      </w:pPr>
      <w:r w:rsidRPr="002563CE">
        <w:rPr>
          <w:rFonts w:ascii="Aptos" w:eastAsiaTheme="minorHAnsi" w:hAnsi="Aptos" w:cstheme="minorBidi"/>
          <w:sz w:val="22"/>
          <w:szCs w:val="22"/>
          <w:lang w:eastAsia="en-US"/>
        </w:rPr>
        <w:t xml:space="preserve">Die oberirdischen Anlagen, die für den Transport und die Speicherung erforderlich sind, können negative Auswirkungen auf Flora und Fauna, die Landschaft und die biologische Vielfalt haben. Daher </w:t>
      </w:r>
      <w:r>
        <w:rPr>
          <w:rFonts w:ascii="Aptos" w:eastAsiaTheme="minorHAnsi" w:hAnsi="Aptos" w:cstheme="minorBidi"/>
          <w:sz w:val="22"/>
          <w:szCs w:val="22"/>
          <w:lang w:eastAsia="en-US"/>
        </w:rPr>
        <w:t>sind</w:t>
      </w:r>
      <w:r w:rsidRPr="002563CE">
        <w:rPr>
          <w:rFonts w:ascii="Aptos" w:eastAsiaTheme="minorHAnsi" w:hAnsi="Aptos" w:cstheme="minorBidi"/>
          <w:sz w:val="22"/>
          <w:szCs w:val="22"/>
          <w:lang w:eastAsia="en-US"/>
        </w:rPr>
        <w:t xml:space="preserve"> eine umfassende Abschätzung der Risiken sowie umsetzbare, wirksame und vergleichbare Methoden zum Monitoring</w:t>
      </w:r>
      <w:r>
        <w:rPr>
          <w:rFonts w:ascii="Aptos" w:eastAsiaTheme="minorHAnsi" w:hAnsi="Aptos" w:cstheme="minorBidi"/>
          <w:sz w:val="22"/>
          <w:szCs w:val="22"/>
          <w:lang w:eastAsia="en-US"/>
        </w:rPr>
        <w:t xml:space="preserve"> – </w:t>
      </w:r>
      <w:r w:rsidRPr="002563CE">
        <w:rPr>
          <w:rFonts w:ascii="Aptos" w:eastAsiaTheme="minorHAnsi" w:hAnsi="Aptos" w:cstheme="minorBidi"/>
          <w:sz w:val="22"/>
          <w:szCs w:val="22"/>
          <w:lang w:eastAsia="en-US"/>
        </w:rPr>
        <w:t>die es derzeit noch nicht gibt</w:t>
      </w:r>
      <w:r>
        <w:rPr>
          <w:rFonts w:ascii="Aptos" w:eastAsiaTheme="minorHAnsi" w:hAnsi="Aptos" w:cstheme="minorBidi"/>
          <w:sz w:val="22"/>
          <w:szCs w:val="22"/>
          <w:lang w:eastAsia="en-US"/>
        </w:rPr>
        <w:t xml:space="preserve"> –</w:t>
      </w:r>
      <w:r w:rsidRPr="002563CE">
        <w:rPr>
          <w:rFonts w:ascii="Aptos" w:eastAsiaTheme="minorHAnsi" w:hAnsi="Aptos" w:cstheme="minorBidi"/>
          <w:sz w:val="22"/>
          <w:szCs w:val="22"/>
          <w:lang w:eastAsia="en-US"/>
        </w:rPr>
        <w:t xml:space="preserve"> vor einer möglichen breiten Umsetzung von CCUS-Technologien essenziell.</w:t>
      </w:r>
    </w:p>
    <w:p w14:paraId="635C16D5" w14:textId="77777777" w:rsidR="00623AF8" w:rsidRDefault="00623AF8" w:rsidP="00623AF8">
      <w:pPr>
        <w:pStyle w:val="berschrift1"/>
        <w:rPr>
          <w:rFonts w:ascii="Aptos" w:hAnsi="Aptos"/>
          <w:sz w:val="22"/>
          <w:szCs w:val="22"/>
        </w:rPr>
      </w:pPr>
      <w:bookmarkStart w:id="53" w:name="_Toc165027664"/>
    </w:p>
    <w:p w14:paraId="5EE4C2D7" w14:textId="77777777" w:rsidR="00623AF8" w:rsidRDefault="00623AF8" w:rsidP="00623AF8">
      <w:pPr>
        <w:pStyle w:val="berschrift1"/>
        <w:rPr>
          <w:rFonts w:ascii="Aptos" w:hAnsi="Aptos"/>
          <w:sz w:val="22"/>
          <w:szCs w:val="22"/>
        </w:rPr>
      </w:pPr>
    </w:p>
    <w:p w14:paraId="0913ADAA" w14:textId="77777777" w:rsidR="00623AF8" w:rsidRPr="007A1DB2" w:rsidRDefault="00623AF8" w:rsidP="00623AF8">
      <w:pPr>
        <w:pStyle w:val="berschrift1"/>
        <w:rPr>
          <w:rFonts w:ascii="Aptos" w:hAnsi="Aptos"/>
          <w:sz w:val="22"/>
          <w:szCs w:val="22"/>
        </w:rPr>
      </w:pPr>
      <w:bookmarkStart w:id="54" w:name="_Toc170983654"/>
      <w:r>
        <w:rPr>
          <w:rFonts w:ascii="Aptos" w:hAnsi="Aptos"/>
          <w:sz w:val="22"/>
          <w:szCs w:val="22"/>
        </w:rPr>
        <w:t>Schadstoffe – Source Control und Vorsorgeprinzip statt End-of-Pipe</w:t>
      </w:r>
      <w:bookmarkEnd w:id="53"/>
      <w:bookmarkEnd w:id="54"/>
    </w:p>
    <w:p w14:paraId="52FA1A63"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457F0292" w14:textId="77777777" w:rsidTr="00875DD0">
        <w:tc>
          <w:tcPr>
            <w:tcW w:w="9060" w:type="dxa"/>
            <w:shd w:val="clear" w:color="auto" w:fill="D9D9D9" w:themeFill="background1" w:themeFillShade="D9"/>
          </w:tcPr>
          <w:p w14:paraId="5FD33AAE"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7377D7F0" w14:textId="77777777" w:rsidTr="00875DD0">
        <w:tc>
          <w:tcPr>
            <w:tcW w:w="9060" w:type="dxa"/>
          </w:tcPr>
          <w:p w14:paraId="34928151" w14:textId="77777777" w:rsidR="00623AF8" w:rsidRPr="00DB1E6E" w:rsidRDefault="00623AF8" w:rsidP="00875DD0">
            <w:pPr>
              <w:pStyle w:val="Default"/>
              <w:spacing w:before="120" w:after="120"/>
              <w:jc w:val="both"/>
              <w:rPr>
                <w:rFonts w:ascii="Aptos" w:hAnsi="Aptos" w:cstheme="minorHAnsi"/>
                <w:b/>
                <w:bCs/>
                <w:sz w:val="22"/>
                <w:szCs w:val="22"/>
              </w:rPr>
            </w:pPr>
            <w:r w:rsidRPr="00DB1E6E">
              <w:rPr>
                <w:rFonts w:ascii="Aptos" w:hAnsi="Aptos" w:cstheme="minorHAnsi"/>
                <w:sz w:val="22"/>
                <w:szCs w:val="22"/>
              </w:rPr>
              <w:t xml:space="preserve">Schadstoffe – insbesondere, wenn diese persistent, mobil, toxisch und/oder bioakkumulierend sind – haben massive negative Auswirkungen auf die menschliche Gesundheit sowie das gesamte Ökosystem. Einmal in Umlauf gebracht, sind sie kaum oder nur unter enormem technischen sowie finanziellen Aufwand wieder aus Wasserkörpern, Böden oder Organismen zu entfernen. </w:t>
            </w:r>
            <w:r w:rsidRPr="00DB1E6E">
              <w:rPr>
                <w:rFonts w:ascii="Aptos" w:hAnsi="Aptos" w:cstheme="minorHAnsi"/>
                <w:color w:val="auto"/>
                <w:sz w:val="22"/>
                <w:szCs w:val="22"/>
              </w:rPr>
              <w:t xml:space="preserve">Die wissenschaftliche Erkenntnis, welche Schadstoffe bzw. Zerfallsprodukte konkret problematisch werden, hinkt den zugelassenen Stoffen </w:t>
            </w:r>
            <w:r>
              <w:rPr>
                <w:rFonts w:ascii="Aptos" w:hAnsi="Aptos" w:cstheme="minorHAnsi"/>
                <w:color w:val="auto"/>
                <w:sz w:val="22"/>
                <w:szCs w:val="22"/>
              </w:rPr>
              <w:t xml:space="preserve">derzeit </w:t>
            </w:r>
            <w:r w:rsidRPr="00DB1E6E">
              <w:rPr>
                <w:rFonts w:ascii="Aptos" w:hAnsi="Aptos" w:cstheme="minorHAnsi"/>
                <w:color w:val="auto"/>
                <w:sz w:val="22"/>
                <w:szCs w:val="22"/>
              </w:rPr>
              <w:t xml:space="preserve">stets hinterher. </w:t>
            </w:r>
            <w:r w:rsidRPr="00DB1E6E">
              <w:rPr>
                <w:rFonts w:ascii="Aptos" w:hAnsi="Aptos" w:cstheme="minorHAnsi"/>
                <w:b/>
                <w:bCs/>
                <w:sz w:val="22"/>
                <w:szCs w:val="22"/>
              </w:rPr>
              <w:t xml:space="preserve">Inwiefern gedenken Sie bezüglich Schadstoffeinträgen den Shift von End-of-Pipe Lösungen hin zu Source Control und dem Vorsorgeprinzip zu forcieren? </w:t>
            </w:r>
          </w:p>
        </w:tc>
      </w:tr>
      <w:tr w:rsidR="00623AF8" w:rsidRPr="007A1DB2" w14:paraId="4D484DBA" w14:textId="77777777" w:rsidTr="00875DD0">
        <w:tc>
          <w:tcPr>
            <w:tcW w:w="9060" w:type="dxa"/>
            <w:shd w:val="clear" w:color="auto" w:fill="D9D9D9" w:themeFill="background1" w:themeFillShade="D9"/>
          </w:tcPr>
          <w:p w14:paraId="57A41862"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094B31AB" w14:textId="77777777" w:rsidTr="00875DD0">
        <w:tc>
          <w:tcPr>
            <w:tcW w:w="9060" w:type="dxa"/>
          </w:tcPr>
          <w:p w14:paraId="69DAC883" w14:textId="7BE1B5ED" w:rsidR="00623AF8" w:rsidRPr="00E22256" w:rsidRDefault="00623AF8" w:rsidP="00F63BE8">
            <w:pPr>
              <w:pStyle w:val="Listenabsatz"/>
              <w:numPr>
                <w:ilvl w:val="0"/>
                <w:numId w:val="2"/>
              </w:numPr>
              <w:spacing w:before="120" w:after="120"/>
              <w:jc w:val="both"/>
              <w:rPr>
                <w:rFonts w:ascii="Aptos" w:hAnsi="Aptos"/>
                <w:i/>
                <w:iCs/>
                <w:sz w:val="22"/>
                <w:szCs w:val="22"/>
                <w:u w:val="single"/>
              </w:rPr>
            </w:pPr>
            <w:r w:rsidRPr="00E22256">
              <w:rPr>
                <w:rFonts w:ascii="Aptos" w:hAnsi="Aptos"/>
                <w:sz w:val="22"/>
                <w:szCs w:val="22"/>
              </w:rPr>
              <w:t xml:space="preserve">Denken Sie an Änderungen beim Einreichungsverfahren für neue Stoffzusammensetzungen und wenn ja, in welche Richtung gehen Ihre Überlegungen? </w:t>
            </w:r>
          </w:p>
        </w:tc>
      </w:tr>
    </w:tbl>
    <w:p w14:paraId="24BD2C10" w14:textId="77777777" w:rsidR="00623AF8" w:rsidRPr="007A1DB2" w:rsidRDefault="00623AF8" w:rsidP="00623AF8">
      <w:pPr>
        <w:spacing w:after="120"/>
        <w:jc w:val="both"/>
        <w:rPr>
          <w:rFonts w:ascii="Aptos" w:hAnsi="Aptos"/>
          <w:i/>
          <w:iCs/>
          <w:sz w:val="22"/>
          <w:szCs w:val="22"/>
          <w:u w:val="single"/>
        </w:rPr>
      </w:pPr>
    </w:p>
    <w:p w14:paraId="70CF5861" w14:textId="3B1CAF3C" w:rsidR="008E7E2E" w:rsidRPr="00C57722" w:rsidRDefault="008E7E2E" w:rsidP="008E7E2E">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06A06347" w14:textId="18117557" w:rsidR="00623AF8" w:rsidRPr="00DB1E6E" w:rsidRDefault="00623AF8" w:rsidP="00623AF8">
      <w:pPr>
        <w:pStyle w:val="Default"/>
        <w:spacing w:after="120"/>
        <w:jc w:val="both"/>
        <w:rPr>
          <w:rFonts w:ascii="Aptos" w:hAnsi="Aptos" w:cstheme="minorHAnsi"/>
          <w:color w:val="auto"/>
          <w:sz w:val="22"/>
          <w:szCs w:val="22"/>
        </w:rPr>
      </w:pPr>
      <w:r w:rsidRPr="00DB1E6E">
        <w:rPr>
          <w:rFonts w:ascii="Aptos" w:hAnsi="Aptos" w:cstheme="minorHAnsi"/>
          <w:color w:val="auto"/>
          <w:sz w:val="22"/>
          <w:szCs w:val="22"/>
        </w:rPr>
        <w:t xml:space="preserve">In Bezug zahlreiche Schadstoffe, wie beispielsweise PFAS, ist wissenschaftlich nach wie vor nicht ausreichend untersucht, welche Stoffe bzw. Zerfallsprodukte konkret problematisch werden. Bis in die Grundwasserkörper dringen vor allem kurzkettige, bereits oxidierte und dadurch besonders mobile PFAS vor. Vielfach stammen diese oxidativen Zerfallsprodukte von, bereits vor Jahrzehnten aus dem Verkehr gezogenen, Präkursor-Substanzen, die unter natürlichen Umweltbedingungen abgebaut werden, bis eine persistente perfluorierte Substanz zurückbleibt. Da diese besonders schwer kontrollierbaren Altlasten derzeit vorrangig in Grundwässern nachzuweisen sind, ist davon auszugehen, dass sich die Problematik in Anbetracht des seit Jahren rasant steigenden PFAS-Einsatzes noch steigern wird. </w:t>
      </w:r>
    </w:p>
    <w:p w14:paraId="520D559C" w14:textId="77777777" w:rsidR="00623AF8" w:rsidRPr="00DB1E6E" w:rsidRDefault="00623AF8" w:rsidP="00623AF8">
      <w:pPr>
        <w:pStyle w:val="Default"/>
        <w:spacing w:after="120"/>
        <w:jc w:val="both"/>
        <w:rPr>
          <w:rFonts w:ascii="Aptos" w:hAnsi="Aptos"/>
          <w:i/>
          <w:iCs/>
          <w:sz w:val="22"/>
          <w:szCs w:val="22"/>
        </w:rPr>
      </w:pPr>
      <w:r w:rsidRPr="00DB1E6E">
        <w:rPr>
          <w:rFonts w:ascii="Aptos" w:hAnsi="Aptos" w:cstheme="minorHAnsi"/>
          <w:color w:val="auto"/>
          <w:sz w:val="22"/>
          <w:szCs w:val="22"/>
        </w:rPr>
        <w:t xml:space="preserve">Die wissenschaftliche Erkenntnis, welche Schadstoffe bzw. Zerfallsprodukte konkret problematisch werden, hinkt den derzeit zugelassenen Stoffen stets hinterher. </w:t>
      </w:r>
      <w:r>
        <w:rPr>
          <w:rFonts w:ascii="Aptos" w:hAnsi="Aptos" w:cstheme="minorHAnsi"/>
          <w:color w:val="auto"/>
          <w:sz w:val="22"/>
          <w:szCs w:val="22"/>
        </w:rPr>
        <w:t xml:space="preserve">Teils reichen geringfügige Änderungen in den Stoffcharakteristika aus, um eine erneute Zulassung zu erhalten. Dadurch werden laufend neue potenziell schädliche Stoffe kreiert, von deren konkreter Schädlichkeit wir aber häufig erst lange Zeit später sicher wissen. </w:t>
      </w:r>
    </w:p>
    <w:p w14:paraId="649A3210" w14:textId="77777777" w:rsidR="00623AF8" w:rsidRPr="00C34E7A" w:rsidRDefault="00623AF8" w:rsidP="00623AF8">
      <w:pPr>
        <w:pStyle w:val="Default"/>
        <w:spacing w:after="120"/>
        <w:jc w:val="both"/>
        <w:rPr>
          <w:rFonts w:asciiTheme="minorHAnsi" w:hAnsiTheme="minorHAnsi" w:cstheme="minorHAnsi"/>
          <w:color w:val="auto"/>
          <w:sz w:val="22"/>
          <w:szCs w:val="22"/>
        </w:rPr>
      </w:pPr>
    </w:p>
    <w:p w14:paraId="0A7F7B57" w14:textId="77777777" w:rsidR="00623AF8" w:rsidRPr="007A1DB2" w:rsidRDefault="00623AF8" w:rsidP="00623AF8">
      <w:pPr>
        <w:spacing w:after="120"/>
        <w:jc w:val="both"/>
        <w:rPr>
          <w:rFonts w:ascii="Aptos" w:hAnsi="Aptos"/>
          <w:sz w:val="22"/>
          <w:szCs w:val="22"/>
        </w:rPr>
      </w:pPr>
    </w:p>
    <w:p w14:paraId="57AB5ED1" w14:textId="77777777" w:rsidR="00623AF8" w:rsidRDefault="00623AF8" w:rsidP="00623AF8">
      <w:pPr>
        <w:spacing w:after="120"/>
        <w:jc w:val="both"/>
        <w:rPr>
          <w:rFonts w:ascii="Aptos" w:hAnsi="Aptos"/>
          <w:i/>
          <w:iCs/>
          <w:sz w:val="22"/>
          <w:szCs w:val="22"/>
          <w:u w:val="single"/>
        </w:rPr>
      </w:pPr>
    </w:p>
    <w:p w14:paraId="64616A31" w14:textId="77777777" w:rsidR="00623AF8" w:rsidRPr="007A1DB2" w:rsidRDefault="00623AF8" w:rsidP="00623AF8">
      <w:pPr>
        <w:spacing w:after="120"/>
        <w:jc w:val="both"/>
        <w:rPr>
          <w:rFonts w:ascii="Aptos" w:hAnsi="Aptos"/>
          <w:i/>
          <w:iCs/>
          <w:sz w:val="22"/>
          <w:szCs w:val="22"/>
          <w:u w:val="single"/>
        </w:rPr>
        <w:sectPr w:rsidR="00623AF8" w:rsidRPr="007A1DB2" w:rsidSect="00034C8E">
          <w:pgSz w:w="11906" w:h="16838"/>
          <w:pgMar w:top="1871" w:right="1418" w:bottom="1134" w:left="1418" w:header="709" w:footer="510" w:gutter="0"/>
          <w:cols w:space="708"/>
          <w:docGrid w:linePitch="360"/>
        </w:sectPr>
      </w:pPr>
    </w:p>
    <w:p w14:paraId="0833B3B8" w14:textId="77777777" w:rsidR="00623AF8" w:rsidRPr="007A1DB2" w:rsidRDefault="00623AF8" w:rsidP="00623AF8">
      <w:pPr>
        <w:pStyle w:val="berschrift1"/>
        <w:rPr>
          <w:rFonts w:ascii="Aptos" w:hAnsi="Aptos"/>
          <w:sz w:val="22"/>
          <w:szCs w:val="22"/>
        </w:rPr>
      </w:pPr>
      <w:bookmarkStart w:id="55" w:name="_Toc165027665"/>
      <w:bookmarkStart w:id="56" w:name="_Toc170983655"/>
      <w:r>
        <w:rPr>
          <w:rFonts w:ascii="Aptos" w:hAnsi="Aptos"/>
          <w:sz w:val="22"/>
          <w:szCs w:val="22"/>
        </w:rPr>
        <w:lastRenderedPageBreak/>
        <w:t>Forcierung ökologischer Landwirtschaftsformen</w:t>
      </w:r>
      <w:bookmarkEnd w:id="55"/>
      <w:bookmarkEnd w:id="56"/>
    </w:p>
    <w:p w14:paraId="42824C1F"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27002E02" w14:textId="77777777" w:rsidTr="00875DD0">
        <w:tc>
          <w:tcPr>
            <w:tcW w:w="9060" w:type="dxa"/>
            <w:shd w:val="clear" w:color="auto" w:fill="D9D9D9" w:themeFill="background1" w:themeFillShade="D9"/>
          </w:tcPr>
          <w:p w14:paraId="1BAF1688"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7303F6BD" w14:textId="77777777" w:rsidTr="00875DD0">
        <w:tc>
          <w:tcPr>
            <w:tcW w:w="9060" w:type="dxa"/>
          </w:tcPr>
          <w:p w14:paraId="4CF1CAF5" w14:textId="77777777" w:rsidR="00623AF8" w:rsidRPr="007A1DB2" w:rsidRDefault="00623AF8" w:rsidP="00875DD0">
            <w:pPr>
              <w:spacing w:before="120" w:after="120"/>
              <w:jc w:val="both"/>
              <w:rPr>
                <w:rFonts w:ascii="Aptos" w:hAnsi="Aptos"/>
                <w:sz w:val="22"/>
                <w:szCs w:val="22"/>
              </w:rPr>
            </w:pPr>
            <w:r>
              <w:rPr>
                <w:rFonts w:ascii="Aptos" w:hAnsi="Aptos"/>
                <w:sz w:val="22"/>
                <w:szCs w:val="22"/>
              </w:rPr>
              <w:t>Das Landschaftsbild Europas wird durch landwirtschaftlich genutzte Böden geprägt. Die Agrarwirtschaft zählt zu den größten Wirtschaftszweigen in der EU und fast ein Drittel des gesamten EU-Budgets entfällt auf die Gemeinsame Agrarpolitik. Gleichzeitig ist der Agrarsektor für rund ein Viertel der gesamten Wasserentnahmen in der EU verantwortlich und die nach wie vor dominierenden konventionellen Bewirtschaftungsformen haben massive negative Auswirkungen auf Biodiversität, Böden und Wasserressourcen. Mit den für den Budgetrahmen 2023-2027 eingeführten Öko-Regelungen und der Vorgabe, 25 % der Direktmittel an diese zu binden, wurde schließlich ein stärkerer Anreiz für klima- und umweltfreundlichere Landbaumethoden geschaffen</w:t>
            </w:r>
            <w:r w:rsidRPr="0046389C">
              <w:rPr>
                <w:rFonts w:ascii="Aptos" w:hAnsi="Aptos"/>
                <w:b/>
                <w:bCs/>
                <w:sz w:val="22"/>
                <w:szCs w:val="22"/>
              </w:rPr>
              <w:t>. Inwiefern werden Sie sich dafür einsetzen, dass dieser Prozentsatz im nächsten Budgetrahmen erhöht wird und der Übergang zu einer ökologischen Landwirtschaft forciert wird?</w:t>
            </w:r>
          </w:p>
        </w:tc>
      </w:tr>
      <w:tr w:rsidR="00623AF8" w:rsidRPr="007A1DB2" w14:paraId="5BAD32EE" w14:textId="77777777" w:rsidTr="00875DD0">
        <w:tc>
          <w:tcPr>
            <w:tcW w:w="9060" w:type="dxa"/>
            <w:shd w:val="clear" w:color="auto" w:fill="D9D9D9" w:themeFill="background1" w:themeFillShade="D9"/>
          </w:tcPr>
          <w:p w14:paraId="7A1D936A"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597DEBE1" w14:textId="77777777" w:rsidTr="00875DD0">
        <w:tc>
          <w:tcPr>
            <w:tcW w:w="9060" w:type="dxa"/>
          </w:tcPr>
          <w:p w14:paraId="1E87C42E" w14:textId="51BC2A9E" w:rsidR="00623AF8" w:rsidRPr="007D3E21" w:rsidRDefault="00623AF8" w:rsidP="00F63BE8">
            <w:pPr>
              <w:pStyle w:val="Listenabsatz"/>
              <w:numPr>
                <w:ilvl w:val="0"/>
                <w:numId w:val="2"/>
              </w:numPr>
              <w:spacing w:before="120" w:after="120"/>
              <w:jc w:val="both"/>
              <w:rPr>
                <w:rFonts w:ascii="Aptos" w:hAnsi="Aptos"/>
                <w:sz w:val="22"/>
                <w:szCs w:val="22"/>
              </w:rPr>
            </w:pPr>
            <w:r w:rsidRPr="007D3E21">
              <w:rPr>
                <w:rFonts w:ascii="Aptos" w:hAnsi="Aptos"/>
                <w:sz w:val="22"/>
                <w:szCs w:val="22"/>
              </w:rPr>
              <w:t>Planen Sie weitere Maßnahmen, um einen Shift hin zu ökologischer Landwirtschaft zu forcieren bzw. die Reduktion negativer Einflüsse auf die Umwelt und Wasserkörper durch konventionelle Landwirtschaft voranzutreiben?</w:t>
            </w:r>
          </w:p>
        </w:tc>
      </w:tr>
    </w:tbl>
    <w:p w14:paraId="4ECF0867" w14:textId="77777777" w:rsidR="00623AF8" w:rsidRPr="007A1DB2" w:rsidRDefault="00623AF8" w:rsidP="00623AF8">
      <w:pPr>
        <w:spacing w:after="120"/>
        <w:jc w:val="both"/>
        <w:rPr>
          <w:rFonts w:ascii="Aptos" w:hAnsi="Aptos"/>
          <w:i/>
          <w:iCs/>
          <w:sz w:val="22"/>
          <w:szCs w:val="22"/>
          <w:u w:val="single"/>
        </w:rPr>
      </w:pPr>
    </w:p>
    <w:p w14:paraId="0C5BDF77" w14:textId="64C72393" w:rsidR="008736ED" w:rsidRPr="00C57722" w:rsidRDefault="008736ED" w:rsidP="008736ED">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5BD03E4E" w14:textId="77777777" w:rsidR="00623AF8" w:rsidRDefault="00623AF8" w:rsidP="00623AF8">
      <w:pPr>
        <w:spacing w:after="120"/>
        <w:jc w:val="both"/>
        <w:rPr>
          <w:rFonts w:ascii="Aptos" w:hAnsi="Aptos"/>
          <w:iCs/>
          <w:sz w:val="22"/>
          <w:szCs w:val="22"/>
        </w:rPr>
      </w:pPr>
      <w:r>
        <w:rPr>
          <w:rFonts w:ascii="Aptos" w:hAnsi="Aptos"/>
          <w:iCs/>
          <w:sz w:val="22"/>
          <w:szCs w:val="22"/>
        </w:rPr>
        <w:t>Insgesamt 39 % der Böden in der EU werden landwirtschaftlich genutzt. Mit 10 Millionen Landwirten und 40 Millionen Arbeitsplätzen in der Lebensmittelkette zählt der Agrar- und Lebensmittelsektor zu den stärksten Wirtschaftszweigen in der EU.  Im derzeitigen Finanzrahmen entfallen 31 % des EU-Haushalts auf die Gemeinsame Agrarpolitik (GAP).</w:t>
      </w:r>
    </w:p>
    <w:p w14:paraId="5EF32F0B" w14:textId="77777777" w:rsidR="00623AF8" w:rsidRDefault="00623AF8" w:rsidP="00623AF8">
      <w:pPr>
        <w:spacing w:after="120"/>
        <w:jc w:val="both"/>
        <w:rPr>
          <w:rFonts w:ascii="Aptos" w:hAnsi="Aptos"/>
          <w:iCs/>
          <w:sz w:val="22"/>
          <w:szCs w:val="22"/>
        </w:rPr>
      </w:pPr>
      <w:r>
        <w:rPr>
          <w:rFonts w:ascii="Aptos" w:hAnsi="Aptos"/>
          <w:iCs/>
          <w:sz w:val="22"/>
          <w:szCs w:val="22"/>
        </w:rPr>
        <w:t xml:space="preserve">In einem Sonderbericht (20/2021) stellte der Europäische Rechnungshof 2021 fest, dass die GAP-Mittel eher eine stärkere als effizientere, nachhaltige Wassernutzung fördern. Rund ein Viertel der gesamten Wasserentnahmen in der EU entfallen auf den Agrarsektor. </w:t>
      </w:r>
      <w:r>
        <w:rPr>
          <w:rFonts w:ascii="Aptos" w:hAnsi="Aptos"/>
          <w:sz w:val="22"/>
          <w:szCs w:val="22"/>
        </w:rPr>
        <w:t>Insbesondere die konventionelle Landwirtschaft hat außerdem – etwa durch Nitrateinträge oder die Verwendung von Pestiziden – massive Auswirkungen auf die Biodiversität sowie auf die Qualität von Böden und Grundwasserkörpern.</w:t>
      </w:r>
    </w:p>
    <w:p w14:paraId="3260AABD" w14:textId="77777777" w:rsidR="00623AF8" w:rsidRDefault="00623AF8" w:rsidP="00623AF8">
      <w:pPr>
        <w:spacing w:after="120"/>
        <w:jc w:val="both"/>
        <w:rPr>
          <w:rFonts w:ascii="Aptos" w:hAnsi="Aptos"/>
          <w:iCs/>
          <w:sz w:val="22"/>
          <w:szCs w:val="22"/>
        </w:rPr>
      </w:pPr>
      <w:r>
        <w:rPr>
          <w:rFonts w:ascii="Aptos" w:hAnsi="Aptos"/>
          <w:iCs/>
          <w:sz w:val="22"/>
          <w:szCs w:val="22"/>
        </w:rPr>
        <w:t>In der aktuellen Budgetperiode 2023-2027 wurden schließlich „Öko-Regelungen“ als ein neues Element der GAP eingeführt, um Bewirtschaftungsmethoden mit möglichst geringen negativen Auswirkungen auf die Umwelt und das Klima sowie die Entwicklung von nachhaltigeren Betriebsmodellen zu forcieren. Im Zeitraum 2023-2027 müssen 25% der Direktzahlungen aus den Budgetmitteln der GAP an die Öko-Regelungen angepasst werden. Der Widerstand aus der Landwirtschaft gegen diese Vorgaben ist jedoch beträchtlich.</w:t>
      </w:r>
    </w:p>
    <w:p w14:paraId="4182E429" w14:textId="77777777" w:rsidR="00623AF8" w:rsidRPr="00B367E8" w:rsidRDefault="00623AF8" w:rsidP="00F63BE8">
      <w:pPr>
        <w:pStyle w:val="Listenabsatz"/>
        <w:numPr>
          <w:ilvl w:val="0"/>
          <w:numId w:val="3"/>
        </w:numPr>
        <w:spacing w:after="120"/>
        <w:jc w:val="both"/>
        <w:rPr>
          <w:rFonts w:ascii="Aptos" w:hAnsi="Aptos"/>
          <w:iCs/>
          <w:sz w:val="22"/>
          <w:szCs w:val="22"/>
        </w:rPr>
        <w:sectPr w:rsidR="00623AF8" w:rsidRPr="00B367E8" w:rsidSect="00034C8E">
          <w:pgSz w:w="11906" w:h="16838"/>
          <w:pgMar w:top="1871" w:right="1418" w:bottom="1134" w:left="1418" w:header="709" w:footer="510" w:gutter="0"/>
          <w:cols w:space="708"/>
          <w:docGrid w:linePitch="360"/>
        </w:sectPr>
      </w:pPr>
    </w:p>
    <w:p w14:paraId="5577C805" w14:textId="77777777" w:rsidR="00623AF8" w:rsidRPr="007A1DB2" w:rsidRDefault="00623AF8" w:rsidP="00623AF8">
      <w:pPr>
        <w:pStyle w:val="berschrift1"/>
        <w:rPr>
          <w:rFonts w:ascii="Aptos" w:hAnsi="Aptos"/>
          <w:sz w:val="22"/>
          <w:szCs w:val="22"/>
        </w:rPr>
      </w:pPr>
      <w:bookmarkStart w:id="57" w:name="_Toc165027666"/>
      <w:bookmarkStart w:id="58" w:name="_Toc170983656"/>
      <w:r w:rsidRPr="007A1DB2">
        <w:rPr>
          <w:rFonts w:ascii="Aptos" w:hAnsi="Aptos"/>
          <w:sz w:val="22"/>
          <w:szCs w:val="22"/>
        </w:rPr>
        <w:lastRenderedPageBreak/>
        <w:t>Reduktion von Leitungsverlusten – Qualitätsmanagement &amp; Benchmarks</w:t>
      </w:r>
      <w:bookmarkEnd w:id="57"/>
      <w:bookmarkEnd w:id="58"/>
    </w:p>
    <w:p w14:paraId="6F413A76"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477A6C6D" w14:textId="77777777" w:rsidTr="00875DD0">
        <w:tc>
          <w:tcPr>
            <w:tcW w:w="9060" w:type="dxa"/>
            <w:shd w:val="clear" w:color="auto" w:fill="D9D9D9" w:themeFill="background1" w:themeFillShade="D9"/>
          </w:tcPr>
          <w:p w14:paraId="346CA81F"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 xml:space="preserve">Frage </w:t>
            </w:r>
          </w:p>
        </w:tc>
      </w:tr>
      <w:tr w:rsidR="00623AF8" w:rsidRPr="007A1DB2" w14:paraId="716CA6EC" w14:textId="77777777" w:rsidTr="00875DD0">
        <w:tc>
          <w:tcPr>
            <w:tcW w:w="9060" w:type="dxa"/>
          </w:tcPr>
          <w:p w14:paraId="3E9E7028" w14:textId="77777777" w:rsidR="00623AF8" w:rsidRPr="007A1DB2" w:rsidRDefault="00623AF8" w:rsidP="00875DD0">
            <w:pPr>
              <w:spacing w:before="120"/>
              <w:jc w:val="both"/>
              <w:rPr>
                <w:rFonts w:ascii="Aptos" w:hAnsi="Aptos"/>
                <w:bCs/>
                <w:sz w:val="22"/>
                <w:szCs w:val="22"/>
              </w:rPr>
            </w:pPr>
            <w:r w:rsidRPr="007A1DB2">
              <w:rPr>
                <w:rFonts w:ascii="Aptos" w:hAnsi="Aptos"/>
                <w:bCs/>
                <w:sz w:val="22"/>
                <w:szCs w:val="22"/>
              </w:rPr>
              <w:t xml:space="preserve">Vor dem Hintergrund der klimawandelbedingten und zunehmenden Wasserverknappung ist es mehr denn je nötig, </w:t>
            </w:r>
            <w:r>
              <w:rPr>
                <w:rFonts w:ascii="Aptos" w:hAnsi="Aptos"/>
                <w:bCs/>
                <w:sz w:val="22"/>
                <w:szCs w:val="22"/>
              </w:rPr>
              <w:t>nach einer möglichst ressourcenschonenden, aber auch kosten- und energieeffizienten Nutzung von Wasser zu streben</w:t>
            </w:r>
            <w:r w:rsidRPr="007A1DB2">
              <w:rPr>
                <w:rFonts w:ascii="Aptos" w:hAnsi="Aptos"/>
                <w:bCs/>
                <w:sz w:val="22"/>
                <w:szCs w:val="22"/>
              </w:rPr>
              <w:t xml:space="preserve">. Diesem Ziel stehen die nach wie vor beträchtlichen </w:t>
            </w:r>
            <w:r>
              <w:rPr>
                <w:rFonts w:ascii="Aptos" w:hAnsi="Aptos"/>
                <w:bCs/>
                <w:sz w:val="22"/>
                <w:szCs w:val="22"/>
              </w:rPr>
              <w:t>Leitungsverluste in vielen Regionen</w:t>
            </w:r>
            <w:r w:rsidRPr="007A1DB2">
              <w:rPr>
                <w:rFonts w:ascii="Aptos" w:hAnsi="Aptos"/>
                <w:bCs/>
                <w:sz w:val="22"/>
                <w:szCs w:val="22"/>
              </w:rPr>
              <w:t xml:space="preserve"> entgegen</w:t>
            </w:r>
            <w:r>
              <w:rPr>
                <w:rFonts w:ascii="Aptos" w:hAnsi="Aptos"/>
                <w:bCs/>
                <w:sz w:val="22"/>
                <w:szCs w:val="22"/>
              </w:rPr>
              <w:t xml:space="preserve">. </w:t>
            </w:r>
            <w:r w:rsidRPr="007A1DB2">
              <w:rPr>
                <w:rFonts w:ascii="Aptos" w:hAnsi="Aptos"/>
                <w:bCs/>
                <w:sz w:val="22"/>
                <w:szCs w:val="22"/>
              </w:rPr>
              <w:t xml:space="preserve">Die Trinkwasser-Richtlinie (EU 2020/2184) sieht vor, dass alle Mitgliedstaaten die Höhe der Wasserverluste in ihrem Hoheitsgebiet bewerten und senken, sofern sie einen bestimmten, von der EU-Kommission mittels delegiertem Rechtsakt festzulegenden, Grenzwert überschreiten. </w:t>
            </w:r>
          </w:p>
          <w:p w14:paraId="5F419136" w14:textId="77777777" w:rsidR="00623AF8" w:rsidRPr="007A1DB2" w:rsidRDefault="00623AF8" w:rsidP="00875DD0">
            <w:pPr>
              <w:spacing w:after="120"/>
              <w:jc w:val="both"/>
              <w:rPr>
                <w:rFonts w:ascii="Aptos" w:hAnsi="Aptos"/>
                <w:b/>
                <w:sz w:val="22"/>
                <w:szCs w:val="22"/>
              </w:rPr>
            </w:pPr>
            <w:r w:rsidRPr="007A1DB2">
              <w:rPr>
                <w:rFonts w:ascii="Aptos" w:hAnsi="Aptos"/>
                <w:b/>
                <w:sz w:val="22"/>
                <w:szCs w:val="22"/>
              </w:rPr>
              <w:t xml:space="preserve">Inwieweit gedenken Sie als designierte:r EU-Kommissar:in die Wasserversorgungsunternehmen in den betroffenen Mitgliedstaaten und darüber hinaus bei der Reduktion von </w:t>
            </w:r>
            <w:r>
              <w:rPr>
                <w:rFonts w:ascii="Aptos" w:hAnsi="Aptos"/>
                <w:b/>
                <w:sz w:val="22"/>
                <w:szCs w:val="22"/>
              </w:rPr>
              <w:t>Leitungsverlusten</w:t>
            </w:r>
            <w:r w:rsidRPr="007A1DB2">
              <w:rPr>
                <w:rFonts w:ascii="Aptos" w:hAnsi="Aptos"/>
                <w:b/>
                <w:sz w:val="22"/>
                <w:szCs w:val="22"/>
              </w:rPr>
              <w:t xml:space="preserve"> konkret zu unterstützen?</w:t>
            </w:r>
          </w:p>
        </w:tc>
      </w:tr>
      <w:tr w:rsidR="00623AF8" w:rsidRPr="007A1DB2" w14:paraId="44791575" w14:textId="77777777" w:rsidTr="00875DD0">
        <w:tc>
          <w:tcPr>
            <w:tcW w:w="9060" w:type="dxa"/>
            <w:shd w:val="clear" w:color="auto" w:fill="D9D9D9" w:themeFill="background1" w:themeFillShade="D9"/>
          </w:tcPr>
          <w:p w14:paraId="704C918F"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4A2B19AD" w14:textId="77777777" w:rsidTr="00875DD0">
        <w:tc>
          <w:tcPr>
            <w:tcW w:w="9060" w:type="dxa"/>
          </w:tcPr>
          <w:p w14:paraId="743902BE" w14:textId="22942289" w:rsidR="00623AF8" w:rsidRPr="007D3E21" w:rsidRDefault="00623AF8" w:rsidP="00F63BE8">
            <w:pPr>
              <w:pStyle w:val="Listenabsatz"/>
              <w:numPr>
                <w:ilvl w:val="0"/>
                <w:numId w:val="2"/>
              </w:numPr>
              <w:spacing w:before="120" w:after="120"/>
              <w:jc w:val="both"/>
              <w:rPr>
                <w:rFonts w:ascii="Aptos" w:hAnsi="Aptos"/>
                <w:iCs/>
                <w:sz w:val="22"/>
                <w:szCs w:val="22"/>
              </w:rPr>
            </w:pPr>
            <w:r w:rsidRPr="007D3E21">
              <w:rPr>
                <w:rFonts w:ascii="Aptos" w:hAnsi="Aptos"/>
                <w:iCs/>
                <w:sz w:val="22"/>
                <w:szCs w:val="22"/>
              </w:rPr>
              <w:t>Wie stellen Sie sich ein sinnvolles Qualitätsmanagement für die kontinuierliche Reduktion von Leitungsverlusten in den EU-Mitgliedstaaten vor und was sind die geplanten Benchmarks?</w:t>
            </w:r>
          </w:p>
        </w:tc>
      </w:tr>
    </w:tbl>
    <w:p w14:paraId="7284D5FD" w14:textId="77777777" w:rsidR="00623AF8" w:rsidRPr="007A1DB2" w:rsidRDefault="00623AF8" w:rsidP="00623AF8">
      <w:pPr>
        <w:spacing w:after="120"/>
        <w:jc w:val="both"/>
        <w:rPr>
          <w:rFonts w:ascii="Aptos" w:hAnsi="Aptos"/>
          <w:i/>
          <w:iCs/>
          <w:sz w:val="22"/>
          <w:szCs w:val="22"/>
          <w:u w:val="single"/>
        </w:rPr>
      </w:pPr>
    </w:p>
    <w:p w14:paraId="68367EBA" w14:textId="50A07831" w:rsidR="008736ED" w:rsidRPr="00C57722" w:rsidRDefault="008736ED" w:rsidP="008736ED">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71BE8A85" w14:textId="46ACA4AE" w:rsidR="00623AF8" w:rsidRPr="0008303F" w:rsidRDefault="00623AF8" w:rsidP="00623AF8">
      <w:pPr>
        <w:pStyle w:val="StandardWeb"/>
        <w:spacing w:before="0" w:beforeAutospacing="0" w:after="120" w:afterAutospacing="0"/>
        <w:jc w:val="both"/>
        <w:rPr>
          <w:rFonts w:ascii="Aptos" w:hAnsi="Aptos"/>
          <w:sz w:val="22"/>
          <w:szCs w:val="22"/>
        </w:rPr>
      </w:pPr>
      <w:r w:rsidRPr="0008303F">
        <w:rPr>
          <w:rFonts w:ascii="Aptos" w:hAnsi="Aptos"/>
          <w:bCs/>
          <w:sz w:val="22"/>
          <w:szCs w:val="22"/>
        </w:rPr>
        <w:t>Entsprechend den Vorgaben in Art. 4 (3) in der Trinkwasser-Richtlinie (2020/2184) müssen die EU-Mitgliedstaaten bis Jänner 2026 eine Bewertung der Höhe der Wasserverluste in ihrem Hoheitsgebiet sowie Verbesserungsmöglichkeiten bei deren Reduzierung durchführen und an die E</w:t>
      </w:r>
      <w:r>
        <w:rPr>
          <w:rFonts w:ascii="Aptos" w:hAnsi="Aptos"/>
          <w:bCs/>
          <w:sz w:val="22"/>
          <w:szCs w:val="22"/>
        </w:rPr>
        <w:t>U-Kommission</w:t>
      </w:r>
      <w:r w:rsidRPr="0008303F">
        <w:rPr>
          <w:rFonts w:ascii="Aptos" w:hAnsi="Aptos"/>
          <w:bCs/>
          <w:sz w:val="22"/>
          <w:szCs w:val="22"/>
        </w:rPr>
        <w:t xml:space="preserve"> übermitteln. </w:t>
      </w:r>
      <w:r w:rsidRPr="0008303F">
        <w:rPr>
          <w:rFonts w:ascii="Aptos" w:hAnsi="Aptos"/>
          <w:sz w:val="22"/>
          <w:szCs w:val="22"/>
        </w:rPr>
        <w:t xml:space="preserve">Diese Bewertungen betreffen Wasserversorger, die mindestens 10.000 m³ pro Tag liefern oder 50.000 Menschen versorgen. </w:t>
      </w:r>
      <w:r w:rsidRPr="0008303F">
        <w:rPr>
          <w:rFonts w:ascii="Aptos" w:hAnsi="Aptos"/>
          <w:bCs/>
          <w:sz w:val="22"/>
          <w:szCs w:val="22"/>
        </w:rPr>
        <w:t xml:space="preserve">Auf Basis der nationalen Bewertungen wird die EU-Kommission bis Jänner 2028 in einem delegierten Rechtsakt einen Schwellenwert festlegen, </w:t>
      </w:r>
      <w:r w:rsidRPr="0008303F">
        <w:rPr>
          <w:rFonts w:ascii="Aptos" w:hAnsi="Aptos"/>
          <w:sz w:val="22"/>
          <w:szCs w:val="22"/>
        </w:rPr>
        <w:t>bei dessen Überschreitung Mitgliedstaaten Aktionspläne zur Leckageverringerung vorlegen müssen. Diese Pläne müssen bis Januar 2030 erstellt sein.</w:t>
      </w:r>
    </w:p>
    <w:p w14:paraId="35D4F672" w14:textId="77777777" w:rsidR="00623AF8" w:rsidRPr="0008303F" w:rsidRDefault="00623AF8" w:rsidP="00623AF8">
      <w:pPr>
        <w:spacing w:after="120"/>
        <w:jc w:val="both"/>
        <w:rPr>
          <w:rFonts w:ascii="Aptos" w:hAnsi="Aptos"/>
          <w:bCs/>
          <w:sz w:val="22"/>
          <w:szCs w:val="22"/>
          <w:u w:val="single"/>
        </w:rPr>
      </w:pPr>
      <w:r>
        <w:rPr>
          <w:rFonts w:ascii="Aptos" w:hAnsi="Aptos"/>
          <w:sz w:val="22"/>
          <w:szCs w:val="22"/>
        </w:rPr>
        <w:t xml:space="preserve">Um einen </w:t>
      </w:r>
      <w:r w:rsidRPr="0008303F">
        <w:rPr>
          <w:rFonts w:ascii="Aptos" w:hAnsi="Aptos"/>
          <w:sz w:val="22"/>
          <w:szCs w:val="22"/>
        </w:rPr>
        <w:t>aussagekräftigen EU-Durchschnitt zu berechnen</w:t>
      </w:r>
      <w:r>
        <w:rPr>
          <w:rFonts w:ascii="Aptos" w:hAnsi="Aptos"/>
          <w:sz w:val="22"/>
          <w:szCs w:val="22"/>
        </w:rPr>
        <w:t xml:space="preserve"> und die Situation in den Mitgliedstaaten vergleichen zu können, ist es unbedingt erforderlich, dass die EU-Kommission von allen Mitgliedstaaten vergleichbare Daten erhält.</w:t>
      </w:r>
      <w:r w:rsidRPr="0008303F">
        <w:rPr>
          <w:rFonts w:ascii="Aptos" w:hAnsi="Aptos"/>
          <w:sz w:val="22"/>
          <w:szCs w:val="22"/>
        </w:rPr>
        <w:t xml:space="preserve"> Beim gegenwärtigen Stand der Dinge unterscheiden sich die Methoden der Berichterstattung über Leckagen von Mitgliedstaat zu Mitgliedstaat und in einigen Fällen auch von Region zu Region desselben Mitgliedstaates: Einige melden volumetrische Zahlen (</w:t>
      </w:r>
      <w:r>
        <w:rPr>
          <w:rFonts w:ascii="Aptos" w:hAnsi="Aptos"/>
          <w:sz w:val="22"/>
          <w:szCs w:val="22"/>
        </w:rPr>
        <w:t>z.B.</w:t>
      </w:r>
      <w:r w:rsidRPr="0008303F">
        <w:rPr>
          <w:rFonts w:ascii="Aptos" w:hAnsi="Aptos"/>
          <w:sz w:val="22"/>
          <w:szCs w:val="22"/>
        </w:rPr>
        <w:t xml:space="preserve"> m3/km/Jahr oder m3/Anschluss/Jahr), andere prozentuale Zahlen (ausgedrückt in % des in das Verteilungssystem eingeleiteten Wassers), während andere den ILI</w:t>
      </w:r>
      <w:r>
        <w:rPr>
          <w:rFonts w:ascii="Aptos" w:hAnsi="Aptos"/>
          <w:sz w:val="22"/>
          <w:szCs w:val="22"/>
        </w:rPr>
        <w:t xml:space="preserve"> (Infrastructure Leakage Index)</w:t>
      </w:r>
      <w:r w:rsidRPr="0008303F">
        <w:rPr>
          <w:rFonts w:ascii="Aptos" w:hAnsi="Aptos"/>
          <w:sz w:val="22"/>
          <w:szCs w:val="22"/>
        </w:rPr>
        <w:t xml:space="preserve"> verwenden. </w:t>
      </w:r>
      <w:r>
        <w:rPr>
          <w:rFonts w:ascii="Aptos" w:hAnsi="Aptos"/>
          <w:sz w:val="22"/>
          <w:szCs w:val="22"/>
        </w:rPr>
        <w:t>Da es keine robuste Korrelation zwischen diesen verschiedenen Indizes gibt, ist es absolut notwendig, einen harmonisierten Leckage-Index zu vereinbaren, der auch von allen Mitgliedstaaten umgesetzt werden kann.</w:t>
      </w:r>
    </w:p>
    <w:p w14:paraId="45FF3D12" w14:textId="77777777" w:rsidR="00623AF8" w:rsidRPr="0008303F" w:rsidRDefault="00623AF8" w:rsidP="00623AF8">
      <w:pPr>
        <w:spacing w:after="120"/>
        <w:jc w:val="both"/>
        <w:rPr>
          <w:rFonts w:ascii="Aptos" w:hAnsi="Aptos"/>
          <w:bCs/>
          <w:sz w:val="22"/>
          <w:szCs w:val="22"/>
        </w:rPr>
      </w:pPr>
      <w:r>
        <w:rPr>
          <w:rFonts w:ascii="Aptos" w:hAnsi="Aptos"/>
          <w:bCs/>
          <w:sz w:val="22"/>
          <w:szCs w:val="22"/>
        </w:rPr>
        <w:t>Abgesehen von der Notwendigkeit einer harmonisierten Mess- und Bewertungsmethode werden die Mitgliedstaaten – und insbesondere die Wasserversorgungsunternehmen – Unterstützung benötigen, um die nationalen Aktionspläne umzusetzen und Leitungsverluste effektiv zu reduzieren.</w:t>
      </w:r>
    </w:p>
    <w:p w14:paraId="18B3DA26" w14:textId="007BDD4E" w:rsidR="00623AF8" w:rsidRPr="003D2F12" w:rsidRDefault="00623AF8" w:rsidP="003D2F12">
      <w:pPr>
        <w:spacing w:after="120"/>
        <w:jc w:val="both"/>
        <w:rPr>
          <w:rFonts w:ascii="Aptos" w:hAnsi="Aptos"/>
          <w:bCs/>
          <w:sz w:val="22"/>
          <w:szCs w:val="22"/>
        </w:rPr>
        <w:sectPr w:rsidR="00623AF8" w:rsidRPr="003D2F12" w:rsidSect="00034C8E">
          <w:pgSz w:w="11906" w:h="16838"/>
          <w:pgMar w:top="1871" w:right="1418" w:bottom="1134" w:left="1418" w:header="709" w:footer="510" w:gutter="0"/>
          <w:cols w:space="708"/>
          <w:docGrid w:linePitch="360"/>
        </w:sectPr>
      </w:pPr>
      <w:r>
        <w:rPr>
          <w:rFonts w:ascii="Aptos" w:hAnsi="Aptos"/>
          <w:bCs/>
          <w:sz w:val="22"/>
          <w:szCs w:val="22"/>
        </w:rPr>
        <w:t>Zuletzt sollte auch bedacht werden, dass die</w:t>
      </w:r>
      <w:r w:rsidRPr="0008303F">
        <w:rPr>
          <w:rFonts w:ascii="Aptos" w:hAnsi="Aptos"/>
          <w:bCs/>
          <w:sz w:val="22"/>
          <w:szCs w:val="22"/>
        </w:rPr>
        <w:t xml:space="preserve"> Verringerung von Leckagen nur eines von mehreren </w:t>
      </w:r>
      <w:r>
        <w:rPr>
          <w:rFonts w:ascii="Aptos" w:hAnsi="Aptos"/>
          <w:bCs/>
          <w:sz w:val="22"/>
          <w:szCs w:val="22"/>
        </w:rPr>
        <w:t xml:space="preserve">verfügbaren </w:t>
      </w:r>
      <w:r w:rsidRPr="0008303F">
        <w:rPr>
          <w:rFonts w:ascii="Aptos" w:hAnsi="Aptos"/>
          <w:bCs/>
          <w:sz w:val="22"/>
          <w:szCs w:val="22"/>
        </w:rPr>
        <w:t>Instrumenten</w:t>
      </w:r>
      <w:r>
        <w:rPr>
          <w:rFonts w:ascii="Aptos" w:hAnsi="Aptos"/>
          <w:bCs/>
          <w:sz w:val="22"/>
          <w:szCs w:val="22"/>
        </w:rPr>
        <w:t xml:space="preserve"> ist</w:t>
      </w:r>
      <w:r w:rsidRPr="0008303F">
        <w:rPr>
          <w:rFonts w:ascii="Aptos" w:hAnsi="Aptos"/>
          <w:bCs/>
          <w:sz w:val="22"/>
          <w:szCs w:val="22"/>
        </w:rPr>
        <w:t xml:space="preserve">, um das Problem der Wasserknappheit anzugehen. </w:t>
      </w:r>
    </w:p>
    <w:p w14:paraId="029E2C49" w14:textId="07F857DE" w:rsidR="00623AF8" w:rsidRPr="00061F1A" w:rsidRDefault="00623AF8" w:rsidP="00061F1A">
      <w:pPr>
        <w:pStyle w:val="berschrift1"/>
        <w:spacing w:after="240"/>
        <w:rPr>
          <w:rFonts w:ascii="Aptos" w:hAnsi="Aptos"/>
          <w:sz w:val="22"/>
          <w:szCs w:val="22"/>
        </w:rPr>
      </w:pPr>
      <w:bookmarkStart w:id="59" w:name="_Toc165027667"/>
      <w:bookmarkStart w:id="60" w:name="_Toc170983657"/>
      <w:r w:rsidRPr="007A1DB2">
        <w:rPr>
          <w:rFonts w:ascii="Aptos" w:hAnsi="Aptos"/>
          <w:sz w:val="22"/>
          <w:szCs w:val="22"/>
        </w:rPr>
        <w:lastRenderedPageBreak/>
        <w:t>Reduktion von Leitungsverlusten – nachhaltige Investitionen</w:t>
      </w:r>
      <w:bookmarkEnd w:id="59"/>
      <w:bookmarkEnd w:id="60"/>
    </w:p>
    <w:tbl>
      <w:tblPr>
        <w:tblStyle w:val="Tabellenraster"/>
        <w:tblW w:w="0" w:type="auto"/>
        <w:tblLook w:val="04A0" w:firstRow="1" w:lastRow="0" w:firstColumn="1" w:lastColumn="0" w:noHBand="0" w:noVBand="1"/>
      </w:tblPr>
      <w:tblGrid>
        <w:gridCol w:w="9060"/>
      </w:tblGrid>
      <w:tr w:rsidR="00623AF8" w:rsidRPr="007A1DB2" w14:paraId="1B9F82B9" w14:textId="77777777" w:rsidTr="00875DD0">
        <w:tc>
          <w:tcPr>
            <w:tcW w:w="9060" w:type="dxa"/>
            <w:shd w:val="clear" w:color="auto" w:fill="D9D9D9" w:themeFill="background1" w:themeFillShade="D9"/>
          </w:tcPr>
          <w:p w14:paraId="09159270"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 xml:space="preserve">Frage </w:t>
            </w:r>
          </w:p>
        </w:tc>
      </w:tr>
      <w:tr w:rsidR="00623AF8" w:rsidRPr="007A1DB2" w14:paraId="26ABCC50" w14:textId="77777777" w:rsidTr="00875DD0">
        <w:tc>
          <w:tcPr>
            <w:tcW w:w="9060" w:type="dxa"/>
          </w:tcPr>
          <w:p w14:paraId="5166A7DF" w14:textId="77777777" w:rsidR="00623AF8" w:rsidRPr="007A1DB2" w:rsidRDefault="00623AF8" w:rsidP="00875DD0">
            <w:pPr>
              <w:spacing w:before="120"/>
              <w:jc w:val="both"/>
              <w:rPr>
                <w:rFonts w:ascii="Aptos" w:hAnsi="Aptos"/>
                <w:bCs/>
                <w:sz w:val="22"/>
                <w:szCs w:val="22"/>
              </w:rPr>
            </w:pPr>
            <w:r w:rsidRPr="007A1DB2">
              <w:rPr>
                <w:rFonts w:ascii="Aptos" w:hAnsi="Aptos"/>
                <w:bCs/>
                <w:sz w:val="22"/>
                <w:szCs w:val="22"/>
              </w:rPr>
              <w:t>Angesichts des voranschreitenden Klimawandels ist Wasserresilienz ein Thema von äußerster Relevanz. Die nach wie vor hohen Trinkwasserverluste über die Leitungsnetze stehen nicht nur konträr zum Ziel einer nachhaltigen und ressourcenschonenden Nutzung, sondern gefährden auch die Versorgungssicherheit mit dem knapper werdenden und wertvollen Gut Wasser. Eine nachhaltige Reduktion von Leitungsverlusten erfordert enorme Investitionen. Gleichzeitig zeigen Beispiele von Privatisierungen im Wassersektor, dass gewinnorientierte Wasserversorgungsunternehmen langfristige Investitionen in Leitungsnetze nicht bzw. nur zögerlich tätigen und die Kosten zugunsten von Unternehmensgewinnen an die Bürger:innen weitergeben. Dies entspricht nicht den Grundsätzen von qualitativ hochwertigen, allgemein zugänglichen und leistbaren Dienstleistungen im allgemeinen Interesse.</w:t>
            </w:r>
          </w:p>
          <w:p w14:paraId="6A42FB33" w14:textId="77777777" w:rsidR="00623AF8" w:rsidRPr="007A1DB2" w:rsidRDefault="00623AF8" w:rsidP="00875DD0">
            <w:pPr>
              <w:spacing w:after="120"/>
              <w:jc w:val="both"/>
              <w:rPr>
                <w:rFonts w:ascii="Aptos" w:hAnsi="Aptos"/>
                <w:b/>
                <w:sz w:val="22"/>
                <w:szCs w:val="22"/>
              </w:rPr>
            </w:pPr>
            <w:r w:rsidRPr="007A1DB2">
              <w:rPr>
                <w:rFonts w:ascii="Aptos" w:hAnsi="Aptos"/>
                <w:b/>
                <w:sz w:val="22"/>
                <w:szCs w:val="22"/>
              </w:rPr>
              <w:t>Inwiefern werden Sie sich für eine nachhaltige Finanzierung der nötigen Investitionen einsetzen und sicherstellen, dass der Mehrwert tatsächlich bei den Bürger:innen ankommt?</w:t>
            </w:r>
          </w:p>
        </w:tc>
      </w:tr>
      <w:tr w:rsidR="00623AF8" w:rsidRPr="007A1DB2" w14:paraId="0858E687" w14:textId="77777777" w:rsidTr="00875DD0">
        <w:tc>
          <w:tcPr>
            <w:tcW w:w="9060" w:type="dxa"/>
            <w:shd w:val="clear" w:color="auto" w:fill="D9D9D9" w:themeFill="background1" w:themeFillShade="D9"/>
          </w:tcPr>
          <w:p w14:paraId="27C9EB69"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 xml:space="preserve">Nachfrage </w:t>
            </w:r>
          </w:p>
        </w:tc>
      </w:tr>
      <w:tr w:rsidR="00623AF8" w:rsidRPr="007A1DB2" w14:paraId="21791DD6" w14:textId="77777777" w:rsidTr="00875DD0">
        <w:tc>
          <w:tcPr>
            <w:tcW w:w="9060" w:type="dxa"/>
          </w:tcPr>
          <w:p w14:paraId="5590722D" w14:textId="16465DB1" w:rsidR="00623AF8" w:rsidRPr="00061F1A" w:rsidRDefault="00623AF8" w:rsidP="00F63BE8">
            <w:pPr>
              <w:pStyle w:val="Listenabsatz"/>
              <w:numPr>
                <w:ilvl w:val="0"/>
                <w:numId w:val="2"/>
              </w:numPr>
              <w:spacing w:before="120" w:after="120"/>
              <w:jc w:val="both"/>
              <w:rPr>
                <w:rFonts w:ascii="Aptos" w:hAnsi="Aptos"/>
                <w:bCs/>
                <w:sz w:val="22"/>
                <w:szCs w:val="22"/>
              </w:rPr>
            </w:pPr>
            <w:r w:rsidRPr="00061F1A">
              <w:rPr>
                <w:rFonts w:ascii="Aptos" w:hAnsi="Aptos"/>
                <w:bCs/>
                <w:sz w:val="22"/>
                <w:szCs w:val="22"/>
              </w:rPr>
              <w:t>Inwieweit gedenken Sie die Finanzierung über zweckgebundene EIB-Mittel und die Einrichtung des im Abschlussdokument des EWSA zum Blue Deal geforderten „EU-Fonds für einen blauen Wandel“, der als zentrale Anlaufstelle für Wasserinvestitionen dienen würde, zu forcieren?</w:t>
            </w:r>
          </w:p>
        </w:tc>
      </w:tr>
    </w:tbl>
    <w:p w14:paraId="3E7A6D63" w14:textId="77777777" w:rsidR="00623AF8" w:rsidRPr="007A1DB2" w:rsidRDefault="00623AF8" w:rsidP="00623AF8">
      <w:pPr>
        <w:spacing w:after="120"/>
        <w:jc w:val="both"/>
        <w:rPr>
          <w:rFonts w:ascii="Aptos" w:hAnsi="Aptos"/>
          <w:i/>
          <w:iCs/>
          <w:sz w:val="22"/>
          <w:szCs w:val="22"/>
          <w:u w:val="single"/>
        </w:rPr>
      </w:pPr>
    </w:p>
    <w:p w14:paraId="1AFBF733" w14:textId="0B1D563A" w:rsidR="00CC6218" w:rsidRPr="00C57722" w:rsidRDefault="00CC6218" w:rsidP="00CC6218">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55CF615C" w14:textId="7F81B07B" w:rsidR="00623AF8" w:rsidRPr="00126B8B" w:rsidRDefault="00623AF8" w:rsidP="00623AF8">
      <w:pPr>
        <w:pStyle w:val="StandardWeb"/>
        <w:spacing w:before="0" w:beforeAutospacing="0" w:after="120" w:afterAutospacing="0"/>
        <w:jc w:val="both"/>
        <w:rPr>
          <w:rFonts w:ascii="Aptos" w:hAnsi="Aptos"/>
          <w:sz w:val="22"/>
          <w:szCs w:val="22"/>
        </w:rPr>
      </w:pPr>
      <w:r w:rsidRPr="00126B8B">
        <w:rPr>
          <w:rFonts w:ascii="Aptos" w:hAnsi="Aptos"/>
          <w:bCs/>
          <w:sz w:val="22"/>
          <w:szCs w:val="22"/>
        </w:rPr>
        <w:t xml:space="preserve">Entsprechend den Vorgaben in Art. 4 (3) in der Trinkwasser-Richtlinie (2020/2184) müssen die EU-Mitgliedstaaten bis Jänner 2026 eine Bewertung der Höhe der Wasserverluste in ihrem Hoheitsgebiet sowie Verbesserungsmöglichkeiten bei deren Reduzierung durchführen und an die EU-Kommission übermitteln. </w:t>
      </w:r>
      <w:r>
        <w:rPr>
          <w:rFonts w:ascii="Aptos" w:hAnsi="Aptos"/>
          <w:sz w:val="22"/>
          <w:szCs w:val="22"/>
        </w:rPr>
        <w:t>Diese wiederum legt auf Basis dessen bis Jänner 2028 einen Schwellenwert fest,</w:t>
      </w:r>
      <w:r w:rsidRPr="00126B8B">
        <w:rPr>
          <w:rFonts w:ascii="Aptos" w:hAnsi="Aptos"/>
          <w:bCs/>
          <w:sz w:val="22"/>
          <w:szCs w:val="22"/>
        </w:rPr>
        <w:t xml:space="preserve"> </w:t>
      </w:r>
      <w:r w:rsidRPr="00126B8B">
        <w:rPr>
          <w:rFonts w:ascii="Aptos" w:hAnsi="Aptos"/>
          <w:sz w:val="22"/>
          <w:szCs w:val="22"/>
        </w:rPr>
        <w:t xml:space="preserve">bei dessen Überschreitung Mitgliedstaaten Aktionspläne zur Leckageverringerung vorlegen müssen. Diese Pläne müssen bis Januar 2030 erstellt werden. </w:t>
      </w:r>
    </w:p>
    <w:p w14:paraId="0FD6D71F" w14:textId="77777777" w:rsidR="00623AF8" w:rsidRPr="00126B8B" w:rsidRDefault="00623AF8" w:rsidP="00623AF8">
      <w:pPr>
        <w:pStyle w:val="StandardWeb"/>
        <w:spacing w:before="0" w:beforeAutospacing="0" w:after="120" w:afterAutospacing="0"/>
        <w:jc w:val="both"/>
        <w:rPr>
          <w:rFonts w:ascii="Aptos" w:hAnsi="Aptos"/>
          <w:sz w:val="22"/>
          <w:szCs w:val="22"/>
        </w:rPr>
      </w:pPr>
      <w:r w:rsidRPr="00126B8B">
        <w:rPr>
          <w:rFonts w:ascii="Aptos" w:hAnsi="Aptos"/>
          <w:sz w:val="22"/>
          <w:szCs w:val="22"/>
        </w:rPr>
        <w:t xml:space="preserve">Für die Umsetzung dieser Aktionspläne und die effektive Reduzierung von Wasserverlusten über Rohrnetze werden bei den Wasserversorgern massive Investitionen notwendig sein. Insbesondere wenn das Rohrnetz sehr alt, schlecht konzipiert oder in Bezug auf die Durchflussmenge unzureichend ist, müssten weite Teile des Netzes komplett erneuert werden. </w:t>
      </w:r>
    </w:p>
    <w:p w14:paraId="40078BCA" w14:textId="77777777" w:rsidR="00623AF8" w:rsidRPr="00126B8B" w:rsidRDefault="00623AF8" w:rsidP="00623AF8">
      <w:pPr>
        <w:pStyle w:val="StandardWeb"/>
        <w:spacing w:before="0" w:beforeAutospacing="0" w:after="120" w:afterAutospacing="0"/>
        <w:jc w:val="both"/>
        <w:rPr>
          <w:rFonts w:ascii="Aptos" w:hAnsi="Aptos" w:cs="Aptos"/>
          <w:color w:val="000000"/>
          <w:sz w:val="22"/>
          <w:szCs w:val="22"/>
        </w:rPr>
      </w:pPr>
      <w:r w:rsidRPr="00126B8B">
        <w:rPr>
          <w:rFonts w:ascii="Aptos" w:hAnsi="Aptos"/>
          <w:sz w:val="22"/>
          <w:szCs w:val="22"/>
          <w:lang w:eastAsia="de-AT"/>
        </w:rPr>
        <w:t xml:space="preserve">Ebenso zeigen Beispiele von Privatisierungen in der Wasserversorgung häufig einen massiven Anstieg der </w:t>
      </w:r>
      <w:r>
        <w:rPr>
          <w:rFonts w:ascii="Aptos" w:hAnsi="Aptos"/>
          <w:sz w:val="22"/>
          <w:szCs w:val="22"/>
          <w:lang w:eastAsia="de-AT"/>
        </w:rPr>
        <w:t>finanziellen Belastungen der</w:t>
      </w:r>
      <w:r w:rsidRPr="00126B8B">
        <w:rPr>
          <w:rFonts w:ascii="Aptos" w:hAnsi="Aptos"/>
          <w:sz w:val="22"/>
          <w:szCs w:val="22"/>
          <w:lang w:eastAsia="de-AT"/>
        </w:rPr>
        <w:t xml:space="preserve"> Bürger:innen für die Versorgung mit Trinkwasser, bei gleichzeitiger Stagnation oder dem Ausbleiben wichtiger Investitionen in die Infrastruktur. In Sofia hat beispielsweise der französische Konzern Veolia 2010 die Konzession für die Wasserversorgung in der Stadt übernommen. Während hinsichtlich der Wasserverluste über die Rohrnetze mangels Investitionen keine Verbesserung ersichtlich war und diese bis 2017 relativ unverändert bei 47% lagen, zeigt sich bei den Wasserpreisen zwischen 2000 und 2018 eine Steigerung von 440% (von 0,435 BGN/</w:t>
      </w:r>
      <w:r w:rsidRPr="00126B8B">
        <w:rPr>
          <w:rFonts w:ascii="Aptos" w:hAnsi="Aptos" w:cs="Aptos"/>
          <w:color w:val="000000"/>
          <w:sz w:val="22"/>
          <w:szCs w:val="22"/>
        </w:rPr>
        <w:t>m³ auf 2,35 BGN/m³).</w:t>
      </w:r>
    </w:p>
    <w:p w14:paraId="7C8AA1D1" w14:textId="77777777" w:rsidR="00623AF8" w:rsidRPr="0008303F" w:rsidRDefault="00623AF8" w:rsidP="00623AF8">
      <w:pPr>
        <w:pStyle w:val="StandardWeb"/>
        <w:spacing w:before="0" w:beforeAutospacing="0" w:after="120" w:afterAutospacing="0"/>
        <w:jc w:val="both"/>
        <w:rPr>
          <w:rFonts w:ascii="Aptos" w:hAnsi="Aptos"/>
          <w:sz w:val="22"/>
          <w:szCs w:val="22"/>
        </w:rPr>
      </w:pPr>
      <w:r w:rsidRPr="00126B8B">
        <w:rPr>
          <w:rFonts w:ascii="Aptos" w:hAnsi="Aptos" w:cs="Aptos"/>
          <w:color w:val="000000"/>
          <w:sz w:val="22"/>
          <w:szCs w:val="22"/>
        </w:rPr>
        <w:t>Es ist daher wichtig sicherzustellen, dass der Mehrwert der Investitionen in unsere Wasserversorgungssysteme auch tatsächlich bei den Bürger:innen ankommt und diese keine überbordenden Kosten ohne tatsächliche Verbesserungen in der Infrastruktur tragen müssen.</w:t>
      </w:r>
    </w:p>
    <w:p w14:paraId="6D6EBC2B" w14:textId="77777777" w:rsidR="00623AF8" w:rsidRPr="007A1DB2" w:rsidRDefault="00623AF8" w:rsidP="00623AF8">
      <w:pPr>
        <w:rPr>
          <w:rFonts w:ascii="Aptos" w:hAnsi="Aptos"/>
          <w:sz w:val="22"/>
          <w:szCs w:val="22"/>
        </w:rPr>
        <w:sectPr w:rsidR="00623AF8" w:rsidRPr="007A1DB2" w:rsidSect="00034C8E">
          <w:pgSz w:w="11906" w:h="16838"/>
          <w:pgMar w:top="1871" w:right="1418" w:bottom="1134" w:left="1418" w:header="709" w:footer="510" w:gutter="0"/>
          <w:cols w:space="708"/>
          <w:docGrid w:linePitch="360"/>
        </w:sectPr>
      </w:pPr>
    </w:p>
    <w:p w14:paraId="4C35B787" w14:textId="77777777" w:rsidR="00623AF8" w:rsidRPr="007A1DB2" w:rsidRDefault="00623AF8" w:rsidP="00623AF8">
      <w:pPr>
        <w:pStyle w:val="berschrift1"/>
        <w:rPr>
          <w:rFonts w:ascii="Aptos" w:hAnsi="Aptos"/>
          <w:sz w:val="22"/>
          <w:szCs w:val="22"/>
        </w:rPr>
      </w:pPr>
      <w:bookmarkStart w:id="61" w:name="_Toc165027668"/>
      <w:bookmarkStart w:id="62" w:name="_Toc170983658"/>
      <w:r>
        <w:rPr>
          <w:rFonts w:ascii="Aptos" w:hAnsi="Aptos"/>
          <w:sz w:val="22"/>
          <w:szCs w:val="22"/>
        </w:rPr>
        <w:lastRenderedPageBreak/>
        <w:t>Massiver Investitionsbedarf für Klimawende</w:t>
      </w:r>
      <w:bookmarkEnd w:id="61"/>
      <w:bookmarkEnd w:id="62"/>
    </w:p>
    <w:p w14:paraId="43CEA443"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01ABE195" w14:textId="77777777" w:rsidTr="00875DD0">
        <w:tc>
          <w:tcPr>
            <w:tcW w:w="9060" w:type="dxa"/>
            <w:shd w:val="clear" w:color="auto" w:fill="D9D9D9" w:themeFill="background1" w:themeFillShade="D9"/>
          </w:tcPr>
          <w:p w14:paraId="69807F98"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6F844EC9" w14:textId="77777777" w:rsidTr="00875DD0">
        <w:tc>
          <w:tcPr>
            <w:tcW w:w="9060" w:type="dxa"/>
          </w:tcPr>
          <w:p w14:paraId="39F9D22B" w14:textId="77777777" w:rsidR="00623AF8" w:rsidRPr="007A1DB2" w:rsidRDefault="00623AF8" w:rsidP="00875DD0">
            <w:pPr>
              <w:spacing w:before="120"/>
              <w:jc w:val="both"/>
              <w:rPr>
                <w:rFonts w:ascii="Aptos" w:hAnsi="Aptos"/>
                <w:sz w:val="22"/>
                <w:szCs w:val="22"/>
              </w:rPr>
            </w:pPr>
            <w:r w:rsidRPr="007A1DB2">
              <w:rPr>
                <w:rFonts w:ascii="Aptos" w:hAnsi="Aptos"/>
                <w:sz w:val="22"/>
                <w:szCs w:val="22"/>
              </w:rPr>
              <w:t xml:space="preserve">Wenn Europa die Klimawende wirklich schaffen will, braucht es in kurzer Zeit enorme Investitionen in eine grün-blaue Infrastruktur, den Stromnetzausbau, die Wasserleitungsinfrastruktur etc., deren Finanzierung überwiegend von der öffentlichen Hand getragen werden muss. </w:t>
            </w:r>
          </w:p>
          <w:p w14:paraId="40008893" w14:textId="77777777" w:rsidR="00623AF8" w:rsidRPr="007A1DB2" w:rsidRDefault="00623AF8" w:rsidP="00875DD0">
            <w:pPr>
              <w:spacing w:after="120"/>
              <w:jc w:val="both"/>
              <w:rPr>
                <w:rFonts w:ascii="Aptos" w:hAnsi="Aptos"/>
                <w:b/>
                <w:bCs/>
                <w:sz w:val="22"/>
                <w:szCs w:val="22"/>
              </w:rPr>
            </w:pPr>
            <w:r w:rsidRPr="007A1DB2">
              <w:rPr>
                <w:rFonts w:ascii="Aptos" w:hAnsi="Aptos"/>
                <w:sz w:val="22"/>
                <w:szCs w:val="22"/>
              </w:rPr>
              <w:t>Nicht zuletzt durch die Schaffung zahlreicher neuer sowie der Überarbeitung von bestehenden EU-Gesetzgebungen</w:t>
            </w:r>
            <w:r>
              <w:rPr>
                <w:rFonts w:ascii="Aptos" w:hAnsi="Aptos"/>
                <w:sz w:val="22"/>
                <w:szCs w:val="22"/>
              </w:rPr>
              <w:t xml:space="preserve"> zur Anpassung </w:t>
            </w:r>
            <w:r w:rsidRPr="007A1DB2">
              <w:rPr>
                <w:rFonts w:ascii="Aptos" w:hAnsi="Aptos"/>
                <w:sz w:val="22"/>
                <w:szCs w:val="22"/>
              </w:rPr>
              <w:t xml:space="preserve">an die Anforderungen des Klimawandels, erhöhte oder neue Schadstoffbelastungen oder an die Zielsetzungen der Energieneutralität, stehen allein die Trinkwasserversorgung und Abwasserbehandlung vor immensen Investitionen. </w:t>
            </w:r>
            <w:r w:rsidRPr="007A1DB2">
              <w:rPr>
                <w:rFonts w:ascii="Aptos" w:hAnsi="Aptos"/>
                <w:b/>
                <w:bCs/>
                <w:sz w:val="22"/>
                <w:szCs w:val="22"/>
              </w:rPr>
              <w:t>Inwiefern werden Sie sich dafür einsetzen, dass ökologische Investitionsmaßnahmen im Bereich der Daseinsvorsorge aus dem zukünftigen Stabilitätspakt ausgenommen werden können?</w:t>
            </w:r>
          </w:p>
        </w:tc>
      </w:tr>
      <w:tr w:rsidR="00623AF8" w:rsidRPr="007A1DB2" w14:paraId="4A617076" w14:textId="77777777" w:rsidTr="00875DD0">
        <w:tc>
          <w:tcPr>
            <w:tcW w:w="9060" w:type="dxa"/>
            <w:shd w:val="clear" w:color="auto" w:fill="D9D9D9" w:themeFill="background1" w:themeFillShade="D9"/>
          </w:tcPr>
          <w:p w14:paraId="41CF57A0"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660A4D9E" w14:textId="77777777" w:rsidTr="00875DD0">
        <w:tc>
          <w:tcPr>
            <w:tcW w:w="9060" w:type="dxa"/>
          </w:tcPr>
          <w:p w14:paraId="172448D2" w14:textId="04CE06F2" w:rsidR="00623AF8" w:rsidRPr="00CC6218" w:rsidRDefault="00623AF8" w:rsidP="00F63BE8">
            <w:pPr>
              <w:pStyle w:val="Listenabsatz"/>
              <w:numPr>
                <w:ilvl w:val="0"/>
                <w:numId w:val="2"/>
              </w:numPr>
              <w:spacing w:before="120" w:after="120"/>
              <w:jc w:val="both"/>
              <w:rPr>
                <w:rFonts w:ascii="Aptos" w:hAnsi="Aptos"/>
                <w:i/>
                <w:iCs/>
                <w:sz w:val="22"/>
                <w:szCs w:val="22"/>
                <w:u w:val="single"/>
              </w:rPr>
            </w:pPr>
            <w:r w:rsidRPr="00CC6218">
              <w:rPr>
                <w:rFonts w:ascii="Aptos" w:hAnsi="Aptos"/>
                <w:sz w:val="22"/>
                <w:szCs w:val="22"/>
              </w:rPr>
              <w:t xml:space="preserve">Welche Finanzierungsmöglichkeiten – z.B. über die Europäische Investitionsbank – werden Sie zukünftig forcieren, um speziell den Wassersektor beim Thema Energiewende bzw. Energieneutralität zu unterstützen? </w:t>
            </w:r>
          </w:p>
        </w:tc>
      </w:tr>
    </w:tbl>
    <w:p w14:paraId="3450A27B" w14:textId="77777777" w:rsidR="00623AF8" w:rsidRPr="007A1DB2" w:rsidRDefault="00623AF8" w:rsidP="00623AF8">
      <w:pPr>
        <w:spacing w:after="120"/>
        <w:jc w:val="both"/>
        <w:rPr>
          <w:rFonts w:ascii="Aptos" w:hAnsi="Aptos"/>
          <w:i/>
          <w:iCs/>
          <w:sz w:val="22"/>
          <w:szCs w:val="22"/>
          <w:u w:val="single"/>
        </w:rPr>
      </w:pPr>
    </w:p>
    <w:p w14:paraId="04065484" w14:textId="0CB2D86A" w:rsidR="00CC6218" w:rsidRPr="00CC6218" w:rsidRDefault="00CC6218" w:rsidP="00CC6218">
      <w:pPr>
        <w:widowControl w:val="0"/>
        <w:tabs>
          <w:tab w:val="right" w:pos="9070"/>
        </w:tabs>
        <w:autoSpaceDE w:val="0"/>
        <w:autoSpaceDN w:val="0"/>
        <w:spacing w:line="258" w:lineRule="exact"/>
        <w:jc w:val="both"/>
        <w:rPr>
          <w:rFonts w:ascii="Aptos" w:eastAsia="Arial MT" w:hAnsi="Aptos" w:cs="Arial MT"/>
          <w:b/>
          <w:szCs w:val="22"/>
          <w:highlight w:val="lightGray"/>
        </w:rPr>
      </w:pPr>
      <w:r w:rsidRPr="00CC6218">
        <w:rPr>
          <w:rFonts w:ascii="Aptos" w:eastAsia="Arial MT" w:hAnsi="Aptos" w:cs="Arial MT"/>
          <w:b/>
          <w:szCs w:val="22"/>
          <w:highlight w:val="lightGray"/>
        </w:rPr>
        <w:t>Hintergrund</w:t>
      </w:r>
      <w:r>
        <w:rPr>
          <w:rFonts w:ascii="Aptos" w:eastAsia="Arial MT" w:hAnsi="Aptos" w:cs="Arial MT"/>
          <w:b/>
          <w:szCs w:val="22"/>
          <w:highlight w:val="lightGray"/>
        </w:rPr>
        <w:tab/>
      </w:r>
    </w:p>
    <w:p w14:paraId="11EC4DCE" w14:textId="77777777" w:rsidR="00623AF8" w:rsidRPr="00B5745E" w:rsidRDefault="00623AF8" w:rsidP="00623AF8">
      <w:pPr>
        <w:pStyle w:val="textabsatz"/>
        <w:shd w:val="clear" w:color="auto" w:fill="FFFFFF"/>
        <w:spacing w:before="0" w:beforeAutospacing="0" w:after="120" w:afterAutospacing="0"/>
        <w:jc w:val="both"/>
        <w:textAlignment w:val="baseline"/>
        <w:rPr>
          <w:rFonts w:ascii="Aptos" w:hAnsi="Aptos"/>
          <w:spacing w:val="3"/>
          <w:sz w:val="22"/>
          <w:szCs w:val="22"/>
        </w:rPr>
      </w:pPr>
      <w:r w:rsidRPr="00B5745E">
        <w:rPr>
          <w:rFonts w:ascii="Aptos" w:hAnsi="Aptos"/>
          <w:spacing w:val="3"/>
          <w:sz w:val="22"/>
          <w:szCs w:val="22"/>
        </w:rPr>
        <w:t>Durch die Vorgabe von Schuldenobergrenzen soll der der Stabilitäts- und Wachstumspakt die Budgetdisziplin der EU-Mitgliedstaaten sichern, die wiederum als wichtige</w:t>
      </w:r>
      <w:r>
        <w:rPr>
          <w:rFonts w:ascii="Aptos" w:hAnsi="Aptos"/>
          <w:spacing w:val="3"/>
          <w:sz w:val="22"/>
          <w:szCs w:val="22"/>
        </w:rPr>
        <w:t>s</w:t>
      </w:r>
      <w:r w:rsidRPr="00B5745E">
        <w:rPr>
          <w:rFonts w:ascii="Aptos" w:hAnsi="Aptos"/>
          <w:spacing w:val="3"/>
          <w:sz w:val="22"/>
          <w:szCs w:val="22"/>
        </w:rPr>
        <w:t xml:space="preserve"> Element für die wirtschaftliche Stabilität in der EU bzw. dem Euroraum gelten. Nachdem der Stabilitäts- und Wachstumspakt aufgrund der Auswirkungen der Covid19-Pandemie sowie des russischen Angriffskrieges auf die Ukraine in den letzten Jahren mittels der allgemeinen Ausweichklausel de facto ausgesetzt war, haben sich das EU-Parlament und der Rat im Frühjahr 2024 auf eine Reform des Regelwerks zu Staatsschulden und Haushaltsdefiziten geeinigt.</w:t>
      </w:r>
    </w:p>
    <w:p w14:paraId="31719175" w14:textId="77777777" w:rsidR="00623AF8" w:rsidRPr="00B5745E" w:rsidRDefault="00623AF8" w:rsidP="00623AF8">
      <w:pPr>
        <w:pStyle w:val="textabsatz"/>
        <w:shd w:val="clear" w:color="auto" w:fill="FFFFFF"/>
        <w:spacing w:before="0" w:beforeAutospacing="0" w:after="120" w:afterAutospacing="0"/>
        <w:jc w:val="both"/>
        <w:textAlignment w:val="baseline"/>
        <w:rPr>
          <w:rFonts w:ascii="Aptos" w:hAnsi="Aptos"/>
          <w:b/>
          <w:spacing w:val="3"/>
          <w:sz w:val="22"/>
          <w:szCs w:val="22"/>
        </w:rPr>
      </w:pPr>
      <w:r w:rsidRPr="00B5745E">
        <w:rPr>
          <w:rFonts w:ascii="Aptos" w:hAnsi="Aptos"/>
          <w:spacing w:val="3"/>
          <w:sz w:val="22"/>
          <w:szCs w:val="22"/>
        </w:rPr>
        <w:t>Bereits das bisherige Regelwerk hat den Handlungsspielraum der EU-Mitgliedstaaten in Bezug auf Investitionen in die öffentliche Infrastruktur, die jedoch einen wesentlichen Beitrag zu einer sozial fairen und klimagerechten Gesellschaft leistet, mit nur wenigen Möglichkeiten für Ausnahmen deutlich eingeschränkt. Die dadurch entstehenden Investitionshemmnisse sind auch durch die Reform des Regelwerks nicht aufgehoben worden, so verweisen etwa kritische Stimmen darauf, dass durch die Schuldenregeln nötige Investitionen in den Klimaschutz oder in den sozialen Bereich verunmöglicht werden. Eine Analyse vom Europäischen Gewerkschaftsbund (EGB) und der New Economics Foundation (NEF) war Anfang April zu dem Ergebnis gekommen, dass bei Einhaltung der geplanten Regeln ab 2027 nur noch Dänemark, Schweden und Irland in der Lage seien, sich notwendige Ausgaben zu leisten.</w:t>
      </w:r>
      <w:r w:rsidRPr="00B5745E">
        <w:rPr>
          <w:rStyle w:val="Funotenzeichen"/>
          <w:rFonts w:ascii="Aptos" w:hAnsi="Aptos"/>
          <w:spacing w:val="3"/>
          <w:sz w:val="22"/>
          <w:szCs w:val="22"/>
        </w:rPr>
        <w:footnoteReference w:id="5"/>
      </w:r>
    </w:p>
    <w:p w14:paraId="6CE60321" w14:textId="77777777" w:rsidR="00623AF8" w:rsidRPr="007A1DB2" w:rsidRDefault="00623AF8" w:rsidP="00623AF8">
      <w:pPr>
        <w:spacing w:after="120"/>
        <w:jc w:val="both"/>
        <w:rPr>
          <w:rFonts w:ascii="Aptos" w:hAnsi="Aptos"/>
          <w:sz w:val="22"/>
          <w:szCs w:val="22"/>
        </w:rPr>
      </w:pPr>
      <w:r>
        <w:rPr>
          <w:rFonts w:ascii="Aptos" w:hAnsi="Aptos"/>
          <w:sz w:val="22"/>
          <w:szCs w:val="22"/>
        </w:rPr>
        <w:t>Hinsichtlich der EIB ist zu erwähnen, dass die Sicherung der Trinkwasserversorgung und die Energiegewinnung aus Wasserkraft mit den Zielen der Investitionsbank d’accord gehen und diese Sektoren daher in deren Finanzierungsinstrumenten berücksichtigt werden sollten.</w:t>
      </w:r>
    </w:p>
    <w:p w14:paraId="4F12E9B8" w14:textId="77777777" w:rsidR="00623AF8" w:rsidRPr="007A1DB2" w:rsidRDefault="00623AF8" w:rsidP="00623AF8">
      <w:pPr>
        <w:jc w:val="both"/>
        <w:rPr>
          <w:rFonts w:ascii="Aptos" w:hAnsi="Aptos"/>
          <w:bCs/>
          <w:sz w:val="22"/>
          <w:szCs w:val="22"/>
          <w:u w:val="single"/>
        </w:rPr>
        <w:sectPr w:rsidR="00623AF8" w:rsidRPr="007A1DB2" w:rsidSect="00034C8E">
          <w:pgSz w:w="11906" w:h="16838"/>
          <w:pgMar w:top="1871" w:right="1418" w:bottom="1134" w:left="1418" w:header="709" w:footer="510" w:gutter="0"/>
          <w:cols w:space="708"/>
          <w:docGrid w:linePitch="360"/>
        </w:sectPr>
      </w:pPr>
    </w:p>
    <w:p w14:paraId="239D24DE" w14:textId="77777777" w:rsidR="00623AF8" w:rsidRPr="007A1DB2" w:rsidRDefault="00623AF8" w:rsidP="00623AF8">
      <w:pPr>
        <w:pStyle w:val="berschrift1"/>
        <w:rPr>
          <w:rFonts w:ascii="Aptos" w:hAnsi="Aptos"/>
          <w:sz w:val="22"/>
          <w:szCs w:val="22"/>
        </w:rPr>
      </w:pPr>
      <w:bookmarkStart w:id="63" w:name="_Toc165027669"/>
      <w:bookmarkStart w:id="64" w:name="_Toc170983659"/>
      <w:r w:rsidRPr="007A1DB2">
        <w:rPr>
          <w:rFonts w:ascii="Aptos" w:hAnsi="Aptos"/>
          <w:sz w:val="22"/>
          <w:szCs w:val="22"/>
        </w:rPr>
        <w:lastRenderedPageBreak/>
        <w:t>Transparenz vs. Schutz kritischer Infrastruktur - Wassersektor</w:t>
      </w:r>
      <w:bookmarkEnd w:id="63"/>
      <w:bookmarkEnd w:id="64"/>
    </w:p>
    <w:p w14:paraId="5E9C1723"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519C7FED" w14:textId="77777777" w:rsidTr="00875DD0">
        <w:tc>
          <w:tcPr>
            <w:tcW w:w="9060" w:type="dxa"/>
            <w:shd w:val="clear" w:color="auto" w:fill="D9D9D9" w:themeFill="background1" w:themeFillShade="D9"/>
          </w:tcPr>
          <w:p w14:paraId="2530864A"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08F6C012" w14:textId="77777777" w:rsidTr="00875DD0">
        <w:tc>
          <w:tcPr>
            <w:tcW w:w="9060" w:type="dxa"/>
          </w:tcPr>
          <w:p w14:paraId="7BE48607" w14:textId="77777777" w:rsidR="00623AF8" w:rsidRPr="007A1DB2" w:rsidRDefault="00623AF8" w:rsidP="00875DD0">
            <w:pPr>
              <w:spacing w:before="120" w:after="120"/>
              <w:jc w:val="both"/>
              <w:rPr>
                <w:rFonts w:ascii="Aptos" w:hAnsi="Aptos"/>
                <w:sz w:val="22"/>
                <w:szCs w:val="22"/>
              </w:rPr>
            </w:pPr>
            <w:r w:rsidRPr="007A1DB2">
              <w:rPr>
                <w:rFonts w:ascii="Aptos" w:hAnsi="Aptos"/>
                <w:sz w:val="22"/>
                <w:szCs w:val="22"/>
              </w:rPr>
              <w:t>S</w:t>
            </w:r>
            <w:r w:rsidRPr="00C50EA1">
              <w:rPr>
                <w:rFonts w:ascii="Aptos" w:hAnsi="Aptos"/>
                <w:sz w:val="22"/>
                <w:szCs w:val="22"/>
              </w:rPr>
              <w:t>owohl bei der Überarbeitung der Trinkwasser-RL als auch bei der aktuellen Überarbeitung der Abwasser-RL waren von der E</w:t>
            </w:r>
            <w:r>
              <w:rPr>
                <w:rFonts w:ascii="Aptos" w:hAnsi="Aptos"/>
                <w:sz w:val="22"/>
                <w:szCs w:val="22"/>
              </w:rPr>
              <w:t>U-Kommission</w:t>
            </w:r>
            <w:r w:rsidRPr="00C50EA1">
              <w:rPr>
                <w:rFonts w:ascii="Aptos" w:hAnsi="Aptos"/>
                <w:sz w:val="22"/>
                <w:szCs w:val="22"/>
              </w:rPr>
              <w:t xml:space="preserve"> bereits im Vorschlag weitgehende Informationspflichten der Betreiber ggü. den Bürger:innen vorgesehen, die in beiden Fällen auch in den fertigen R</w:t>
            </w:r>
            <w:r>
              <w:rPr>
                <w:rFonts w:ascii="Aptos" w:hAnsi="Aptos"/>
                <w:sz w:val="22"/>
                <w:szCs w:val="22"/>
              </w:rPr>
              <w:t>ichtlinien</w:t>
            </w:r>
            <w:r w:rsidRPr="00C50EA1">
              <w:rPr>
                <w:rFonts w:ascii="Aptos" w:hAnsi="Aptos"/>
                <w:sz w:val="22"/>
                <w:szCs w:val="22"/>
              </w:rPr>
              <w:t xml:space="preserve">-Texten nur geringfügig </w:t>
            </w:r>
            <w:r w:rsidRPr="007A1DB2">
              <w:rPr>
                <w:rFonts w:ascii="Aptos" w:hAnsi="Aptos"/>
                <w:sz w:val="22"/>
                <w:szCs w:val="22"/>
              </w:rPr>
              <w:t>abgeändert</w:t>
            </w:r>
            <w:r w:rsidRPr="00C50EA1">
              <w:rPr>
                <w:rFonts w:ascii="Aptos" w:hAnsi="Aptos"/>
                <w:sz w:val="22"/>
                <w:szCs w:val="22"/>
              </w:rPr>
              <w:t xml:space="preserve"> wurden. Gleichzeitig zählen der Abwasser- und Trinkwassersektor zu den kritischen Infrastrukturen, bei denen die Verwendung bzw. das Bereitstellen von Daten strengen Auflagen hinsichtlich Cybersecurity aber auch allgemeinen Schutzfragen der Infrastruktur unterliegen. </w:t>
            </w:r>
            <w:r w:rsidRPr="00C50EA1">
              <w:rPr>
                <w:rFonts w:ascii="Aptos" w:hAnsi="Aptos"/>
                <w:b/>
                <w:bCs/>
                <w:sz w:val="22"/>
                <w:szCs w:val="22"/>
              </w:rPr>
              <w:t>Wie gedenkt die EK die Betreiber zukünftig bei der Klärung dieses Spannungsverhältnisses zu unterstützen?</w:t>
            </w:r>
          </w:p>
        </w:tc>
      </w:tr>
      <w:tr w:rsidR="00623AF8" w:rsidRPr="007A1DB2" w14:paraId="2C7A4DD2" w14:textId="77777777" w:rsidTr="00875DD0">
        <w:tc>
          <w:tcPr>
            <w:tcW w:w="9060" w:type="dxa"/>
            <w:shd w:val="clear" w:color="auto" w:fill="D9D9D9" w:themeFill="background1" w:themeFillShade="D9"/>
          </w:tcPr>
          <w:p w14:paraId="7D331A06"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337FB8FA" w14:textId="77777777" w:rsidTr="00875DD0">
        <w:tc>
          <w:tcPr>
            <w:tcW w:w="9060" w:type="dxa"/>
          </w:tcPr>
          <w:p w14:paraId="6B082BA8" w14:textId="7FF5870D" w:rsidR="00623AF8" w:rsidRPr="00687828" w:rsidRDefault="00623AF8" w:rsidP="00F63BE8">
            <w:pPr>
              <w:pStyle w:val="Listenabsatz"/>
              <w:numPr>
                <w:ilvl w:val="0"/>
                <w:numId w:val="2"/>
              </w:numPr>
              <w:spacing w:before="120" w:after="120"/>
              <w:jc w:val="both"/>
              <w:rPr>
                <w:rFonts w:ascii="Aptos" w:hAnsi="Aptos"/>
                <w:i/>
                <w:iCs/>
                <w:sz w:val="22"/>
                <w:szCs w:val="22"/>
                <w:u w:val="single"/>
              </w:rPr>
            </w:pPr>
            <w:r w:rsidRPr="00687828">
              <w:rPr>
                <w:rFonts w:ascii="Aptos" w:hAnsi="Aptos"/>
                <w:sz w:val="22"/>
                <w:szCs w:val="22"/>
              </w:rPr>
              <w:t>Sehen Sie Handlungsbedarf iZm der Abgrenzung zwischen sinnvoller Transparenz und dem Schutz von Daten und Informationen über Anlagen von z.B. Trinkwasserversorgern?</w:t>
            </w:r>
          </w:p>
        </w:tc>
      </w:tr>
    </w:tbl>
    <w:p w14:paraId="45E82CDB" w14:textId="77777777" w:rsidR="00623AF8" w:rsidRPr="007A1DB2" w:rsidRDefault="00623AF8" w:rsidP="00623AF8">
      <w:pPr>
        <w:spacing w:after="120"/>
        <w:jc w:val="both"/>
        <w:rPr>
          <w:rFonts w:ascii="Aptos" w:hAnsi="Aptos"/>
          <w:i/>
          <w:iCs/>
          <w:sz w:val="22"/>
          <w:szCs w:val="22"/>
          <w:u w:val="single"/>
        </w:rPr>
      </w:pPr>
    </w:p>
    <w:p w14:paraId="090932B9" w14:textId="06932431" w:rsidR="00CC6218" w:rsidRPr="00C57722" w:rsidRDefault="00CC6218" w:rsidP="00CC6218">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619F6871" w14:textId="77777777" w:rsidR="00623AF8" w:rsidRPr="00F547ED" w:rsidRDefault="00623AF8" w:rsidP="00623AF8">
      <w:pPr>
        <w:pStyle w:val="StandardWeb"/>
        <w:spacing w:before="0" w:beforeAutospacing="0" w:after="120" w:afterAutospacing="0"/>
        <w:jc w:val="both"/>
        <w:rPr>
          <w:rFonts w:ascii="Aptos" w:hAnsi="Aptos"/>
          <w:sz w:val="22"/>
          <w:szCs w:val="22"/>
        </w:rPr>
      </w:pPr>
      <w:r w:rsidRPr="00F547ED">
        <w:rPr>
          <w:rFonts w:ascii="Aptos" w:hAnsi="Aptos"/>
          <w:sz w:val="22"/>
          <w:szCs w:val="22"/>
        </w:rPr>
        <w:t>Die Stärkung der Verbraucher</w:t>
      </w:r>
      <w:r>
        <w:rPr>
          <w:rFonts w:ascii="Aptos" w:hAnsi="Aptos"/>
          <w:sz w:val="22"/>
          <w:szCs w:val="22"/>
        </w:rPr>
        <w:t>:innen</w:t>
      </w:r>
      <w:r w:rsidRPr="00F547ED">
        <w:rPr>
          <w:rFonts w:ascii="Aptos" w:hAnsi="Aptos"/>
          <w:sz w:val="22"/>
          <w:szCs w:val="22"/>
        </w:rPr>
        <w:t xml:space="preserve"> und die Wahrung ihrer Interessen sind zentrale politische Ziele der EU. Um dies zu erreichen, muss die Union die Gesundheit, Sicherheit und wirtschaftlichen Interessen der Verbraucher</w:t>
      </w:r>
      <w:r>
        <w:rPr>
          <w:rFonts w:ascii="Aptos" w:hAnsi="Aptos"/>
          <w:sz w:val="22"/>
          <w:szCs w:val="22"/>
        </w:rPr>
        <w:t>:innen</w:t>
      </w:r>
      <w:r w:rsidRPr="00F547ED">
        <w:rPr>
          <w:rFonts w:ascii="Aptos" w:hAnsi="Aptos"/>
          <w:sz w:val="22"/>
          <w:szCs w:val="22"/>
        </w:rPr>
        <w:t xml:space="preserve"> schützen sowie deren Recht auf Information und Bildung fördern. Verbraucherschutz soll in alle relevanten Politikbereiche integriert werden.</w:t>
      </w:r>
    </w:p>
    <w:p w14:paraId="3B769A55" w14:textId="77777777" w:rsidR="00623AF8" w:rsidRPr="00F547ED" w:rsidRDefault="00623AF8" w:rsidP="00623AF8">
      <w:pPr>
        <w:pStyle w:val="StandardWeb"/>
        <w:spacing w:before="0" w:beforeAutospacing="0" w:after="120" w:afterAutospacing="0"/>
        <w:jc w:val="both"/>
        <w:rPr>
          <w:rFonts w:ascii="Aptos" w:hAnsi="Aptos"/>
          <w:sz w:val="22"/>
          <w:szCs w:val="22"/>
        </w:rPr>
      </w:pPr>
      <w:r w:rsidRPr="00F547ED">
        <w:rPr>
          <w:rFonts w:ascii="Aptos" w:hAnsi="Aptos"/>
          <w:sz w:val="22"/>
          <w:szCs w:val="22"/>
        </w:rPr>
        <w:t>In Bezug auf wasserpolitische Gesetzgebungen wurden Maßnahmen zur umfassenderen Verbraucherinformation insbesondere in den Überarbeitungen der Trinkwasser-Richtlinie (2020/2184) sowie der voraussichtlich im Herbst</w:t>
      </w:r>
      <w:r>
        <w:rPr>
          <w:rFonts w:ascii="Aptos" w:hAnsi="Aptos"/>
          <w:sz w:val="22"/>
          <w:szCs w:val="22"/>
        </w:rPr>
        <w:t xml:space="preserve"> 2024</w:t>
      </w:r>
      <w:r w:rsidRPr="00F547ED">
        <w:rPr>
          <w:rFonts w:ascii="Aptos" w:hAnsi="Aptos"/>
          <w:sz w:val="22"/>
          <w:szCs w:val="22"/>
        </w:rPr>
        <w:t xml:space="preserve"> fertiggestellten Überarbeitung der kommunalen Abwasser-Richtlinie festgeschrieben. Trinkwasserversorger und Betreiber von Abwasseranlagen müssen nun detaillierte Daten zur Infrastruktur und Wasserqualität veröffentlichen.</w:t>
      </w:r>
    </w:p>
    <w:p w14:paraId="500B7C34" w14:textId="77777777" w:rsidR="00623AF8" w:rsidRDefault="00623AF8" w:rsidP="00623AF8">
      <w:pPr>
        <w:pStyle w:val="StandardWeb"/>
        <w:spacing w:before="0" w:beforeAutospacing="0" w:after="120" w:afterAutospacing="0"/>
        <w:jc w:val="both"/>
        <w:rPr>
          <w:rFonts w:ascii="Aptos" w:hAnsi="Aptos"/>
          <w:sz w:val="22"/>
          <w:szCs w:val="22"/>
        </w:rPr>
      </w:pPr>
      <w:r w:rsidRPr="00F547ED">
        <w:rPr>
          <w:rFonts w:ascii="Aptos" w:hAnsi="Aptos"/>
          <w:sz w:val="22"/>
          <w:szCs w:val="22"/>
        </w:rPr>
        <w:t>Da Trinkwasserversorgung und Abwasserbehandlung zur kritischen Infrastruktur zählen, unterliegen die Betreiber gleichzeitig strenge</w:t>
      </w:r>
      <w:r>
        <w:rPr>
          <w:rFonts w:ascii="Aptos" w:hAnsi="Aptos"/>
          <w:sz w:val="22"/>
          <w:szCs w:val="22"/>
        </w:rPr>
        <w:t>n</w:t>
      </w:r>
      <w:r w:rsidRPr="00F547ED">
        <w:rPr>
          <w:rFonts w:ascii="Aptos" w:hAnsi="Aptos"/>
          <w:sz w:val="22"/>
          <w:szCs w:val="22"/>
        </w:rPr>
        <w:t xml:space="preserve"> Vorschriften zum Schutz ihrer Daten sowie der Infrastruktur. Die 2016 eingeführten Cybersicherheitsvorschriften wurden 2023 durch die NIS2-Richtlinie modernisiert. Diese erweitert den Anwendungsbereich auf alle wirtschaftlich und gesellschaftlich wichtigen Sektoren, die stark auf IKT angewiesen sind, wie Energie, Verkehr, Wasser, Banken, Finanzmärkte, Gesundheitsversorgung und digitale Infrastruktur, um die Resilienz und Reaktionsfähigkeit öffentlicher und privater Stellen zu verbessern.</w:t>
      </w:r>
    </w:p>
    <w:p w14:paraId="63A8C21C" w14:textId="77777777" w:rsidR="00623AF8" w:rsidRDefault="00623AF8" w:rsidP="00623AF8">
      <w:pPr>
        <w:pStyle w:val="StandardWeb"/>
        <w:spacing w:before="0" w:beforeAutospacing="0" w:after="120" w:afterAutospacing="0"/>
        <w:jc w:val="both"/>
        <w:rPr>
          <w:rFonts w:ascii="Aptos" w:hAnsi="Aptos"/>
          <w:sz w:val="22"/>
          <w:szCs w:val="22"/>
        </w:rPr>
      </w:pPr>
      <w:r>
        <w:rPr>
          <w:rFonts w:ascii="Aptos" w:hAnsi="Aptos"/>
          <w:sz w:val="22"/>
          <w:szCs w:val="22"/>
        </w:rPr>
        <w:t>Während sich hinsichtlich der Verbraucherinformationen die Frage stellt, welche Informationen und in welchem Umfang diese für die Verbraucher:innen tatsächlich von Nutzen sind, ergibt sich in Bezug auf Sicherheitsfragen für kritische Infrastrukturen das Problem, wo eine sinnvolle Grenze zu Transparenz gesetzt werden kann, um zu vermeiden, dass kritische Infrastrukturen angreifbar werden.</w:t>
      </w:r>
    </w:p>
    <w:p w14:paraId="5C2BA99A" w14:textId="77777777" w:rsidR="00623AF8" w:rsidRDefault="00623AF8" w:rsidP="00623AF8">
      <w:pPr>
        <w:pStyle w:val="StandardWeb"/>
        <w:spacing w:before="0" w:beforeAutospacing="0" w:after="120" w:afterAutospacing="0"/>
        <w:jc w:val="both"/>
        <w:rPr>
          <w:rFonts w:ascii="Aptos" w:hAnsi="Aptos"/>
          <w:sz w:val="22"/>
          <w:szCs w:val="22"/>
        </w:rPr>
      </w:pPr>
    </w:p>
    <w:p w14:paraId="12165556" w14:textId="77777777" w:rsidR="00623AF8" w:rsidRPr="00877000" w:rsidRDefault="00623AF8" w:rsidP="00623AF8">
      <w:pPr>
        <w:pStyle w:val="StandardWeb"/>
        <w:spacing w:before="0" w:beforeAutospacing="0" w:after="120" w:afterAutospacing="0"/>
        <w:jc w:val="both"/>
        <w:rPr>
          <w:rFonts w:ascii="Aptos" w:hAnsi="Aptos"/>
          <w:sz w:val="22"/>
          <w:szCs w:val="22"/>
        </w:rPr>
        <w:sectPr w:rsidR="00623AF8" w:rsidRPr="00877000" w:rsidSect="00034C8E">
          <w:pgSz w:w="11906" w:h="16838"/>
          <w:pgMar w:top="1871" w:right="1418" w:bottom="1134" w:left="1418" w:header="709" w:footer="510" w:gutter="0"/>
          <w:cols w:space="708"/>
          <w:docGrid w:linePitch="360"/>
        </w:sectPr>
      </w:pPr>
    </w:p>
    <w:p w14:paraId="7DD4764A" w14:textId="77777777" w:rsidR="00623AF8" w:rsidRDefault="00623AF8" w:rsidP="00623AF8">
      <w:pPr>
        <w:pStyle w:val="berschrift1"/>
        <w:rPr>
          <w:rFonts w:ascii="Aptos" w:hAnsi="Aptos"/>
          <w:sz w:val="22"/>
          <w:szCs w:val="22"/>
        </w:rPr>
      </w:pPr>
      <w:bookmarkStart w:id="65" w:name="_Toc165027670"/>
    </w:p>
    <w:p w14:paraId="5ACB01F9" w14:textId="77777777" w:rsidR="00623AF8" w:rsidRPr="007A1DB2" w:rsidRDefault="00623AF8" w:rsidP="00623AF8">
      <w:pPr>
        <w:pStyle w:val="berschrift1"/>
        <w:rPr>
          <w:rFonts w:ascii="Aptos" w:hAnsi="Aptos"/>
          <w:sz w:val="22"/>
          <w:szCs w:val="22"/>
        </w:rPr>
      </w:pPr>
      <w:bookmarkStart w:id="66" w:name="_Toc170983660"/>
      <w:r w:rsidRPr="007A1DB2">
        <w:rPr>
          <w:rFonts w:ascii="Aptos" w:hAnsi="Aptos"/>
          <w:sz w:val="22"/>
          <w:szCs w:val="22"/>
        </w:rPr>
        <w:t>Transparenz vs. Schutz kritischer Infrastruktur – allgemeine Ausrichtung</w:t>
      </w:r>
      <w:bookmarkEnd w:id="65"/>
      <w:bookmarkEnd w:id="66"/>
    </w:p>
    <w:p w14:paraId="3917887F"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5A4B81CC" w14:textId="77777777" w:rsidTr="00875DD0">
        <w:tc>
          <w:tcPr>
            <w:tcW w:w="9060" w:type="dxa"/>
            <w:shd w:val="clear" w:color="auto" w:fill="D9D9D9" w:themeFill="background1" w:themeFillShade="D9"/>
          </w:tcPr>
          <w:p w14:paraId="56DC3E36"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478C34DE" w14:textId="77777777" w:rsidTr="00875DD0">
        <w:tc>
          <w:tcPr>
            <w:tcW w:w="9060" w:type="dxa"/>
          </w:tcPr>
          <w:p w14:paraId="4D86CDA6" w14:textId="6CE13CA1" w:rsidR="00623AF8" w:rsidRPr="00EE6A98" w:rsidRDefault="00623AF8" w:rsidP="00875DD0">
            <w:pPr>
              <w:spacing w:before="120" w:after="120"/>
              <w:jc w:val="both"/>
              <w:rPr>
                <w:rFonts w:ascii="Aptos" w:hAnsi="Aptos"/>
                <w:sz w:val="22"/>
                <w:szCs w:val="22"/>
              </w:rPr>
            </w:pPr>
            <w:r w:rsidRPr="007A1DB2">
              <w:rPr>
                <w:rFonts w:ascii="Aptos" w:hAnsi="Aptos"/>
                <w:sz w:val="22"/>
                <w:szCs w:val="22"/>
              </w:rPr>
              <w:t xml:space="preserve">Die EU-Kommission hat in den letzten Jahren durch verschiedene Initiativen die Open Data Politik sowie das Streben nach umfassender Transparenz in der kommunalen Verwaltung sowie bei Dienstleistungen von öffentlichem Interesse sehr stark vorangetrieben. Gleichzeitig werden Vorgaben für kritische Infrastrukturen zum Schutz vor Cyberattacken oder physischen Angriffen auf Anlagen(teile) immer weiter ausgebaut und geschärft. Kritische Infrastrukturen sind vielfach öffentliche Unternehmen, die Dienstleistungen von öffentlichem Interesse wie bspw. Energieversorgung bzw. -verteilung, Wasserversorgung oder Abfallentsorgung erbringen, und in diesem Sinn ebenso den Vorgaben zur Open Data bzw. Transparenz unterliegen. </w:t>
            </w:r>
            <w:r w:rsidRPr="007A1DB2">
              <w:rPr>
                <w:rFonts w:ascii="Aptos" w:hAnsi="Aptos"/>
                <w:b/>
                <w:bCs/>
                <w:sz w:val="22"/>
                <w:szCs w:val="22"/>
              </w:rPr>
              <w:t xml:space="preserve">Inwieweit sehen Sie einen Konflikt zwischen den Vorgaben zu Open Data bzw. Transparenz und dem Schutz kritischer Infrastruktur vor (Cyber-)Angriffen von außen? </w:t>
            </w:r>
          </w:p>
        </w:tc>
      </w:tr>
      <w:tr w:rsidR="00623AF8" w:rsidRPr="007A1DB2" w14:paraId="4E998969" w14:textId="77777777" w:rsidTr="00875DD0">
        <w:tc>
          <w:tcPr>
            <w:tcW w:w="9060" w:type="dxa"/>
            <w:shd w:val="clear" w:color="auto" w:fill="D9D9D9" w:themeFill="background1" w:themeFillShade="D9"/>
          </w:tcPr>
          <w:p w14:paraId="68D50123"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79F14C63" w14:textId="77777777" w:rsidTr="00875DD0">
        <w:tc>
          <w:tcPr>
            <w:tcW w:w="9060" w:type="dxa"/>
          </w:tcPr>
          <w:p w14:paraId="733957FC" w14:textId="3238B9D3" w:rsidR="00623AF8" w:rsidRPr="00687828" w:rsidRDefault="00623AF8" w:rsidP="00F63BE8">
            <w:pPr>
              <w:pStyle w:val="Listenabsatz"/>
              <w:numPr>
                <w:ilvl w:val="0"/>
                <w:numId w:val="2"/>
              </w:numPr>
              <w:spacing w:before="120" w:after="120"/>
              <w:jc w:val="both"/>
              <w:rPr>
                <w:rFonts w:ascii="Aptos" w:hAnsi="Aptos"/>
                <w:i/>
                <w:iCs/>
                <w:sz w:val="22"/>
                <w:szCs w:val="22"/>
                <w:u w:val="single"/>
              </w:rPr>
            </w:pPr>
            <w:r w:rsidRPr="00687828">
              <w:rPr>
                <w:rFonts w:ascii="Aptos" w:hAnsi="Aptos"/>
                <w:sz w:val="22"/>
                <w:szCs w:val="22"/>
              </w:rPr>
              <w:t>Hat die Open Data Politik zu den Zielen geführt, die die EU-Kommission damals angepriesen hat?</w:t>
            </w:r>
          </w:p>
        </w:tc>
      </w:tr>
    </w:tbl>
    <w:p w14:paraId="390C7D42" w14:textId="77777777" w:rsidR="00623AF8" w:rsidRPr="007A1DB2" w:rsidRDefault="00623AF8" w:rsidP="00623AF8">
      <w:pPr>
        <w:spacing w:after="120"/>
        <w:jc w:val="both"/>
        <w:rPr>
          <w:rFonts w:ascii="Aptos" w:hAnsi="Aptos"/>
          <w:i/>
          <w:iCs/>
          <w:sz w:val="22"/>
          <w:szCs w:val="22"/>
          <w:u w:val="single"/>
        </w:rPr>
      </w:pPr>
    </w:p>
    <w:p w14:paraId="14A89D51" w14:textId="1E6956E8" w:rsidR="00687828" w:rsidRPr="00C57722" w:rsidRDefault="00687828" w:rsidP="00687828">
      <w:pPr>
        <w:widowControl w:val="0"/>
        <w:tabs>
          <w:tab w:val="right" w:pos="9070"/>
        </w:tabs>
        <w:autoSpaceDE w:val="0"/>
        <w:autoSpaceDN w:val="0"/>
        <w:spacing w:line="258" w:lineRule="exact"/>
        <w:jc w:val="both"/>
        <w:rPr>
          <w:rFonts w:ascii="Aptos" w:eastAsia="Arial MT" w:hAnsi="Aptos" w:cs="Arial MT"/>
          <w:b/>
          <w:szCs w:val="22"/>
          <w:highlight w:val="lightGray"/>
        </w:rPr>
      </w:pPr>
      <w:r w:rsidRPr="00C57722">
        <w:rPr>
          <w:rFonts w:ascii="Aptos" w:eastAsia="Arial MT" w:hAnsi="Aptos" w:cs="Arial MT"/>
          <w:b/>
          <w:szCs w:val="22"/>
          <w:highlight w:val="lightGray"/>
        </w:rPr>
        <w:t>Hintergrund</w:t>
      </w:r>
      <w:r w:rsidRPr="00C57722">
        <w:rPr>
          <w:rFonts w:ascii="Aptos" w:eastAsia="Arial MT" w:hAnsi="Aptos" w:cs="Arial MT"/>
          <w:b/>
          <w:szCs w:val="22"/>
          <w:highlight w:val="lightGray"/>
        </w:rPr>
        <w:tab/>
      </w:r>
    </w:p>
    <w:p w14:paraId="16B10754" w14:textId="60B82D24" w:rsidR="00623AF8" w:rsidRPr="009879DE" w:rsidRDefault="00623AF8" w:rsidP="00623AF8">
      <w:pPr>
        <w:spacing w:before="120" w:after="120"/>
        <w:jc w:val="both"/>
        <w:rPr>
          <w:rFonts w:ascii="Aptos" w:hAnsi="Aptos"/>
          <w:sz w:val="22"/>
          <w:szCs w:val="22"/>
        </w:rPr>
      </w:pPr>
      <w:r>
        <w:rPr>
          <w:rFonts w:ascii="Aptos" w:hAnsi="Aptos"/>
          <w:sz w:val="22"/>
          <w:szCs w:val="22"/>
        </w:rPr>
        <w:t xml:space="preserve">Die Open-Data-Politik der EU definiert frei zugängliche und offene Daten als wertvolle Ressource, um wirtschaftliche und gesellschaftliche Werte zu fördern. Insbesondere die 2019 in Kraft getretene Richtlinie über offene Daten, die die bisherige PSI-Richtlinie von 2003 ersetzte, soll die Transparenz öffentlicher Stellen und Unternehmen sowie einen fairen Wettbewerb für Interessenträger, die an der Weiterverwendung von Daten des öffentlichen Sektors interessiert sind, gewährleisten. Der Fokus der PSI-Richtlinie liegt auf den wirtschaftlichen Aspekten der Weiterverwendung von Informationen, nicht auf Verbraucherinformationen. Sie fordert dazu auf, möglichst viele Informationen auf nationaler, regionaler und lokaler Ebene zur Weiterverwendung zur Verfügung zu stellen und betrifft somit auch öffentliche und kommunale Unternehmen, die Dienstleistungen im Bereich der Daseinsvorsorge zur Verfügung stellen. </w:t>
      </w:r>
    </w:p>
    <w:p w14:paraId="2072D658" w14:textId="77777777" w:rsidR="00623AF8" w:rsidRDefault="00623AF8" w:rsidP="00623AF8">
      <w:pPr>
        <w:pStyle w:val="StandardWeb"/>
        <w:spacing w:before="0" w:beforeAutospacing="0" w:after="120" w:afterAutospacing="0"/>
        <w:jc w:val="both"/>
        <w:rPr>
          <w:rFonts w:ascii="Aptos" w:hAnsi="Aptos"/>
          <w:sz w:val="22"/>
          <w:szCs w:val="22"/>
        </w:rPr>
      </w:pPr>
      <w:r w:rsidRPr="00F547ED">
        <w:rPr>
          <w:rFonts w:ascii="Aptos" w:hAnsi="Aptos"/>
          <w:sz w:val="22"/>
          <w:szCs w:val="22"/>
        </w:rPr>
        <w:t xml:space="preserve">Da </w:t>
      </w:r>
      <w:r>
        <w:rPr>
          <w:rFonts w:ascii="Aptos" w:hAnsi="Aptos"/>
          <w:sz w:val="22"/>
          <w:szCs w:val="22"/>
        </w:rPr>
        <w:t xml:space="preserve">insbesondere Dienstleistungen der Daseinsvorsorge </w:t>
      </w:r>
      <w:r w:rsidRPr="00F547ED">
        <w:rPr>
          <w:rFonts w:ascii="Aptos" w:hAnsi="Aptos"/>
          <w:sz w:val="22"/>
          <w:szCs w:val="22"/>
        </w:rPr>
        <w:t>zur kritischen Infrastruktur zählen, unterliegen die Betreiber gleichzeitig strenge</w:t>
      </w:r>
      <w:r>
        <w:rPr>
          <w:rFonts w:ascii="Aptos" w:hAnsi="Aptos"/>
          <w:sz w:val="22"/>
          <w:szCs w:val="22"/>
        </w:rPr>
        <w:t>n</w:t>
      </w:r>
      <w:r w:rsidRPr="00F547ED">
        <w:rPr>
          <w:rFonts w:ascii="Aptos" w:hAnsi="Aptos"/>
          <w:sz w:val="22"/>
          <w:szCs w:val="22"/>
        </w:rPr>
        <w:t xml:space="preserve"> Vorschriften zum Schutz ihrer Daten sowie der Infrastruktur. Die 2016 eingeführten Cybersicherheitsvorschriften wurden 2023 durch die NIS2-Richtlinie modernisiert. Diese erweitert den Anwendungsbereich auf alle wirtschaftlich und gesellschaftlich wichtigen Sektoren, die stark auf IKT angewiesen sind, wie Energie, Verkehr, Wasser, Banken, Finanzmärkte, Gesundheitsversorgung und digitale Infrastruktur, um die Resilienz und Reaktionsfähigkeit öffentlicher und privater Stellen zu verbessern.</w:t>
      </w:r>
    </w:p>
    <w:p w14:paraId="7095A39D" w14:textId="77777777" w:rsidR="00623AF8" w:rsidRDefault="00623AF8" w:rsidP="00623AF8">
      <w:pPr>
        <w:pStyle w:val="StandardWeb"/>
        <w:spacing w:before="0" w:beforeAutospacing="0" w:after="120" w:afterAutospacing="0"/>
        <w:jc w:val="both"/>
        <w:rPr>
          <w:rFonts w:ascii="Aptos" w:hAnsi="Aptos"/>
          <w:sz w:val="22"/>
          <w:szCs w:val="22"/>
        </w:rPr>
      </w:pPr>
      <w:r>
        <w:rPr>
          <w:rFonts w:ascii="Aptos" w:hAnsi="Aptos"/>
          <w:sz w:val="22"/>
          <w:szCs w:val="22"/>
        </w:rPr>
        <w:t>Durch dieses Spannungsfeld drängt sich die Frage auf, wo und wie eine sinnvolle Grenze zwischen einer Open-Data-Politik und Maßnahmen zum Schutz kritischer Infrastrukturen gezogen werden kann, um zu vermeiden, dass kritische Infrastrukturen angreifbar werden.</w:t>
      </w:r>
    </w:p>
    <w:p w14:paraId="37B2C056" w14:textId="77777777" w:rsidR="00623AF8" w:rsidRDefault="00623AF8" w:rsidP="00623AF8">
      <w:pPr>
        <w:jc w:val="both"/>
        <w:rPr>
          <w:rFonts w:ascii="Arial" w:hAnsi="Arial" w:cs="Arial"/>
          <w:color w:val="404040"/>
        </w:rPr>
      </w:pPr>
    </w:p>
    <w:p w14:paraId="37D86894" w14:textId="77777777" w:rsidR="00623AF8" w:rsidRPr="007A1DB2" w:rsidRDefault="00623AF8" w:rsidP="00623AF8">
      <w:pPr>
        <w:jc w:val="both"/>
        <w:rPr>
          <w:rFonts w:ascii="Aptos" w:hAnsi="Aptos"/>
          <w:bCs/>
          <w:sz w:val="22"/>
          <w:szCs w:val="22"/>
          <w:u w:val="single"/>
        </w:rPr>
        <w:sectPr w:rsidR="00623AF8" w:rsidRPr="007A1DB2" w:rsidSect="00034C8E">
          <w:pgSz w:w="11906" w:h="16838"/>
          <w:pgMar w:top="1871" w:right="1418" w:bottom="1134" w:left="1418" w:header="709" w:footer="510" w:gutter="0"/>
          <w:cols w:space="708"/>
          <w:titlePg/>
          <w:docGrid w:linePitch="360"/>
        </w:sectPr>
      </w:pPr>
    </w:p>
    <w:p w14:paraId="0430CA5D" w14:textId="77777777" w:rsidR="00623AF8" w:rsidRPr="007A1DB2" w:rsidRDefault="00623AF8" w:rsidP="00623AF8">
      <w:pPr>
        <w:pStyle w:val="berschrift1"/>
        <w:rPr>
          <w:rFonts w:ascii="Aptos" w:hAnsi="Aptos"/>
          <w:sz w:val="22"/>
          <w:szCs w:val="22"/>
        </w:rPr>
      </w:pPr>
      <w:bookmarkStart w:id="67" w:name="_Toc165027671"/>
      <w:bookmarkStart w:id="68" w:name="_Toc170983661"/>
      <w:r>
        <w:rPr>
          <w:rFonts w:ascii="Aptos" w:hAnsi="Aptos"/>
          <w:sz w:val="22"/>
          <w:szCs w:val="22"/>
        </w:rPr>
        <w:lastRenderedPageBreak/>
        <w:t>KI-Technologien im Wassersektor</w:t>
      </w:r>
      <w:bookmarkEnd w:id="67"/>
      <w:bookmarkEnd w:id="68"/>
    </w:p>
    <w:p w14:paraId="5ED00808"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07357370" w14:textId="77777777" w:rsidTr="00875DD0">
        <w:tc>
          <w:tcPr>
            <w:tcW w:w="9060" w:type="dxa"/>
            <w:shd w:val="clear" w:color="auto" w:fill="D9D9D9" w:themeFill="background1" w:themeFillShade="D9"/>
          </w:tcPr>
          <w:p w14:paraId="6DD10839"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416B6FCB" w14:textId="77777777" w:rsidTr="00875DD0">
        <w:tc>
          <w:tcPr>
            <w:tcW w:w="9060" w:type="dxa"/>
          </w:tcPr>
          <w:p w14:paraId="289A4590" w14:textId="77777777" w:rsidR="00623AF8" w:rsidRPr="00034BD7" w:rsidRDefault="00623AF8" w:rsidP="00875DD0">
            <w:pPr>
              <w:spacing w:before="120" w:after="120"/>
              <w:jc w:val="both"/>
              <w:rPr>
                <w:rFonts w:ascii="Aptos" w:hAnsi="Aptos"/>
                <w:b/>
                <w:bCs/>
                <w:sz w:val="22"/>
                <w:szCs w:val="22"/>
              </w:rPr>
            </w:pPr>
            <w:r>
              <w:rPr>
                <w:rFonts w:ascii="Aptos" w:hAnsi="Aptos"/>
                <w:sz w:val="22"/>
                <w:szCs w:val="22"/>
              </w:rPr>
              <w:t xml:space="preserve">Der Einsatz von KI-Technologien gewinnt immer mehr an Relevanz. Auch in der Wasserwirtschaft gäbe es zahlreiche praxistaugliche Anwendungsfelder, wie z.B. eine kosteneffiziente Instandhaltung von Leitungs- und Kanalnetzen oder präzise Prognosen von Starkregenereignissen und Wasserverbrauchsmengen. Als Teil der kritischen Infrastruktur unterliegt der Wassersektor allerdings besonders strengen Vorgaben hinsichtlich Cybersecurity und Datenmanagement, wodurch der Einsatz von KI-Technologien, die am freien Markt verfügbar sind, oft verhindert wird. Aus dem Blickwinkel von Sicherheitsanforderungen einer kritischen Infrastruktur bedarf es somit neuen Möglichkeiten für den Einsatz von KI. </w:t>
            </w:r>
            <w:r w:rsidRPr="00034BD7">
              <w:rPr>
                <w:rFonts w:ascii="Aptos" w:hAnsi="Aptos"/>
                <w:b/>
                <w:bCs/>
                <w:sz w:val="22"/>
                <w:szCs w:val="22"/>
              </w:rPr>
              <w:t xml:space="preserve">Inwiefern sehen sie ein </w:t>
            </w:r>
            <w:r>
              <w:rPr>
                <w:rFonts w:ascii="Aptos" w:hAnsi="Aptos"/>
                <w:b/>
                <w:bCs/>
                <w:sz w:val="22"/>
                <w:szCs w:val="22"/>
              </w:rPr>
              <w:t xml:space="preserve">von der EU-Kommission initiiertes und entsprechend den EU-rechtlichen Vorgaben zum Schutz kritischer Infrastruktur zertifiziertes, </w:t>
            </w:r>
            <w:r w:rsidRPr="00034BD7">
              <w:rPr>
                <w:rFonts w:ascii="Aptos" w:hAnsi="Aptos"/>
                <w:b/>
                <w:bCs/>
                <w:sz w:val="22"/>
                <w:szCs w:val="22"/>
              </w:rPr>
              <w:t xml:space="preserve"> KI-System als Teil einer nachhaltigen europäischen Sicherheitsarchitektur im </w:t>
            </w:r>
            <w:r>
              <w:rPr>
                <w:rFonts w:ascii="Aptos" w:hAnsi="Aptos"/>
                <w:b/>
                <w:bCs/>
                <w:sz w:val="22"/>
                <w:szCs w:val="22"/>
              </w:rPr>
              <w:t>S</w:t>
            </w:r>
            <w:r w:rsidRPr="00034BD7">
              <w:rPr>
                <w:rFonts w:ascii="Aptos" w:hAnsi="Aptos"/>
                <w:b/>
                <w:bCs/>
                <w:sz w:val="22"/>
                <w:szCs w:val="22"/>
              </w:rPr>
              <w:t>inne einer verbesserten europäischen Resilienz?</w:t>
            </w:r>
          </w:p>
        </w:tc>
      </w:tr>
      <w:tr w:rsidR="00623AF8" w:rsidRPr="007A1DB2" w14:paraId="62D161E8" w14:textId="77777777" w:rsidTr="00875DD0">
        <w:tc>
          <w:tcPr>
            <w:tcW w:w="9060" w:type="dxa"/>
            <w:shd w:val="clear" w:color="auto" w:fill="D9D9D9" w:themeFill="background1" w:themeFillShade="D9"/>
          </w:tcPr>
          <w:p w14:paraId="51AC875A"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1AD357E5" w14:textId="77777777" w:rsidTr="00875DD0">
        <w:tc>
          <w:tcPr>
            <w:tcW w:w="9060" w:type="dxa"/>
          </w:tcPr>
          <w:p w14:paraId="15A5F5CC" w14:textId="5A3877A0" w:rsidR="00623AF8" w:rsidRPr="007A1DB2" w:rsidRDefault="00687828" w:rsidP="00875DD0">
            <w:pPr>
              <w:spacing w:before="120" w:after="120"/>
              <w:jc w:val="both"/>
              <w:rPr>
                <w:rFonts w:ascii="Aptos" w:hAnsi="Aptos"/>
                <w:i/>
                <w:iCs/>
                <w:sz w:val="22"/>
                <w:szCs w:val="22"/>
                <w:u w:val="single"/>
              </w:rPr>
            </w:pPr>
            <w:r>
              <w:rPr>
                <w:rFonts w:ascii="Aptos" w:hAnsi="Aptos"/>
                <w:i/>
                <w:iCs/>
                <w:sz w:val="22"/>
                <w:szCs w:val="22"/>
                <w:u w:val="single"/>
              </w:rPr>
              <w:t>-</w:t>
            </w:r>
          </w:p>
        </w:tc>
      </w:tr>
    </w:tbl>
    <w:p w14:paraId="38DFBC4A" w14:textId="77777777" w:rsidR="00623AF8" w:rsidRPr="007A1DB2" w:rsidRDefault="00623AF8" w:rsidP="00623AF8">
      <w:pPr>
        <w:spacing w:after="120"/>
        <w:jc w:val="both"/>
        <w:rPr>
          <w:rFonts w:ascii="Aptos" w:hAnsi="Aptos"/>
          <w:i/>
          <w:iCs/>
          <w:sz w:val="22"/>
          <w:szCs w:val="22"/>
          <w:u w:val="single"/>
        </w:rPr>
      </w:pPr>
    </w:p>
    <w:p w14:paraId="214E38A7" w14:textId="4E13E4FF" w:rsidR="00EE6A98" w:rsidRPr="00660A69" w:rsidRDefault="00EE6A98" w:rsidP="00EE6A98">
      <w:pPr>
        <w:widowControl w:val="0"/>
        <w:tabs>
          <w:tab w:val="right" w:pos="9070"/>
        </w:tabs>
        <w:autoSpaceDE w:val="0"/>
        <w:autoSpaceDN w:val="0"/>
        <w:spacing w:line="258" w:lineRule="exact"/>
        <w:jc w:val="both"/>
        <w:rPr>
          <w:rFonts w:ascii="Aptos" w:eastAsia="Arial MT" w:hAnsi="Aptos" w:cs="Arial MT"/>
          <w:b/>
          <w:szCs w:val="22"/>
          <w:highlight w:val="lightGray"/>
          <w:lang w:val="en-GB"/>
        </w:rPr>
      </w:pPr>
      <w:r w:rsidRPr="00660A69">
        <w:rPr>
          <w:rFonts w:ascii="Aptos" w:eastAsia="Arial MT" w:hAnsi="Aptos" w:cs="Arial MT"/>
          <w:b/>
          <w:szCs w:val="22"/>
          <w:highlight w:val="lightGray"/>
          <w:lang w:val="en-GB"/>
        </w:rPr>
        <w:t>Hintergrund</w:t>
      </w:r>
      <w:r>
        <w:rPr>
          <w:rFonts w:ascii="Aptos" w:eastAsia="Arial MT" w:hAnsi="Aptos" w:cs="Arial MT"/>
          <w:b/>
          <w:szCs w:val="22"/>
          <w:highlight w:val="lightGray"/>
          <w:lang w:val="en-GB"/>
        </w:rPr>
        <w:tab/>
      </w:r>
    </w:p>
    <w:p w14:paraId="1AF12B5F" w14:textId="77777777" w:rsidR="00623AF8" w:rsidRPr="00CD2120" w:rsidRDefault="00623AF8" w:rsidP="00623AF8">
      <w:pPr>
        <w:spacing w:after="120"/>
        <w:jc w:val="both"/>
        <w:rPr>
          <w:rFonts w:ascii="Aptos" w:hAnsi="Aptos"/>
          <w:color w:val="000000"/>
          <w:spacing w:val="3"/>
          <w:sz w:val="22"/>
          <w:szCs w:val="22"/>
        </w:rPr>
      </w:pPr>
      <w:r w:rsidRPr="00CD2120">
        <w:rPr>
          <w:rFonts w:ascii="Aptos" w:hAnsi="Aptos"/>
          <w:sz w:val="22"/>
          <w:szCs w:val="22"/>
        </w:rPr>
        <w:t>Künstliche Intelligenz (KI)</w:t>
      </w:r>
      <w:r w:rsidRPr="00CD2120">
        <w:rPr>
          <w:rFonts w:ascii="Aptos" w:hAnsi="Aptos"/>
          <w:color w:val="000000"/>
          <w:spacing w:val="3"/>
          <w:sz w:val="22"/>
          <w:szCs w:val="22"/>
          <w:shd w:val="clear" w:color="auto" w:fill="FFFFFF"/>
        </w:rPr>
        <w:t xml:space="preserve"> ermöglicht es, unter Berücksichtigung großer Datenmengen zuverlässigere Algorithmen-basierte Entscheidungen zu treffen. KI bietet dadurch Chancen, positive Entwicklungen im Sinne des Umweltschutzes, der Klimawandelanpassung oder der Inklusion anzustoßen und findet auch in der Wasserwirtschaft immer mehr praxistaugliche Anwendungsfelder. Sie birgt jedoch auch erhebliche Risiken. Durch missbräuchliche Nutzung, </w:t>
      </w:r>
      <w:r w:rsidRPr="00CD2120">
        <w:rPr>
          <w:rFonts w:ascii="Aptos" w:hAnsi="Aptos"/>
          <w:color w:val="000000"/>
          <w:spacing w:val="3"/>
          <w:sz w:val="22"/>
          <w:szCs w:val="22"/>
        </w:rPr>
        <w:t>etwa in Form von Cyberattacken oder Desinformationskampagnen, kann insbesondere in kritischen Infrastrukturen erhebliche</w:t>
      </w:r>
      <w:r>
        <w:rPr>
          <w:rFonts w:ascii="Aptos" w:hAnsi="Aptos"/>
          <w:color w:val="000000"/>
          <w:spacing w:val="3"/>
          <w:sz w:val="22"/>
          <w:szCs w:val="22"/>
        </w:rPr>
        <w:t>r</w:t>
      </w:r>
      <w:r w:rsidRPr="00CD2120">
        <w:rPr>
          <w:rFonts w:ascii="Aptos" w:hAnsi="Aptos"/>
          <w:color w:val="000000"/>
          <w:spacing w:val="3"/>
          <w:sz w:val="22"/>
          <w:szCs w:val="22"/>
        </w:rPr>
        <w:t xml:space="preserve"> Schaden </w:t>
      </w:r>
      <w:r>
        <w:rPr>
          <w:rFonts w:ascii="Aptos" w:hAnsi="Aptos"/>
          <w:color w:val="000000"/>
          <w:spacing w:val="3"/>
          <w:sz w:val="22"/>
          <w:szCs w:val="22"/>
        </w:rPr>
        <w:t>angerichtet werden</w:t>
      </w:r>
      <w:r w:rsidRPr="00CD2120">
        <w:rPr>
          <w:rFonts w:ascii="Aptos" w:hAnsi="Aptos"/>
          <w:color w:val="000000"/>
          <w:spacing w:val="3"/>
          <w:sz w:val="22"/>
          <w:szCs w:val="22"/>
        </w:rPr>
        <w:t>.</w:t>
      </w:r>
      <w:r>
        <w:rPr>
          <w:rFonts w:ascii="Aptos" w:hAnsi="Aptos"/>
          <w:color w:val="000000"/>
          <w:spacing w:val="3"/>
          <w:sz w:val="22"/>
          <w:szCs w:val="22"/>
        </w:rPr>
        <w:t xml:space="preserve"> </w:t>
      </w:r>
      <w:r w:rsidRPr="00CD2120">
        <w:rPr>
          <w:rFonts w:ascii="Aptos" w:hAnsi="Aptos"/>
          <w:color w:val="000000"/>
          <w:spacing w:val="3"/>
          <w:sz w:val="22"/>
          <w:szCs w:val="22"/>
        </w:rPr>
        <w:t>Im Frühjahr 2024 sperrte OpenAI etwa die ChatGPT-Accounts von fünf </w:t>
      </w:r>
      <w:hyperlink r:id="rId25" w:tgtFrame="_blank" w:tooltip="Öffnet in einem neuen Fenster" w:history="1">
        <w:r w:rsidRPr="00CD2120">
          <w:rPr>
            <w:rStyle w:val="Hyperlink"/>
            <w:rFonts w:ascii="Aptos" w:hAnsi="Aptos"/>
            <w:color w:val="000000"/>
            <w:spacing w:val="3"/>
            <w:sz w:val="22"/>
            <w:szCs w:val="22"/>
          </w:rPr>
          <w:t>regierungsnahen Hackergruppen</w:t>
        </w:r>
      </w:hyperlink>
      <w:r w:rsidRPr="00CD2120">
        <w:rPr>
          <w:rFonts w:ascii="Aptos" w:hAnsi="Aptos"/>
          <w:color w:val="000000"/>
          <w:spacing w:val="3"/>
          <w:sz w:val="22"/>
          <w:szCs w:val="22"/>
        </w:rPr>
        <w:t> aus China, dem Iran, Nordkorea und Russland, die die Technologie nutzten, um Softwareentwicklungen zu automatisieren und Phishing-Mails zu verfassen.</w:t>
      </w:r>
    </w:p>
    <w:p w14:paraId="31199F79" w14:textId="77777777" w:rsidR="00623AF8" w:rsidRDefault="00623AF8" w:rsidP="00623AF8">
      <w:pPr>
        <w:pStyle w:val="StandardWeb"/>
        <w:shd w:val="clear" w:color="auto" w:fill="FFFFFF"/>
        <w:spacing w:before="0" w:beforeAutospacing="0" w:after="120" w:afterAutospacing="0"/>
        <w:jc w:val="both"/>
        <w:rPr>
          <w:rFonts w:ascii="Aptos" w:hAnsi="Aptos"/>
          <w:color w:val="000000"/>
          <w:spacing w:val="3"/>
          <w:sz w:val="22"/>
          <w:szCs w:val="22"/>
        </w:rPr>
      </w:pPr>
      <w:r w:rsidRPr="00CD2120">
        <w:rPr>
          <w:rFonts w:ascii="Aptos" w:hAnsi="Aptos"/>
          <w:color w:val="000000"/>
          <w:spacing w:val="3"/>
          <w:sz w:val="22"/>
          <w:szCs w:val="22"/>
        </w:rPr>
        <w:t xml:space="preserve">Im Juni 2024 wurde </w:t>
      </w:r>
      <w:r>
        <w:rPr>
          <w:rFonts w:ascii="Aptos" w:hAnsi="Aptos"/>
          <w:color w:val="000000"/>
          <w:spacing w:val="3"/>
          <w:sz w:val="22"/>
          <w:szCs w:val="22"/>
        </w:rPr>
        <w:t xml:space="preserve">auf EU-Ebene </w:t>
      </w:r>
      <w:r w:rsidRPr="00CD2120">
        <w:rPr>
          <w:rFonts w:ascii="Aptos" w:hAnsi="Aptos"/>
          <w:color w:val="000000"/>
          <w:spacing w:val="3"/>
          <w:sz w:val="22"/>
          <w:szCs w:val="22"/>
        </w:rPr>
        <w:t>mit dem KI-Gesetz die erste verbindliche horizontale Verordnung weltweit fertiggestellt</w:t>
      </w:r>
      <w:r>
        <w:rPr>
          <w:rFonts w:ascii="Aptos" w:hAnsi="Aptos"/>
          <w:color w:val="000000"/>
          <w:spacing w:val="3"/>
          <w:sz w:val="22"/>
          <w:szCs w:val="22"/>
        </w:rPr>
        <w:t>. Das KI-Gesetz stellt</w:t>
      </w:r>
      <w:r w:rsidRPr="00CD2120">
        <w:rPr>
          <w:rFonts w:ascii="Aptos" w:hAnsi="Aptos"/>
          <w:color w:val="000000"/>
          <w:spacing w:val="3"/>
          <w:sz w:val="22"/>
          <w:szCs w:val="22"/>
        </w:rPr>
        <w:t xml:space="preserve"> die einen gemeinsamen Rahmen für die Nutzung und Bereitstellung von KI-Systemen in der EU bereitstellt. Er bietet eine Klassifizierung für KI-Systeme mit unterschiedlichen Anforderungen und Verpflichtungen, die auf einem "risikobasierten Ansatz" basieren. Einige KI-Systeme, die "unannehmbare" Risiken darstellen, sind verboten. Eine breite Palette von KI-Systemen mit hohem Risiko", die sich nachteilig auf die Gesundheit, die Sicherheit oder die Grundrechte der Menschen auswirken können, sind zugelassen, unterliegen aber einer Reihe von Anforderungen und Verpflichtungen, um Zugang zum EU-Markt zu erhalten. Für KI-Systeme, die aufgrund ihrer mangelnden Transparenz nur begrenzte Risiken darstellen, gelten Informations- und Transparenzanforderungen, während für KI-Systeme, die nur ein minimales Risiko für die Menschen darstellen, keine weiteren Verpflichtungen gelten.</w:t>
      </w:r>
    </w:p>
    <w:p w14:paraId="3F07B521" w14:textId="77777777" w:rsidR="00623AF8" w:rsidRPr="00CD2120" w:rsidRDefault="00623AF8" w:rsidP="00623AF8">
      <w:pPr>
        <w:pStyle w:val="StandardWeb"/>
        <w:shd w:val="clear" w:color="auto" w:fill="FFFFFF"/>
        <w:spacing w:before="0" w:beforeAutospacing="0" w:after="120" w:afterAutospacing="0"/>
        <w:jc w:val="both"/>
        <w:rPr>
          <w:rFonts w:ascii="Aptos" w:hAnsi="Aptos"/>
          <w:color w:val="000000"/>
          <w:spacing w:val="3"/>
          <w:sz w:val="22"/>
          <w:szCs w:val="22"/>
        </w:rPr>
      </w:pPr>
    </w:p>
    <w:p w14:paraId="25BC9A77" w14:textId="77777777" w:rsidR="00623AF8" w:rsidRPr="007A1DB2" w:rsidRDefault="00623AF8" w:rsidP="00623AF8">
      <w:pPr>
        <w:spacing w:after="120"/>
        <w:jc w:val="both"/>
        <w:rPr>
          <w:rFonts w:ascii="Aptos" w:hAnsi="Aptos"/>
          <w:i/>
          <w:iCs/>
          <w:sz w:val="22"/>
          <w:szCs w:val="22"/>
          <w:u w:val="single"/>
        </w:rPr>
      </w:pPr>
    </w:p>
    <w:p w14:paraId="4F7E9B26" w14:textId="77777777" w:rsidR="00623AF8" w:rsidRDefault="00623AF8" w:rsidP="00623AF8">
      <w:pPr>
        <w:jc w:val="both"/>
        <w:rPr>
          <w:rFonts w:ascii="Aptos" w:hAnsi="Aptos"/>
          <w:bCs/>
          <w:sz w:val="22"/>
          <w:szCs w:val="22"/>
          <w:u w:val="single"/>
        </w:rPr>
        <w:sectPr w:rsidR="00623AF8" w:rsidSect="00034C8E">
          <w:pgSz w:w="11906" w:h="16838"/>
          <w:pgMar w:top="1871" w:right="1418" w:bottom="1134" w:left="1418" w:header="709" w:footer="510" w:gutter="0"/>
          <w:cols w:space="708"/>
          <w:docGrid w:linePitch="360"/>
        </w:sectPr>
      </w:pPr>
    </w:p>
    <w:p w14:paraId="4712EB6D" w14:textId="77777777" w:rsidR="00623AF8" w:rsidRPr="001C490B" w:rsidRDefault="00623AF8" w:rsidP="00623AF8">
      <w:pPr>
        <w:jc w:val="both"/>
        <w:rPr>
          <w:rFonts w:ascii="Aptos" w:hAnsi="Aptos"/>
          <w:bCs/>
          <w:sz w:val="22"/>
          <w:szCs w:val="22"/>
          <w:u w:val="single"/>
        </w:rPr>
      </w:pPr>
    </w:p>
    <w:p w14:paraId="3BDEA0A5" w14:textId="77777777" w:rsidR="00623AF8" w:rsidRPr="007A1DB2" w:rsidRDefault="00623AF8" w:rsidP="00623AF8">
      <w:pPr>
        <w:pStyle w:val="berschrift1"/>
        <w:rPr>
          <w:rFonts w:ascii="Aptos" w:hAnsi="Aptos"/>
          <w:sz w:val="22"/>
          <w:szCs w:val="22"/>
        </w:rPr>
      </w:pPr>
      <w:bookmarkStart w:id="69" w:name="_Toc165027672"/>
      <w:bookmarkStart w:id="70" w:name="_Toc170983662"/>
      <w:r w:rsidRPr="007A1DB2">
        <w:rPr>
          <w:rFonts w:ascii="Aptos" w:hAnsi="Aptos"/>
          <w:sz w:val="22"/>
          <w:szCs w:val="22"/>
        </w:rPr>
        <w:t>Erfahrungswissen Städtepolitik</w:t>
      </w:r>
      <w:bookmarkEnd w:id="69"/>
      <w:bookmarkEnd w:id="70"/>
    </w:p>
    <w:p w14:paraId="66C5B0EE" w14:textId="77777777" w:rsidR="00623AF8" w:rsidRPr="007A1DB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7A1DB2" w14:paraId="288DA510" w14:textId="77777777" w:rsidTr="00875DD0">
        <w:tc>
          <w:tcPr>
            <w:tcW w:w="9060" w:type="dxa"/>
            <w:shd w:val="clear" w:color="auto" w:fill="D9D9D9" w:themeFill="background1" w:themeFillShade="D9"/>
          </w:tcPr>
          <w:p w14:paraId="4921963E" w14:textId="77777777" w:rsidR="00623AF8" w:rsidRPr="007A1DB2" w:rsidRDefault="00623AF8" w:rsidP="00875DD0">
            <w:pPr>
              <w:spacing w:before="120" w:after="120"/>
              <w:jc w:val="both"/>
              <w:rPr>
                <w:rFonts w:ascii="Aptos" w:hAnsi="Aptos"/>
                <w:b/>
                <w:iCs/>
                <w:sz w:val="22"/>
                <w:szCs w:val="22"/>
              </w:rPr>
            </w:pPr>
            <w:r w:rsidRPr="007A1DB2">
              <w:rPr>
                <w:rFonts w:ascii="Aptos" w:hAnsi="Aptos"/>
                <w:b/>
                <w:iCs/>
                <w:sz w:val="22"/>
                <w:szCs w:val="22"/>
              </w:rPr>
              <w:t>Frage</w:t>
            </w:r>
          </w:p>
        </w:tc>
      </w:tr>
      <w:tr w:rsidR="00623AF8" w:rsidRPr="007A1DB2" w14:paraId="6D2C56B7" w14:textId="77777777" w:rsidTr="00875DD0">
        <w:tc>
          <w:tcPr>
            <w:tcW w:w="9060" w:type="dxa"/>
          </w:tcPr>
          <w:p w14:paraId="5D0216CD" w14:textId="77777777" w:rsidR="00623AF8" w:rsidRPr="007A1DB2" w:rsidRDefault="00623AF8" w:rsidP="00875DD0">
            <w:pPr>
              <w:spacing w:before="120"/>
              <w:jc w:val="both"/>
              <w:rPr>
                <w:rFonts w:ascii="Aptos" w:hAnsi="Aptos"/>
                <w:sz w:val="22"/>
                <w:szCs w:val="22"/>
              </w:rPr>
            </w:pPr>
            <w:r w:rsidRPr="007A1DB2">
              <w:rPr>
                <w:rFonts w:ascii="Aptos" w:hAnsi="Aptos"/>
                <w:sz w:val="22"/>
                <w:szCs w:val="22"/>
              </w:rPr>
              <w:t xml:space="preserve">Europa ist vereint in seiner Diversität, seine Zukunft wird in den Städten geprägt. Rund drei Viertel aller Menschen in Europa leben in städtischen Gebieten. Die kommunalen Wasser- und Energieversorger, Abfallentsorger, Abwasserbehandler, der städtische Wohnbau und die oft kommunalen sozialen Dienstleistungen tragen wesentlich zu einem lebenswerten Europa bei.  Dennoch bekommen Städte von der EU-Kommission – auch mittels fehlender unmittelbarer Kompetenz – selten die Aufmerksamkeit, die sie verdienen. </w:t>
            </w:r>
          </w:p>
          <w:p w14:paraId="343194F5" w14:textId="77777777" w:rsidR="00623AF8" w:rsidRPr="007A1DB2" w:rsidRDefault="00623AF8" w:rsidP="00875DD0">
            <w:pPr>
              <w:spacing w:after="120"/>
              <w:jc w:val="both"/>
              <w:rPr>
                <w:rFonts w:ascii="Aptos" w:hAnsi="Aptos"/>
                <w:b/>
                <w:bCs/>
                <w:sz w:val="22"/>
                <w:szCs w:val="22"/>
              </w:rPr>
            </w:pPr>
            <w:r w:rsidRPr="007A1DB2">
              <w:rPr>
                <w:rFonts w:ascii="Aptos" w:hAnsi="Aptos"/>
                <w:b/>
                <w:bCs/>
                <w:sz w:val="22"/>
                <w:szCs w:val="22"/>
              </w:rPr>
              <w:t xml:space="preserve">Inwiefern gedenken Sie, die Städtepolitik zu unterstützen und das Erfahrungswissen aus den Städten in die EU-Umwelt und Energie-Politik zu integrieren? </w:t>
            </w:r>
          </w:p>
        </w:tc>
      </w:tr>
      <w:tr w:rsidR="00623AF8" w:rsidRPr="007A1DB2" w14:paraId="124EF9D0" w14:textId="77777777" w:rsidTr="00875DD0">
        <w:tc>
          <w:tcPr>
            <w:tcW w:w="9060" w:type="dxa"/>
            <w:shd w:val="clear" w:color="auto" w:fill="D9D9D9" w:themeFill="background1" w:themeFillShade="D9"/>
          </w:tcPr>
          <w:p w14:paraId="590790E8" w14:textId="77777777" w:rsidR="00623AF8" w:rsidRPr="007A1DB2" w:rsidRDefault="00623AF8" w:rsidP="00875DD0">
            <w:pPr>
              <w:spacing w:before="120" w:after="120"/>
              <w:jc w:val="both"/>
              <w:rPr>
                <w:rFonts w:ascii="Aptos" w:hAnsi="Aptos"/>
                <w:b/>
                <w:bCs/>
                <w:sz w:val="22"/>
                <w:szCs w:val="22"/>
              </w:rPr>
            </w:pPr>
            <w:r w:rsidRPr="007A1DB2">
              <w:rPr>
                <w:rFonts w:ascii="Aptos" w:hAnsi="Aptos"/>
                <w:b/>
                <w:bCs/>
                <w:sz w:val="22"/>
                <w:szCs w:val="22"/>
              </w:rPr>
              <w:t>Nachfrage</w:t>
            </w:r>
          </w:p>
        </w:tc>
      </w:tr>
      <w:tr w:rsidR="00623AF8" w:rsidRPr="007A1DB2" w14:paraId="72A3ED28" w14:textId="77777777" w:rsidTr="00875DD0">
        <w:tc>
          <w:tcPr>
            <w:tcW w:w="9060" w:type="dxa"/>
          </w:tcPr>
          <w:p w14:paraId="7AD258C1" w14:textId="72902E7A" w:rsidR="00623AF8" w:rsidRPr="00EE6A98" w:rsidRDefault="00623AF8" w:rsidP="00F63BE8">
            <w:pPr>
              <w:pStyle w:val="Listenabsatz"/>
              <w:numPr>
                <w:ilvl w:val="0"/>
                <w:numId w:val="2"/>
              </w:numPr>
              <w:spacing w:before="120" w:after="120"/>
              <w:jc w:val="both"/>
              <w:rPr>
                <w:rFonts w:ascii="Aptos" w:hAnsi="Aptos"/>
                <w:i/>
                <w:iCs/>
                <w:sz w:val="22"/>
                <w:szCs w:val="22"/>
                <w:u w:val="single"/>
              </w:rPr>
            </w:pPr>
            <w:r w:rsidRPr="00EE6A98">
              <w:rPr>
                <w:rFonts w:ascii="Aptos" w:hAnsi="Aptos"/>
                <w:sz w:val="22"/>
                <w:szCs w:val="22"/>
              </w:rPr>
              <w:t>Denken Sie daran, verstärkt Versorger bzw. öffentliche gemeinwohlorientierte Unternehmungen der öffentlichen Wirtschaft in Europa zu besuchen, um sich praktikable Beispiele anzuschauen?</w:t>
            </w:r>
          </w:p>
        </w:tc>
      </w:tr>
    </w:tbl>
    <w:p w14:paraId="15CDF9EA" w14:textId="77777777" w:rsidR="00623AF8" w:rsidRPr="007A1DB2" w:rsidRDefault="00623AF8" w:rsidP="00623AF8">
      <w:pPr>
        <w:spacing w:after="120"/>
        <w:jc w:val="both"/>
        <w:rPr>
          <w:rFonts w:ascii="Aptos" w:hAnsi="Aptos"/>
          <w:i/>
          <w:iCs/>
          <w:sz w:val="22"/>
          <w:szCs w:val="22"/>
          <w:u w:val="single"/>
        </w:rPr>
      </w:pPr>
    </w:p>
    <w:p w14:paraId="22E51B8B" w14:textId="2C4D03C3" w:rsidR="00EE6A98" w:rsidRPr="00EE6A98" w:rsidRDefault="00EE6A98" w:rsidP="00EE6A98">
      <w:pPr>
        <w:widowControl w:val="0"/>
        <w:tabs>
          <w:tab w:val="right" w:pos="9070"/>
        </w:tabs>
        <w:autoSpaceDE w:val="0"/>
        <w:autoSpaceDN w:val="0"/>
        <w:spacing w:line="258" w:lineRule="exact"/>
        <w:jc w:val="both"/>
        <w:rPr>
          <w:rFonts w:ascii="Aptos" w:eastAsia="Arial MT" w:hAnsi="Aptos" w:cs="Arial MT"/>
          <w:b/>
          <w:szCs w:val="22"/>
          <w:highlight w:val="lightGray"/>
        </w:rPr>
      </w:pPr>
      <w:r w:rsidRPr="00EE6A98">
        <w:rPr>
          <w:rFonts w:ascii="Aptos" w:eastAsia="Arial MT" w:hAnsi="Aptos" w:cs="Arial MT"/>
          <w:b/>
          <w:szCs w:val="22"/>
          <w:highlight w:val="lightGray"/>
        </w:rPr>
        <w:t>Hintergrund</w:t>
      </w:r>
      <w:r>
        <w:rPr>
          <w:rFonts w:ascii="Aptos" w:eastAsia="Arial MT" w:hAnsi="Aptos" w:cs="Arial MT"/>
          <w:b/>
          <w:szCs w:val="22"/>
          <w:highlight w:val="lightGray"/>
        </w:rPr>
        <w:tab/>
      </w:r>
    </w:p>
    <w:p w14:paraId="0BF93AE0" w14:textId="77777777" w:rsidR="00623AF8" w:rsidRPr="00D36F26" w:rsidRDefault="00623AF8" w:rsidP="00623AF8">
      <w:pPr>
        <w:pStyle w:val="StandardWeb"/>
        <w:spacing w:before="0" w:beforeAutospacing="0" w:after="120" w:afterAutospacing="0"/>
        <w:jc w:val="both"/>
        <w:rPr>
          <w:rFonts w:ascii="Aptos" w:hAnsi="Aptos"/>
          <w:sz w:val="22"/>
          <w:szCs w:val="22"/>
        </w:rPr>
      </w:pPr>
      <w:r w:rsidRPr="00D36F26">
        <w:rPr>
          <w:rFonts w:ascii="Aptos" w:hAnsi="Aptos"/>
          <w:sz w:val="22"/>
          <w:szCs w:val="22"/>
        </w:rPr>
        <w:t>Drei Viertel der Europäer:innen leben in städtischen Gebieten, jedoch hat die Europäische Union keine Zuständigkeit für Städtepolitik und es gibt keine europäische Gesetzgebung zu urbanen Fragen. Städte haben kein offizielles Mitspracherecht in der EU. Wien und andere europäische Städte arbeiten seit Jahren an der Einbindung der Städte in europäische Politiken. Der Pakt von Amsterdam 2016 war ein erster Erfolg in dieser Richtung.</w:t>
      </w:r>
    </w:p>
    <w:p w14:paraId="73544B75" w14:textId="77777777" w:rsidR="00623AF8" w:rsidRPr="00D36F26" w:rsidRDefault="00623AF8" w:rsidP="00623AF8">
      <w:pPr>
        <w:pStyle w:val="StandardWeb"/>
        <w:spacing w:before="0" w:beforeAutospacing="0" w:after="120" w:afterAutospacing="0"/>
        <w:jc w:val="both"/>
        <w:rPr>
          <w:rFonts w:ascii="Aptos" w:hAnsi="Aptos"/>
          <w:sz w:val="22"/>
          <w:szCs w:val="22"/>
        </w:rPr>
      </w:pPr>
      <w:r w:rsidRPr="00D36F26">
        <w:rPr>
          <w:rFonts w:ascii="Aptos" w:hAnsi="Aptos"/>
          <w:sz w:val="22"/>
          <w:szCs w:val="22"/>
        </w:rPr>
        <w:t>Städte und Gemeinden haben ein großes ungenutztes Investitionspotenzial im Kampf gegen die Klimakrise. Durch Maßnahmen vor Ort können der sozial-ökologische Umbau erlebbar und mitgestaltbar gemacht werden, wobei die öffentliche Hand eine Vorreiterrolle einnimmt.</w:t>
      </w:r>
    </w:p>
    <w:p w14:paraId="03DFCE87" w14:textId="77777777" w:rsidR="00623AF8" w:rsidRPr="00D36F26" w:rsidRDefault="00623AF8" w:rsidP="00623AF8">
      <w:pPr>
        <w:pStyle w:val="StandardWeb"/>
        <w:spacing w:before="0" w:beforeAutospacing="0" w:after="120" w:afterAutospacing="0"/>
        <w:jc w:val="both"/>
        <w:rPr>
          <w:rFonts w:ascii="Aptos" w:hAnsi="Aptos"/>
          <w:sz w:val="22"/>
          <w:szCs w:val="22"/>
        </w:rPr>
      </w:pPr>
      <w:r w:rsidRPr="00D36F26">
        <w:rPr>
          <w:rFonts w:ascii="Aptos" w:hAnsi="Aptos"/>
          <w:sz w:val="22"/>
          <w:szCs w:val="22"/>
        </w:rPr>
        <w:t>Im Januar 2024 haben Städtevertreter in Brüssel die „Brüsseler Erklärung der europäischen Bürgermeister“</w:t>
      </w:r>
      <w:r w:rsidRPr="00D36F26">
        <w:rPr>
          <w:rStyle w:val="Funotenzeichen"/>
          <w:rFonts w:ascii="Aptos" w:hAnsi="Aptos"/>
          <w:sz w:val="22"/>
          <w:szCs w:val="22"/>
        </w:rPr>
        <w:footnoteReference w:id="6"/>
      </w:r>
      <w:r w:rsidRPr="00D36F26">
        <w:rPr>
          <w:rFonts w:ascii="Aptos" w:hAnsi="Aptos"/>
          <w:sz w:val="22"/>
          <w:szCs w:val="22"/>
        </w:rPr>
        <w:t xml:space="preserve"> unterzeichnet. Diese Erklärung betont die Bedeutung der Städte als Partner europäischer Einrichtungen und fordert, dass ihre Sichtweisen in Parlament und Kommission besser berücksichtigt werden. Vier prioritäre Arbeitsfelder wurden festgelegt: nachhaltiges, leistbares und qualitätsvolles Wohnen; soziale und Geschlechtergerechtigkeit; Klimaschutz und Umweltschutz; sowie nachhaltige, inklusive und sichere Mobilität.</w:t>
      </w:r>
    </w:p>
    <w:p w14:paraId="3C02D0CF" w14:textId="77777777" w:rsidR="00623AF8" w:rsidRPr="003A1895" w:rsidRDefault="00623AF8" w:rsidP="00623AF8">
      <w:pPr>
        <w:pStyle w:val="StandardWeb"/>
        <w:spacing w:before="0" w:beforeAutospacing="0" w:after="120" w:afterAutospacing="0"/>
        <w:jc w:val="both"/>
        <w:rPr>
          <w:rFonts w:ascii="Aptos" w:hAnsi="Aptos"/>
          <w:sz w:val="22"/>
          <w:szCs w:val="22"/>
        </w:rPr>
      </w:pPr>
      <w:r w:rsidRPr="00D36F26">
        <w:rPr>
          <w:rFonts w:ascii="Aptos" w:hAnsi="Aptos"/>
          <w:sz w:val="22"/>
          <w:szCs w:val="22"/>
        </w:rPr>
        <w:t>Ziel ist eine stärkere Einbeziehung der Städte in europäische Politikbereiche, um maßgeblich zur Erreichung der EU-Ziele beizutragen, wie Klimaneutralität bis 2050, Erhalt der biologischen Vielfalt und Verringerung sozialer, wirtschaftlicher und territorialer Ungleichheiten.</w:t>
      </w:r>
    </w:p>
    <w:bookmarkEnd w:id="32"/>
    <w:p w14:paraId="53115EC7" w14:textId="77777777" w:rsidR="00623AF8" w:rsidRDefault="00623AF8" w:rsidP="00623AF8">
      <w:pPr>
        <w:rPr>
          <w:rFonts w:ascii="Times New Roman" w:eastAsia="Times New Roman" w:hAnsi="Times New Roman" w:cstheme="minorHAnsi"/>
          <w:color w:val="A6A6A6" w:themeColor="background1" w:themeShade="A6"/>
          <w:spacing w:val="20"/>
          <w:sz w:val="28"/>
          <w:szCs w:val="28"/>
          <w:lang w:eastAsia="de-AT"/>
        </w:rPr>
      </w:pPr>
    </w:p>
    <w:p w14:paraId="5C6DE05E" w14:textId="77777777" w:rsidR="00623AF8" w:rsidRDefault="00623AF8" w:rsidP="00623AF8">
      <w:pPr>
        <w:rPr>
          <w:rFonts w:ascii="Times New Roman" w:eastAsia="Times New Roman" w:hAnsi="Times New Roman" w:cstheme="minorHAnsi"/>
          <w:color w:val="A6A6A6" w:themeColor="background1" w:themeShade="A6"/>
          <w:spacing w:val="20"/>
          <w:sz w:val="28"/>
          <w:szCs w:val="28"/>
          <w:lang w:eastAsia="de-AT"/>
        </w:rPr>
      </w:pPr>
    </w:p>
    <w:p w14:paraId="7E455B73" w14:textId="77777777" w:rsidR="00623AF8" w:rsidRDefault="00623AF8" w:rsidP="00623AF8">
      <w:pPr>
        <w:rPr>
          <w:rFonts w:ascii="Times New Roman" w:eastAsia="Times New Roman" w:hAnsi="Times New Roman" w:cstheme="minorHAnsi"/>
          <w:color w:val="A6A6A6" w:themeColor="background1" w:themeShade="A6"/>
          <w:spacing w:val="20"/>
          <w:sz w:val="28"/>
          <w:szCs w:val="28"/>
          <w:lang w:eastAsia="de-AT"/>
        </w:rPr>
      </w:pPr>
    </w:p>
    <w:p w14:paraId="45D23ACC" w14:textId="77777777" w:rsidR="00623AF8" w:rsidRDefault="00623AF8" w:rsidP="00623AF8">
      <w:pPr>
        <w:rPr>
          <w:rFonts w:ascii="Times New Roman" w:eastAsia="Times New Roman" w:hAnsi="Times New Roman" w:cstheme="minorHAnsi"/>
          <w:color w:val="A6A6A6" w:themeColor="background1" w:themeShade="A6"/>
          <w:spacing w:val="20"/>
          <w:sz w:val="28"/>
          <w:szCs w:val="28"/>
          <w:lang w:eastAsia="de-AT"/>
        </w:rPr>
      </w:pPr>
    </w:p>
    <w:p w14:paraId="2D266CDE" w14:textId="77777777" w:rsidR="00623AF8" w:rsidRDefault="00623AF8" w:rsidP="00623AF8">
      <w:pPr>
        <w:rPr>
          <w:rFonts w:ascii="Aptos" w:hAnsi="Aptos"/>
        </w:rPr>
      </w:pPr>
      <w:r>
        <w:rPr>
          <w:rFonts w:ascii="Times New Roman" w:eastAsia="Times New Roman" w:hAnsi="Times New Roman" w:cstheme="minorHAnsi"/>
          <w:color w:val="A6A6A6" w:themeColor="background1" w:themeShade="A6"/>
          <w:spacing w:val="20"/>
          <w:sz w:val="28"/>
          <w:szCs w:val="28"/>
          <w:lang w:eastAsia="de-AT"/>
        </w:rPr>
        <w:lastRenderedPageBreak/>
        <w:tab/>
      </w:r>
    </w:p>
    <w:p w14:paraId="34A08899" w14:textId="77777777" w:rsidR="00623AF8" w:rsidRDefault="00623AF8" w:rsidP="00623AF8">
      <w:pPr>
        <w:rPr>
          <w:rFonts w:ascii="Aptos" w:hAnsi="Aptos"/>
        </w:rPr>
      </w:pPr>
    </w:p>
    <w:p w14:paraId="0DA51B1E" w14:textId="77777777" w:rsidR="00623AF8" w:rsidRPr="00580291" w:rsidRDefault="00623AF8" w:rsidP="00623AF8">
      <w:pPr>
        <w:pStyle w:val="berschrift1"/>
        <w:jc w:val="center"/>
        <w:rPr>
          <w:rFonts w:ascii="Aptos" w:hAnsi="Aptos"/>
          <w:sz w:val="28"/>
          <w:szCs w:val="28"/>
        </w:rPr>
      </w:pPr>
      <w:bookmarkStart w:id="71" w:name="_Toc170983663"/>
      <w:r w:rsidRPr="00580291">
        <w:rPr>
          <w:rFonts w:ascii="Aptos" w:hAnsi="Aptos"/>
          <w:color w:val="A6A6A6" w:themeColor="background1" w:themeShade="A6"/>
          <w:sz w:val="28"/>
          <w:szCs w:val="28"/>
        </w:rPr>
        <w:t>Ausarbeitung von Fragen aus dem Bereich der Energie</w:t>
      </w:r>
      <w:bookmarkStart w:id="72" w:name="_Toc165540417"/>
      <w:bookmarkStart w:id="73" w:name="_Toc170294886"/>
      <w:bookmarkEnd w:id="71"/>
      <w:r>
        <w:rPr>
          <w:rFonts w:ascii="Aptos" w:hAnsi="Aptos"/>
          <w:color w:val="A6A6A6" w:themeColor="background1" w:themeShade="A6"/>
          <w:sz w:val="28"/>
          <w:szCs w:val="28"/>
        </w:rPr>
        <w:t>politik</w:t>
      </w:r>
    </w:p>
    <w:p w14:paraId="120E16F5" w14:textId="77777777" w:rsidR="00623AF8" w:rsidRDefault="00623AF8" w:rsidP="00623AF8">
      <w:pPr>
        <w:pStyle w:val="berschrift1"/>
        <w:rPr>
          <w:rFonts w:ascii="Aptos" w:hAnsi="Aptos"/>
        </w:rPr>
      </w:pPr>
      <w:bookmarkStart w:id="74" w:name="_Toc170983664"/>
      <w:r>
        <w:rPr>
          <w:rFonts w:ascii="Aptos" w:hAnsi="Aptos"/>
        </w:rPr>
        <w:t>Vorantreiben der Systemdienlichkeit</w:t>
      </w:r>
      <w:bookmarkEnd w:id="72"/>
      <w:bookmarkEnd w:id="73"/>
      <w:bookmarkEnd w:id="74"/>
    </w:p>
    <w:p w14:paraId="41936C4D"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79807CDE"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AEA1C2"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1FA1000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1435858" w14:textId="77777777" w:rsidR="00623AF8" w:rsidRDefault="00623AF8" w:rsidP="00875DD0">
            <w:pPr>
              <w:spacing w:before="120" w:after="120"/>
              <w:jc w:val="both"/>
              <w:rPr>
                <w:rFonts w:ascii="Aptos" w:hAnsi="Aptos"/>
                <w:sz w:val="22"/>
                <w:szCs w:val="22"/>
              </w:rPr>
            </w:pPr>
            <w:r>
              <w:rPr>
                <w:rFonts w:ascii="Aptos" w:hAnsi="Aptos"/>
                <w:sz w:val="22"/>
                <w:szCs w:val="22"/>
              </w:rPr>
              <w:t xml:space="preserve">Europa steht vor der Herausforderung, seine Energieinfrastruktur widerstandsfähiger gegenüber zunehmenden Bedrohungen und Störungen zu gestalten. Als eine der Schlüsselmaßnahmen zur Sicherstellung der Systemdienlichkeit spielen Regulierungsbehörden wie ACER (Agentur für die Zusammenarbeit der Energieregulierungsbehörden) eine entscheidende Rolle. Ihr Engagement und die Zusammenarbeit mit anderen europäischen Akteuren sind von entscheidender Bedeutung, um die Resilienz und Versorgungssicherheit des Energiesystems zu stärken. </w:t>
            </w:r>
            <w:r>
              <w:rPr>
                <w:rFonts w:ascii="Aptos" w:hAnsi="Aptos"/>
                <w:b/>
                <w:bCs/>
                <w:sz w:val="22"/>
                <w:szCs w:val="22"/>
              </w:rPr>
              <w:t xml:space="preserve">Inwiefern planen Sie, die Regulierungsbehörde ACER und weitere europäische Akteure zu mobilisieren, um das Thema Systemdienlichkeit im Sinne der Resilienz und Versorgungssicherheit </w:t>
            </w:r>
            <w:r>
              <w:rPr>
                <w:rFonts w:ascii="Aptos" w:hAnsi="Aptos"/>
                <w:b/>
                <w:bCs/>
              </w:rPr>
              <w:t>in Europa</w:t>
            </w:r>
            <w:r>
              <w:rPr>
                <w:rFonts w:ascii="Aptos" w:hAnsi="Aptos"/>
                <w:b/>
                <w:bCs/>
                <w:sz w:val="22"/>
                <w:szCs w:val="22"/>
              </w:rPr>
              <w:t xml:space="preserve"> voranzutreiben?</w:t>
            </w:r>
          </w:p>
        </w:tc>
      </w:tr>
      <w:tr w:rsidR="00623AF8" w14:paraId="176BDE07"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8A36F9"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24CFC0B6"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03177DB"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Welche konkreten Zeitpunkte oder Termine haben Sie für dieses Vorhaben geplant?</w:t>
            </w:r>
          </w:p>
        </w:tc>
      </w:tr>
    </w:tbl>
    <w:p w14:paraId="5120C9C7" w14:textId="77777777" w:rsidR="00623AF8" w:rsidRDefault="00623AF8" w:rsidP="00623AF8">
      <w:pPr>
        <w:spacing w:after="120"/>
        <w:jc w:val="both"/>
        <w:rPr>
          <w:rFonts w:ascii="Aptos" w:hAnsi="Aptos"/>
          <w:i/>
          <w:iCs/>
          <w:sz w:val="22"/>
          <w:szCs w:val="22"/>
          <w:u w:val="single"/>
        </w:rPr>
      </w:pPr>
    </w:p>
    <w:p w14:paraId="71E9B1F4" w14:textId="77777777" w:rsidR="00623AF8" w:rsidRDefault="00623AF8" w:rsidP="00623AF8">
      <w:pPr>
        <w:spacing w:after="120"/>
        <w:jc w:val="both"/>
        <w:rPr>
          <w:rFonts w:ascii="Aptos" w:hAnsi="Aptos"/>
          <w:b/>
          <w:iCs/>
          <w:sz w:val="22"/>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5D7B4771" w14:textId="77777777" w:rsidTr="00875DD0">
        <w:tc>
          <w:tcPr>
            <w:tcW w:w="9060" w:type="dxa"/>
            <w:shd w:val="clear" w:color="auto" w:fill="D9D9D9" w:themeFill="background1" w:themeFillShade="D9"/>
            <w:hideMark/>
          </w:tcPr>
          <w:p w14:paraId="2D5CD59A" w14:textId="77777777" w:rsidR="00623AF8" w:rsidRDefault="00623AF8" w:rsidP="00875DD0">
            <w:pPr>
              <w:pStyle w:val="TableParagraph"/>
              <w:spacing w:line="258" w:lineRule="exact"/>
              <w:ind w:left="0"/>
              <w:jc w:val="both"/>
              <w:rPr>
                <w:rFonts w:ascii="Aptos" w:hAnsi="Aptos"/>
                <w:b/>
                <w:highlight w:val="lightGray"/>
              </w:rPr>
            </w:pPr>
            <w:r>
              <w:rPr>
                <w:rFonts w:ascii="Aptos" w:hAnsi="Aptos"/>
                <w:b/>
                <w:highlight w:val="lightGray"/>
              </w:rPr>
              <w:t>Hintergrund</w:t>
            </w:r>
          </w:p>
        </w:tc>
      </w:tr>
    </w:tbl>
    <w:p w14:paraId="5D70935D" w14:textId="77777777" w:rsidR="00623AF8" w:rsidRDefault="00623AF8" w:rsidP="00623AF8">
      <w:pPr>
        <w:spacing w:after="120"/>
        <w:jc w:val="both"/>
        <w:rPr>
          <w:rFonts w:ascii="Aptos" w:hAnsi="Aptos"/>
          <w:sz w:val="22"/>
          <w:szCs w:val="22"/>
        </w:rPr>
      </w:pPr>
      <w:r>
        <w:rPr>
          <w:rFonts w:ascii="Aptos" w:hAnsi="Aptos"/>
          <w:sz w:val="22"/>
          <w:szCs w:val="22"/>
        </w:rPr>
        <w:t>Europa steht vor großen Herausforderungen in der Energieinfrastruktur, was die geopolitischen Spannungen, Klimawandel, technologische Veränderungen und die Sicherung der Energieversorgung betreffen. Die Abhängigkeit von Energieimporten, insbesondere Erdgas aus Russland, macht die EU anfällig für geopolitische Konflikte, wie der Ukraine-Konflikt zeigt. Daher ist die Diversifizierung der Energiequellen essenziell.</w:t>
      </w:r>
    </w:p>
    <w:p w14:paraId="42D24468" w14:textId="77777777" w:rsidR="00623AF8" w:rsidRDefault="00623AF8" w:rsidP="00623AF8">
      <w:pPr>
        <w:spacing w:after="120"/>
        <w:jc w:val="both"/>
        <w:rPr>
          <w:rFonts w:ascii="Aptos" w:hAnsi="Aptos"/>
          <w:sz w:val="22"/>
          <w:szCs w:val="22"/>
        </w:rPr>
      </w:pPr>
      <w:r>
        <w:rPr>
          <w:rFonts w:ascii="Aptos" w:hAnsi="Aptos"/>
          <w:sz w:val="22"/>
          <w:szCs w:val="22"/>
        </w:rPr>
        <w:t>Der Klimawandel zwingt zu einem Wandel zu erneuerbaren Energien hin, unterstützt durch ehrgeizige EU-Ziele zur Reduktion von Treibhausgasen. Dies erfordert große Investitionen in Technologien und Infrastruktur, wie Wind- und Solarparks, Energiespeicher und intelligente Netze.</w:t>
      </w:r>
    </w:p>
    <w:p w14:paraId="179719A8" w14:textId="77777777" w:rsidR="00623AF8" w:rsidRDefault="00623AF8" w:rsidP="00623AF8">
      <w:pPr>
        <w:spacing w:after="120"/>
        <w:jc w:val="both"/>
        <w:rPr>
          <w:rFonts w:ascii="Aptos" w:hAnsi="Aptos"/>
          <w:sz w:val="22"/>
          <w:szCs w:val="22"/>
        </w:rPr>
      </w:pPr>
      <w:r>
        <w:rPr>
          <w:rFonts w:ascii="Aptos" w:hAnsi="Aptos"/>
          <w:sz w:val="22"/>
          <w:szCs w:val="22"/>
        </w:rPr>
        <w:t>Die fortschreitende Digitalisierung und Smart Grids verändern die Energieinfrastruktur, bieten Effizienzvorteile, erhöhen aber auch das Risiko von Cyberangriffen, die kontinuierliche Sicherheitsmaßnahmen notwendig machen.</w:t>
      </w:r>
    </w:p>
    <w:p w14:paraId="1AC00DA3" w14:textId="77777777" w:rsidR="00623AF8" w:rsidRDefault="00623AF8" w:rsidP="00623AF8">
      <w:pPr>
        <w:spacing w:after="120"/>
        <w:jc w:val="both"/>
        <w:rPr>
          <w:rFonts w:ascii="Aptos" w:hAnsi="Aptos"/>
          <w:sz w:val="22"/>
          <w:szCs w:val="22"/>
        </w:rPr>
      </w:pPr>
      <w:r>
        <w:rPr>
          <w:rFonts w:ascii="Aptos" w:hAnsi="Aptos"/>
          <w:sz w:val="22"/>
          <w:szCs w:val="22"/>
        </w:rPr>
        <w:t>Regulierungsbehörden wie ACER spielen eine entscheidende Rolle dabei, die Widerstandsfähigkeit des Energiesystems zu stärken und die Versorgungssicherheit zu gewährleisten. Durch die enge Zusammenarbeit mit nationalen Behörden, Netzbetreibern und anderen europäischen Institutionen kann Europa die Herausforderungen meistern und eine nachhaltige und sichere Energiezukunft gestalten.</w:t>
      </w:r>
    </w:p>
    <w:p w14:paraId="54D7E441" w14:textId="77777777" w:rsidR="00623AF8" w:rsidRDefault="00623AF8" w:rsidP="00623AF8">
      <w:pPr>
        <w:spacing w:after="120"/>
        <w:jc w:val="both"/>
        <w:rPr>
          <w:rFonts w:ascii="Aptos" w:hAnsi="Aptos"/>
          <w:sz w:val="22"/>
          <w:szCs w:val="22"/>
        </w:rPr>
      </w:pPr>
      <w:r>
        <w:rPr>
          <w:rFonts w:ascii="Aptos" w:hAnsi="Aptos"/>
          <w:sz w:val="22"/>
          <w:szCs w:val="22"/>
        </w:rPr>
        <w:t xml:space="preserve"> </w:t>
      </w:r>
    </w:p>
    <w:p w14:paraId="795C7ABC" w14:textId="77777777" w:rsidR="00623AF8" w:rsidRDefault="00623AF8" w:rsidP="00623AF8">
      <w:pPr>
        <w:rPr>
          <w:rFonts w:ascii="Aptos" w:hAnsi="Aptos"/>
          <w:sz w:val="22"/>
          <w:szCs w:val="22"/>
        </w:rPr>
        <w:sectPr w:rsidR="00623AF8">
          <w:headerReference w:type="default" r:id="rId26"/>
          <w:footerReference w:type="default" r:id="rId27"/>
          <w:pgSz w:w="11906" w:h="16838"/>
          <w:pgMar w:top="1418" w:right="1418" w:bottom="1134" w:left="1418" w:header="708" w:footer="510" w:gutter="0"/>
          <w:cols w:space="720"/>
        </w:sectPr>
      </w:pPr>
    </w:p>
    <w:p w14:paraId="0A5F9E0D" w14:textId="77777777" w:rsidR="00623AF8" w:rsidRDefault="00623AF8" w:rsidP="00623AF8">
      <w:pPr>
        <w:pStyle w:val="berschrift1"/>
        <w:rPr>
          <w:rFonts w:ascii="Aptos" w:hAnsi="Aptos"/>
        </w:rPr>
      </w:pPr>
      <w:bookmarkStart w:id="75" w:name="_Toc165540418"/>
      <w:bookmarkStart w:id="76" w:name="_Toc170294887"/>
      <w:bookmarkStart w:id="77" w:name="_Toc170983665"/>
      <w:r>
        <w:rPr>
          <w:rFonts w:ascii="Aptos" w:hAnsi="Aptos"/>
        </w:rPr>
        <w:lastRenderedPageBreak/>
        <w:t>Wasserkraft als Eckpfeiler für systemdienliche Flexibilität</w:t>
      </w:r>
      <w:bookmarkEnd w:id="75"/>
      <w:bookmarkEnd w:id="76"/>
      <w:bookmarkEnd w:id="77"/>
    </w:p>
    <w:p w14:paraId="113F0755"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582E507"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A08FA9B"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4BBF1A59"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998F36C"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Wasserkraft spielt eine bedeutende Rolle als Eckpfeiler für die systemdienliche Flexibilität in Europa. Trotz ihrer Wichtigkeit wird jedoch vermehrt über die Errichtung eines neuen Kapazitätsmarkts diskutiert, wobei die Wasserkraft oft übersehen wird. </w:t>
            </w:r>
            <w:r>
              <w:rPr>
                <w:rFonts w:ascii="Aptos" w:hAnsi="Aptos"/>
                <w:b/>
                <w:bCs/>
                <w:sz w:val="22"/>
                <w:szCs w:val="22"/>
              </w:rPr>
              <w:t>Welche konkreten Maßnahmen planen Sie in Bezug auf die Förderung der systemdienlichen Flexibilität?</w:t>
            </w:r>
          </w:p>
        </w:tc>
      </w:tr>
      <w:tr w:rsidR="00623AF8" w14:paraId="4F1EDF30"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62B74C"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34211FA4"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E650296"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Welche Energietechnologien dienen für Sie zur Gewährleistung der systemdienlichen Flexibilität?</w:t>
            </w:r>
          </w:p>
        </w:tc>
      </w:tr>
    </w:tbl>
    <w:p w14:paraId="75C7A6D3" w14:textId="77777777" w:rsidR="00623AF8" w:rsidRDefault="00623AF8" w:rsidP="00623AF8">
      <w:pPr>
        <w:spacing w:after="120"/>
        <w:jc w:val="both"/>
        <w:rPr>
          <w:rFonts w:ascii="Aptos" w:hAnsi="Aptos"/>
          <w:i/>
          <w:iCs/>
          <w:sz w:val="22"/>
          <w:szCs w:val="22"/>
          <w:u w:val="single"/>
        </w:rPr>
      </w:pPr>
    </w:p>
    <w:p w14:paraId="0757DB1A" w14:textId="77777777" w:rsidR="00623AF8" w:rsidRDefault="00623AF8" w:rsidP="00623AF8">
      <w:pPr>
        <w:pStyle w:val="TableParagraph"/>
        <w:tabs>
          <w:tab w:val="left" w:pos="2796"/>
        </w:tabs>
        <w:spacing w:line="258" w:lineRule="exact"/>
        <w:ind w:left="0"/>
        <w:jc w:val="both"/>
        <w:rPr>
          <w:rFonts w:ascii="Aptos" w:hAnsi="Aptos"/>
          <w:b/>
          <w:lang w:val="de-AT"/>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AF5EB7A" w14:textId="77777777" w:rsidTr="00875DD0">
        <w:tc>
          <w:tcPr>
            <w:tcW w:w="9060" w:type="dxa"/>
            <w:shd w:val="clear" w:color="auto" w:fill="D9D9D9" w:themeFill="background1" w:themeFillShade="D9"/>
            <w:hideMark/>
          </w:tcPr>
          <w:p w14:paraId="507D1E08" w14:textId="77777777" w:rsidR="00623AF8" w:rsidRDefault="00623AF8" w:rsidP="00875DD0">
            <w:pPr>
              <w:pStyle w:val="TableParagraph"/>
              <w:tabs>
                <w:tab w:val="left" w:pos="2796"/>
              </w:tabs>
              <w:spacing w:line="258" w:lineRule="exact"/>
              <w:ind w:left="0"/>
              <w:jc w:val="both"/>
              <w:rPr>
                <w:rFonts w:ascii="Aptos" w:hAnsi="Aptos"/>
                <w:b/>
                <w:lang w:val="de-AT"/>
              </w:rPr>
            </w:pPr>
            <w:r>
              <w:rPr>
                <w:rFonts w:ascii="Aptos" w:hAnsi="Aptos"/>
                <w:b/>
                <w:lang w:val="de-AT"/>
              </w:rPr>
              <w:t>Hintergrund</w:t>
            </w:r>
          </w:p>
        </w:tc>
      </w:tr>
    </w:tbl>
    <w:p w14:paraId="7757879A" w14:textId="77777777" w:rsidR="00623AF8" w:rsidRDefault="00623AF8" w:rsidP="00623AF8">
      <w:pPr>
        <w:pStyle w:val="TableParagraph"/>
        <w:tabs>
          <w:tab w:val="left" w:pos="2796"/>
        </w:tabs>
        <w:spacing w:line="258" w:lineRule="exact"/>
        <w:ind w:left="0"/>
        <w:jc w:val="both"/>
        <w:rPr>
          <w:rFonts w:ascii="Aptos" w:hAnsi="Aptos"/>
          <w:b/>
          <w:highlight w:val="lightGray"/>
          <w:lang w:val="de-AT"/>
        </w:rPr>
      </w:pPr>
      <w:r>
        <w:rPr>
          <w:rFonts w:ascii="Aptos" w:hAnsi="Aptos"/>
          <w:lang w:val="de-AT"/>
        </w:rPr>
        <w:t>Der notwendige Umbau des Energiesystems weg von fossilen Grundlastkraftwerken hin zu volatilen erneuerbaren Energien erfordert eine erhebliche Steigerung der Flexibilität im System. Dies liegt daran, dass die witterungsbedingten Produktionsschwankungen der erneuerbaren Energien ausgeglichen werden müssen. Daher gibt es die Diskussion, einen neuen Kapazitätsmarkt zu entwickeln, um die Netzstabilität zu gewährleisten. Ein wesentlicher Bestandteil dieser Diskussion ist die Debatte um den Bau neuer Gaskraftwerke.</w:t>
      </w:r>
    </w:p>
    <w:p w14:paraId="73FA0884"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In dieser Debatte sollten wir jedoch nicht vergessen, dass Wasserkraftwerke, insbesondere Pumpspeicherkraftwerke, bereits heute eine entscheidende Rolle bei der Förderung systemdienlicher Flexibilität spielen. Pumpspeicherung ist in Österreich die mit Abstand wichtigste netzgebundene Speichertechnologie. Ihre Fähigkeit, schnell auf Schwankungen im Stromnetz zu reagieren, macht sie zum Rückgrat für die Systemstabilisierung im Energiesystem des 21. Jahrhunderts. Diese Flexibilität ermöglicht es, überschüssige Energie bei hoher Produktion zu speichern und bei hoher Nachfrage wieder ins Netz einzuspeisen, wodurch die Stabilität und Zuverlässigkeit des Stromnetzes gewährleistet wird.</w:t>
      </w:r>
    </w:p>
    <w:p w14:paraId="5A25AD9B"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Die Relevanz von systemdienlicher Flexibilität kann nicht genug betont werden. Ohne flexible Lösungen wie Pumpspeicherkraftwerke wäre es extrem schwierig, die Schwankungen der erneuerbaren Energiequellen auszugleichen und eine stabile Energieversorgung sicherzustellen. Daher sollte bei der Weiterentwicklung des Energiesystems die Bedeutung der Wasserkraft und insbesondere der Pumpspeichertechnologie gebührend berücksichtigt werden.</w:t>
      </w:r>
    </w:p>
    <w:p w14:paraId="728204AC" w14:textId="77777777" w:rsidR="00623AF8" w:rsidRDefault="00623AF8" w:rsidP="00623AF8">
      <w:pPr>
        <w:rPr>
          <w:rFonts w:ascii="Aptos" w:hAnsi="Aptos"/>
          <w:sz w:val="22"/>
          <w:szCs w:val="22"/>
          <w:highlight w:val="yellow"/>
        </w:rPr>
      </w:pPr>
      <w:r>
        <w:rPr>
          <w:rFonts w:ascii="Aptos" w:hAnsi="Aptos"/>
          <w:sz w:val="22"/>
          <w:szCs w:val="22"/>
          <w:highlight w:val="yellow"/>
        </w:rPr>
        <w:br w:type="page"/>
      </w:r>
    </w:p>
    <w:p w14:paraId="6EC7B5FD" w14:textId="77777777" w:rsidR="00623AF8" w:rsidRDefault="00623AF8" w:rsidP="00623AF8">
      <w:pPr>
        <w:pStyle w:val="berschrift1"/>
        <w:rPr>
          <w:rFonts w:ascii="Aptos" w:hAnsi="Aptos"/>
        </w:rPr>
      </w:pPr>
      <w:bookmarkStart w:id="78" w:name="_Toc165540419"/>
      <w:bookmarkStart w:id="79" w:name="_Toc170294888"/>
      <w:bookmarkStart w:id="80" w:name="_Toc170983666"/>
      <w:r>
        <w:rPr>
          <w:rFonts w:ascii="Aptos" w:hAnsi="Aptos"/>
        </w:rPr>
        <w:lastRenderedPageBreak/>
        <w:t>Biomethan als Eckpfeiler für systemdienliche Flexibilität</w:t>
      </w:r>
      <w:bookmarkEnd w:id="78"/>
      <w:bookmarkEnd w:id="79"/>
      <w:bookmarkEnd w:id="80"/>
    </w:p>
    <w:p w14:paraId="7E9DAF9B"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B1B0108"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66C187"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184AF79D"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16035119" w14:textId="77777777" w:rsidR="00623AF8" w:rsidRDefault="00623AF8" w:rsidP="00875DD0">
            <w:pPr>
              <w:spacing w:before="120" w:after="120"/>
              <w:jc w:val="both"/>
              <w:rPr>
                <w:rFonts w:ascii="Aptos" w:hAnsi="Aptos"/>
                <w:sz w:val="22"/>
                <w:szCs w:val="22"/>
              </w:rPr>
            </w:pPr>
            <w:r>
              <w:rPr>
                <w:rFonts w:ascii="Aptos" w:hAnsi="Aptos"/>
                <w:sz w:val="22"/>
                <w:szCs w:val="22"/>
              </w:rPr>
              <w:t xml:space="preserve">Biomethan aus organischen Abfällen sowie Reststoffen kann aufgrund der saisonalen Speicherbarkeit eine bedeutende Rolle als Eckpfeiler für die systemdienliche Flexibilität in Europa spielen. </w:t>
            </w:r>
            <w:r>
              <w:rPr>
                <w:rFonts w:ascii="Aptos" w:hAnsi="Aptos"/>
                <w:b/>
                <w:bCs/>
                <w:sz w:val="22"/>
                <w:szCs w:val="22"/>
              </w:rPr>
              <w:t>Welche konkreten Maßnahmen planen Sie, um die systemdienliche Flexibilität von Biomethan aus organischen Abfällen sowie Reststoffen zu fördern?</w:t>
            </w:r>
          </w:p>
        </w:tc>
      </w:tr>
      <w:tr w:rsidR="00623AF8" w14:paraId="0CA66E0F"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F09F91C"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067568E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7D8E27B"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6145D55B"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40397974" w14:textId="77777777" w:rsidTr="00875DD0">
        <w:tc>
          <w:tcPr>
            <w:tcW w:w="9060" w:type="dxa"/>
            <w:tcBorders>
              <w:top w:val="nil"/>
              <w:left w:val="nil"/>
              <w:bottom w:val="nil"/>
              <w:right w:val="nil"/>
            </w:tcBorders>
            <w:shd w:val="clear" w:color="auto" w:fill="BFBFBF" w:themeFill="background1" w:themeFillShade="BF"/>
            <w:hideMark/>
          </w:tcPr>
          <w:p w14:paraId="4F16FECA" w14:textId="77777777" w:rsidR="00623AF8" w:rsidRDefault="00623AF8" w:rsidP="00875DD0">
            <w:pPr>
              <w:tabs>
                <w:tab w:val="left" w:pos="2412"/>
              </w:tabs>
              <w:spacing w:before="100" w:beforeAutospacing="1" w:after="100" w:afterAutospacing="1"/>
              <w:jc w:val="both"/>
              <w:rPr>
                <w:rFonts w:ascii="Aptos" w:hAnsi="Aptos"/>
                <w:b/>
                <w:iCs/>
                <w:sz w:val="22"/>
                <w:szCs w:val="22"/>
              </w:rPr>
            </w:pPr>
            <w:r>
              <w:rPr>
                <w:rFonts w:ascii="Aptos" w:hAnsi="Aptos"/>
                <w:b/>
                <w:iCs/>
                <w:sz w:val="22"/>
                <w:szCs w:val="22"/>
              </w:rPr>
              <w:t>Hintergrund</w:t>
            </w:r>
            <w:r>
              <w:rPr>
                <w:rFonts w:ascii="Aptos" w:hAnsi="Aptos"/>
                <w:b/>
                <w:iCs/>
                <w:sz w:val="22"/>
                <w:szCs w:val="22"/>
              </w:rPr>
              <w:tab/>
            </w:r>
          </w:p>
        </w:tc>
      </w:tr>
    </w:tbl>
    <w:p w14:paraId="77F52A75" w14:textId="77777777" w:rsidR="00623AF8" w:rsidRDefault="00623AF8" w:rsidP="00623AF8">
      <w:pPr>
        <w:spacing w:after="100" w:afterAutospacing="1"/>
        <w:jc w:val="both"/>
        <w:rPr>
          <w:rFonts w:ascii="Aptos" w:hAnsi="Aptos"/>
          <w:sz w:val="22"/>
          <w:szCs w:val="22"/>
        </w:rPr>
      </w:pPr>
      <w:r>
        <w:rPr>
          <w:rFonts w:ascii="Aptos" w:hAnsi="Aptos"/>
          <w:sz w:val="22"/>
          <w:szCs w:val="22"/>
        </w:rPr>
        <w:t>Die Förderung von systemdienlicher Flexibilität durch Biomethan aus organischen Abfällen und Reststoffen ist von zentraler Bedeutung für die Stabilität und Nachhaltigkeit des zukünftigen Energiesystems. Im Zuge des Übergangs von fossilen Brennstoffen zu erneuerbaren Energien wie Wind und Sonne, die wetterbedingt starken Schwankungen unterliegen, wird es immer wichtiger, flexible und zuverlässige Energiequellen zu haben, die diese Schwankungen ausgleichen können.</w:t>
      </w:r>
    </w:p>
    <w:p w14:paraId="136ACA1C"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Biomethan, das aus organischen Abfällen und Reststoffen gewonnen wird, bietet eine hervorragende Möglichkeit, diese Flexibilität zu gewährleisten. Im Gegensatz zu Wind- oder Solarenergie, deren Produktion vom Wetter abhängt, kann Biomethan kontinuierlich und bedarfsgerecht erzeugt werden. Dies macht es zu einer wertvollen Ergänzung im Energiemix, da es bei Bedarf schnell eingesetzt werden kann, um Versorgungslücken zu schließen und die Netzstabilität zu sichern.</w:t>
      </w:r>
    </w:p>
    <w:p w14:paraId="02D8548A"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Ein weiterer Vorteil von Biomethan ist seine doppelte Umweltwirkung: Einerseits wird durch die Nutzung organischer Abfälle und Reststoffe die Menge an Abfall reduziert, andererseits werden die Treibhausgasemissionen verringert, die sonst durch die Deponierung oder Verbrennung dieser Abfälle entstehen würden. Diese nachhaltige Nutzung von Ressourcen trägt zur Kreislaufwirtschaft bei und reduziert die Umweltbelastung.</w:t>
      </w:r>
    </w:p>
    <w:p w14:paraId="402FE6BC" w14:textId="77777777" w:rsidR="00623AF8" w:rsidRDefault="00623AF8" w:rsidP="00623AF8">
      <w:pPr>
        <w:spacing w:before="100" w:beforeAutospacing="1" w:after="100" w:afterAutospacing="1"/>
        <w:jc w:val="both"/>
        <w:rPr>
          <w:rFonts w:ascii="Aptos" w:hAnsi="Aptos"/>
          <w:bCs/>
          <w:sz w:val="22"/>
          <w:szCs w:val="22"/>
          <w:u w:val="single"/>
        </w:rPr>
      </w:pPr>
      <w:r>
        <w:rPr>
          <w:rFonts w:ascii="Aptos" w:hAnsi="Aptos"/>
          <w:sz w:val="22"/>
          <w:szCs w:val="22"/>
        </w:rPr>
        <w:t>Die Förderung von Biomethan aus organischen Abfällen und Reststoffen ist daher nicht nur eine Frage der Energieversorgungssicherheit, sondern auch ein wichtiger Schritt hin zu einem nachhaltigen und umweltfreundlichen Energiesystem. Durch gezielte politische Maßnahmen und Investitionen in die entsprechende Infrastruktur kann Biomethan zu einem integralen Bestandteil des Energiesystems werden, der die erforderliche systemdienliche Flexibilität bereitstellt und gleichzeitig ökologische Vorteile bietet.</w:t>
      </w:r>
    </w:p>
    <w:p w14:paraId="08B38169" w14:textId="77777777" w:rsidR="00623AF8" w:rsidRDefault="00623AF8" w:rsidP="00623AF8">
      <w:pPr>
        <w:rPr>
          <w:rFonts w:ascii="Aptos" w:hAnsi="Aptos"/>
          <w:bCs/>
          <w:sz w:val="22"/>
          <w:szCs w:val="22"/>
          <w:u w:val="single"/>
        </w:rPr>
        <w:sectPr w:rsidR="00623AF8">
          <w:pgSz w:w="11906" w:h="16838"/>
          <w:pgMar w:top="1418" w:right="1418" w:bottom="1134" w:left="1418" w:header="708" w:footer="510" w:gutter="0"/>
          <w:cols w:space="720"/>
        </w:sectPr>
      </w:pPr>
    </w:p>
    <w:p w14:paraId="69784BB8" w14:textId="77777777" w:rsidR="00623AF8" w:rsidRDefault="00623AF8" w:rsidP="00623AF8">
      <w:pPr>
        <w:pStyle w:val="berschrift1"/>
        <w:rPr>
          <w:rFonts w:ascii="Aptos" w:hAnsi="Aptos"/>
        </w:rPr>
      </w:pPr>
    </w:p>
    <w:p w14:paraId="46FDC2FC" w14:textId="77777777" w:rsidR="00623AF8" w:rsidRDefault="00623AF8" w:rsidP="00623AF8">
      <w:pPr>
        <w:pStyle w:val="berschrift1"/>
        <w:rPr>
          <w:rFonts w:ascii="Aptos" w:hAnsi="Aptos"/>
        </w:rPr>
      </w:pPr>
      <w:bookmarkStart w:id="81" w:name="_Toc165540420"/>
      <w:bookmarkStart w:id="82" w:name="_Toc170294889"/>
      <w:bookmarkStart w:id="83" w:name="_Toc170983667"/>
      <w:r>
        <w:rPr>
          <w:rFonts w:ascii="Aptos" w:hAnsi="Aptos"/>
        </w:rPr>
        <w:t>Verbrauchsnahe Energieproduktion</w:t>
      </w:r>
      <w:bookmarkEnd w:id="81"/>
      <w:bookmarkEnd w:id="82"/>
      <w:bookmarkEnd w:id="83"/>
    </w:p>
    <w:p w14:paraId="102E2207"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1E34BD1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4DC3045"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7475B1E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8468553"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der stetigen Entwicklung hin zu einer nachhaltigeren Energieversorgung gewinnt die Förderung von verbrauchsnaher Energieproduktion zunehmend an Bedeutung. Dabei spielen Aspekte wie dezentrale Energieerzeugung und -speicherung eine entscheidende Rolle. </w:t>
            </w:r>
            <w:r>
              <w:rPr>
                <w:rFonts w:ascii="Aptos" w:hAnsi="Aptos"/>
                <w:b/>
                <w:bCs/>
                <w:sz w:val="22"/>
                <w:szCs w:val="22"/>
              </w:rPr>
              <w:t>Welche Maßnahmen planen Sie, um verbrauchsnahe Energieproduktion zu gewährleisten?</w:t>
            </w:r>
          </w:p>
        </w:tc>
      </w:tr>
      <w:tr w:rsidR="00623AF8" w14:paraId="034556D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376C5F"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20B578F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1621909C"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6CEF0A86"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5697F54B" w14:textId="77777777" w:rsidTr="00875DD0">
        <w:tc>
          <w:tcPr>
            <w:tcW w:w="9060" w:type="dxa"/>
            <w:shd w:val="clear" w:color="auto" w:fill="D9D9D9" w:themeFill="background1" w:themeFillShade="D9"/>
            <w:hideMark/>
          </w:tcPr>
          <w:p w14:paraId="2973B29D"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EAA2A4C" w14:textId="77777777" w:rsidR="00623AF8" w:rsidRDefault="00623AF8" w:rsidP="00623AF8">
      <w:pPr>
        <w:jc w:val="both"/>
        <w:rPr>
          <w:rFonts w:ascii="Aptos" w:hAnsi="Aptos"/>
          <w:sz w:val="22"/>
          <w:szCs w:val="22"/>
        </w:rPr>
      </w:pPr>
      <w:r>
        <w:rPr>
          <w:rFonts w:ascii="Aptos" w:hAnsi="Aptos"/>
          <w:sz w:val="22"/>
          <w:szCs w:val="22"/>
        </w:rPr>
        <w:t>Die Förderung der verbrauchsnahen Energieproduktion ist ein zentraler Aspekt für die Nachhaltigkeit und Effizienz des zukünftigen Energiesystems. Zwei wesentliche Argumente verdeutlichen die Bedeutung dieser Praxis: die Reduktion von Übertragungsverlusten im Mittelspannungs- und Niederspannungsnetz sowie die Erhöhung der Versorgungssicherheit.</w:t>
      </w:r>
    </w:p>
    <w:p w14:paraId="0125563E" w14:textId="77777777" w:rsidR="00623AF8" w:rsidRDefault="00623AF8" w:rsidP="00623AF8">
      <w:pPr>
        <w:jc w:val="both"/>
        <w:rPr>
          <w:rFonts w:ascii="Aptos" w:hAnsi="Aptos"/>
          <w:sz w:val="22"/>
          <w:szCs w:val="22"/>
        </w:rPr>
      </w:pPr>
    </w:p>
    <w:p w14:paraId="106A3795" w14:textId="77777777" w:rsidR="00623AF8" w:rsidRDefault="00623AF8" w:rsidP="00623AF8">
      <w:pPr>
        <w:jc w:val="both"/>
        <w:rPr>
          <w:rFonts w:ascii="Aptos" w:hAnsi="Aptos"/>
          <w:sz w:val="22"/>
          <w:szCs w:val="22"/>
        </w:rPr>
      </w:pPr>
      <w:r>
        <w:rPr>
          <w:rFonts w:ascii="Aptos" w:hAnsi="Aptos"/>
          <w:sz w:val="22"/>
          <w:szCs w:val="22"/>
        </w:rPr>
        <w:t>Erstens reduziert die verbrauchsnahe Energieproduktion die Verluste,</w:t>
      </w:r>
      <w:r>
        <w:t xml:space="preserve"> </w:t>
      </w:r>
      <w:r>
        <w:rPr>
          <w:rFonts w:ascii="Aptos" w:hAnsi="Aptos"/>
          <w:sz w:val="22"/>
          <w:szCs w:val="22"/>
        </w:rPr>
        <w:t>die normalerweise bei der Übertragung und Verteilung von Energie über große Entfernungen entstehen. Übertragungsverluste können erheblich sein und bedeuten eine Verschwendung von Ressourcen und Geld. Wenn Energie direkt am Ort des Verbrauchs erzeugt wird, beispielsweise durch Solaranlagen auf Dächern oder Blockheizkraftwerke in Wohngebieten und Gewerbeparks, werden diese Verluste minimiert. Dies führt zu einer effizienteren Nutzung der erzeugten Energie, da weniger Energie auf dem Weg vom Erzeuger zum Verbraucher verloren geht. Die Effizienzsteigerung trägt nicht nur zur Ressourcenschonung bei, sondern senkt auch die Gesamtkosten für die Energieversorgung.</w:t>
      </w:r>
    </w:p>
    <w:p w14:paraId="55E3054D" w14:textId="77777777" w:rsidR="00623AF8" w:rsidRDefault="00623AF8" w:rsidP="00623AF8">
      <w:pPr>
        <w:jc w:val="both"/>
        <w:rPr>
          <w:rFonts w:ascii="Aptos" w:hAnsi="Aptos"/>
          <w:sz w:val="22"/>
          <w:szCs w:val="22"/>
        </w:rPr>
      </w:pPr>
    </w:p>
    <w:p w14:paraId="014F4CD5" w14:textId="77777777" w:rsidR="00623AF8" w:rsidRDefault="00623AF8" w:rsidP="00623AF8">
      <w:pPr>
        <w:jc w:val="both"/>
        <w:rPr>
          <w:rFonts w:ascii="Aptos" w:hAnsi="Aptos"/>
          <w:sz w:val="22"/>
          <w:szCs w:val="22"/>
        </w:rPr>
      </w:pPr>
      <w:r>
        <w:rPr>
          <w:rFonts w:ascii="Aptos" w:hAnsi="Aptos"/>
          <w:sz w:val="22"/>
          <w:szCs w:val="22"/>
        </w:rPr>
        <w:t>Zweitens erhöht die verbrauchsnahe Energieproduktion die Versorgungssicherheit und Resilienz des Energiesystems. Dezentrale Energieerzeugungseinheiten sind weniger anfällig für großflächige Stromausfälle, da sie nicht ausschließlich von zentralen Netzen abhängig sind. Im Falle von Netzstörungen oder Naturkatastrophen können lokale Energiequellen weiterhin Strom liefern, was die Energieversorgung stabiler und zuverlässiger macht. Durch die Dezentralisierung der Energieproduktion wird das Risiko von Ausfällen reduziert und die Fähigkeit des Systems, sich an unerwartete Ereignisse anzupassen, verbessert. Dies ist besonders wichtig in Zeiten zunehmender Klimaextreme und geopolitischer Unsicherheiten.</w:t>
      </w:r>
    </w:p>
    <w:p w14:paraId="5A4327BF" w14:textId="77777777" w:rsidR="00623AF8" w:rsidRDefault="00623AF8" w:rsidP="00623AF8">
      <w:pPr>
        <w:jc w:val="both"/>
        <w:rPr>
          <w:rFonts w:ascii="Aptos" w:hAnsi="Aptos"/>
          <w:sz w:val="22"/>
          <w:szCs w:val="22"/>
        </w:rPr>
      </w:pPr>
    </w:p>
    <w:p w14:paraId="5D58B635" w14:textId="77777777" w:rsidR="00623AF8" w:rsidRDefault="00623AF8" w:rsidP="00623AF8">
      <w:pPr>
        <w:jc w:val="both"/>
        <w:rPr>
          <w:rFonts w:ascii="Aptos" w:hAnsi="Aptos"/>
          <w:bCs/>
          <w:sz w:val="22"/>
          <w:szCs w:val="22"/>
        </w:rPr>
      </w:pPr>
      <w:r>
        <w:rPr>
          <w:rFonts w:ascii="Aptos" w:hAnsi="Aptos"/>
          <w:sz w:val="22"/>
          <w:szCs w:val="22"/>
        </w:rPr>
        <w:t>Insgesamt tragen die Reduktion von Übertragungsverlusten im Mittelspannungs- und Niederspannungsnetz sowie die Erhöhung der Versorgungssicherheit durch verbrauchsnahe Energieproduktion wesentlich zur Effizienz, Stabilität und Nachhaltigkeit des Energiesystems bei. Durch gezielte politische Maßnahmen und Investitionen in diese Form der Energieerzeugung kann eine stabile, umweltfreundliche und wirtschaftlich vorteilhafte Energiezukunft gestaltet werden.</w:t>
      </w:r>
    </w:p>
    <w:p w14:paraId="2F53032B" w14:textId="77777777" w:rsidR="00623AF8" w:rsidRDefault="00623AF8" w:rsidP="00623AF8">
      <w:pPr>
        <w:rPr>
          <w:rFonts w:ascii="Aptos" w:eastAsiaTheme="majorEastAsia" w:hAnsi="Aptos" w:cstheme="majorBidi"/>
          <w:b/>
          <w:color w:val="E4342D"/>
          <w:szCs w:val="32"/>
        </w:rPr>
      </w:pPr>
      <w:r>
        <w:rPr>
          <w:rFonts w:ascii="Aptos" w:hAnsi="Aptos"/>
        </w:rPr>
        <w:br w:type="page"/>
      </w:r>
      <w:bookmarkStart w:id="84" w:name="_Hlk164338954"/>
    </w:p>
    <w:p w14:paraId="1EAD6263" w14:textId="77777777" w:rsidR="00623AF8" w:rsidRDefault="00623AF8" w:rsidP="00623AF8">
      <w:pPr>
        <w:pStyle w:val="berschrift1"/>
        <w:rPr>
          <w:rFonts w:ascii="Aptos" w:hAnsi="Aptos"/>
        </w:rPr>
      </w:pPr>
      <w:bookmarkStart w:id="85" w:name="_Toc165540421"/>
      <w:bookmarkStart w:id="86" w:name="_Toc170294890"/>
    </w:p>
    <w:p w14:paraId="7CA43AAA" w14:textId="77777777" w:rsidR="00623AF8" w:rsidRDefault="00623AF8" w:rsidP="00623AF8">
      <w:pPr>
        <w:pStyle w:val="berschrift1"/>
        <w:rPr>
          <w:rFonts w:ascii="Aptos" w:hAnsi="Aptos"/>
        </w:rPr>
      </w:pPr>
      <w:bookmarkStart w:id="87" w:name="_Toc170983668"/>
      <w:r>
        <w:rPr>
          <w:rFonts w:ascii="Aptos" w:hAnsi="Aptos"/>
        </w:rPr>
        <w:t>Initiativen zum Ausbau der Netzinfrastruktur</w:t>
      </w:r>
      <w:bookmarkEnd w:id="85"/>
      <w:bookmarkEnd w:id="86"/>
      <w:bookmarkEnd w:id="87"/>
    </w:p>
    <w:p w14:paraId="436B8FA2"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19E53AB"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07207B5"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3EFAC59E"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1FC8157" w14:textId="77777777" w:rsidR="00623AF8" w:rsidRDefault="00623AF8" w:rsidP="00875DD0">
            <w:pPr>
              <w:spacing w:before="120" w:after="120"/>
              <w:jc w:val="both"/>
              <w:rPr>
                <w:rFonts w:ascii="Aptos" w:hAnsi="Aptos"/>
                <w:sz w:val="22"/>
                <w:szCs w:val="22"/>
              </w:rPr>
            </w:pPr>
            <w:r>
              <w:rPr>
                <w:rFonts w:ascii="Aptos" w:hAnsi="Aptos"/>
                <w:sz w:val="22"/>
                <w:szCs w:val="22"/>
              </w:rPr>
              <w:t xml:space="preserve">Europa besitzt dank eines unterstützenden EU-Rechtsrahmens ein robustes Stromnetz, doch um die Vorteile erschwinglicher und sauberer Energie zu maximieren, ist der Ausbau der Infrastruktur entscheidend. Angesichts eines erwarteten Anstiegs des Stromverbrauchs um 60% bis 2030 und der Notwendigkeit, die erneuerbare Energiekapazität drastisch zu erhöhen, müssen die Stromnetze rasch erweitert und modernisiert werden. Obwohl die EU bereits Rahmenbedingungen geschaffen hat, bedarf es weiterer Maßnahmen, um sicherzustellen, dass die Netze den steigenden Anforderungen gerecht werden und die Klima- und Energieziele erreicht werden. </w:t>
            </w:r>
            <w:r>
              <w:rPr>
                <w:rFonts w:ascii="Aptos" w:hAnsi="Aptos"/>
                <w:b/>
                <w:bCs/>
                <w:sz w:val="22"/>
                <w:szCs w:val="22"/>
              </w:rPr>
              <w:t>Welche Folgeinitiativen über den EU Action Plan for Grids hinaus, planen Sie, um den Netzausbau in Europa weiter voranzutreiben?</w:t>
            </w:r>
          </w:p>
        </w:tc>
      </w:tr>
      <w:tr w:rsidR="00623AF8" w14:paraId="728B970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57C09AA"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2078A260"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02D99F8"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 xml:space="preserve"> Sie weitere Initiativen, die den Netzausbau finanziell fördern?</w:t>
            </w:r>
          </w:p>
        </w:tc>
      </w:tr>
    </w:tbl>
    <w:p w14:paraId="4EFA0A46"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7ED5D3B4" w14:textId="77777777" w:rsidTr="00875DD0">
        <w:tc>
          <w:tcPr>
            <w:tcW w:w="9060" w:type="dxa"/>
            <w:shd w:val="clear" w:color="auto" w:fill="D9D9D9" w:themeFill="background1" w:themeFillShade="D9"/>
            <w:hideMark/>
          </w:tcPr>
          <w:p w14:paraId="6969119E"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bookmarkEnd w:id="84"/>
    <w:p w14:paraId="6C27A383" w14:textId="77777777" w:rsidR="00623AF8" w:rsidRDefault="00623AF8" w:rsidP="00623AF8">
      <w:pPr>
        <w:spacing w:after="100" w:afterAutospacing="1"/>
        <w:jc w:val="both"/>
        <w:rPr>
          <w:rFonts w:ascii="Aptos" w:hAnsi="Aptos"/>
          <w:sz w:val="22"/>
          <w:szCs w:val="22"/>
        </w:rPr>
      </w:pPr>
      <w:r>
        <w:rPr>
          <w:rFonts w:ascii="Aptos" w:hAnsi="Aptos"/>
          <w:sz w:val="22"/>
          <w:szCs w:val="22"/>
        </w:rPr>
        <w:t xml:space="preserve">Der Netzausbau in Europa ist von zentraler Bedeutung für die erfolgreiche Umsetzung der grünen Wende und die Integration erneuerbarer Energien. Die Stromnetze sind das Rückgrat des europäischen Energiesystems und spielen eine entscheidende Rolle dabei, die Energie aus erneuerbaren Quellen wie Wind- und Solarenergie effizient zu den Endverbrauchern zu transportieren. Ohne eine robuste und flexible Netz-Infrastruktur kann die grüne Wende nicht erfolgreich umgesetzt werden. Die wachsende Integration erneuerbarer Energien stellt das bestehende Netz vor große Herausforderungen. </w:t>
      </w:r>
    </w:p>
    <w:p w14:paraId="47B8D3FF"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Viele der aktuellen Netzstrukturen sind nicht für die dezentralisierte und variable Natur der erneuerbaren Energien ausgelegt. Wind- und Solarkraftwerke sind häufig in Regionen angesiedelt, die weit von den Verbrauchszentren entfernt liegen, was den Bedarf an effizienten Übertragungsnetzen erhöht. Ohne ausreichende Kapazitäten im Mittel- und Niederspannungsnetz können diese erneuerbaren Energien nicht optimal genutzt werden, was zu Engpässen und Ineffizienzen führt.</w:t>
      </w:r>
    </w:p>
    <w:p w14:paraId="18A9BDC6"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Zudem führt die zunehmende Elektrifizierung von Verkehr und Wärme zu einer höheren Nachfrage nach Strom und erhöht somit die Belastung der Netze. Elektrofahrzeuge, Wärmepumpen und andere elektrische Geräte benötigen zuverlässige und leistungsfähige Stromnetze, um den wachsenden Energiebedarf zu decken. Ein verzögerter Netzausbau könnte dazu führen, dass die Infrastruktur den Anforderungen nicht gewachsen ist, was die Umsetzung der Klimaziele und die Stabilität des Energiesystems gefährden würde. Darüber hinaus ist eine flexible Netz-Infrastruktur notwendig, um schnell auf Schwankungen in der Energieerzeugung und -nachfrage reagieren zu können. Dies ist besonders wichtig, da erneuerbare Energien wetterabhängig sind und ihre Produktion stark variieren kann. Flexible Netze ermöglichen es, überschüssige Energie zu speichern und bei Bedarf wieder ins Netz einzuspeisen, was die Versorgungssicherheit erhöht und die Abhängigkeit von fossilen Brennstoffen weiter reduziert.</w:t>
      </w:r>
      <w:r>
        <w:rPr>
          <w:rFonts w:ascii="Aptos" w:hAnsi="Aptos"/>
          <w:bCs/>
          <w:sz w:val="22"/>
          <w:szCs w:val="22"/>
          <w:u w:val="single"/>
        </w:rPr>
        <w:br w:type="page"/>
      </w:r>
    </w:p>
    <w:p w14:paraId="42E20A21" w14:textId="77777777" w:rsidR="00623AF8" w:rsidRDefault="00623AF8" w:rsidP="00623AF8">
      <w:pPr>
        <w:pStyle w:val="berschrift1"/>
        <w:rPr>
          <w:rFonts w:ascii="Aptos" w:hAnsi="Aptos"/>
        </w:rPr>
      </w:pPr>
    </w:p>
    <w:p w14:paraId="74AB6C7A" w14:textId="77777777" w:rsidR="00623AF8" w:rsidRDefault="00623AF8" w:rsidP="00623AF8">
      <w:pPr>
        <w:pStyle w:val="berschrift1"/>
        <w:rPr>
          <w:rFonts w:ascii="Aptos" w:hAnsi="Aptos"/>
        </w:rPr>
      </w:pPr>
      <w:bookmarkStart w:id="88" w:name="_Toc165540422"/>
      <w:bookmarkStart w:id="89" w:name="_Toc170294891"/>
      <w:bookmarkStart w:id="90" w:name="_Toc170983669"/>
      <w:r>
        <w:rPr>
          <w:rFonts w:ascii="Aptos" w:hAnsi="Aptos"/>
        </w:rPr>
        <w:t>Finanzierung des Netzausbaus</w:t>
      </w:r>
      <w:bookmarkEnd w:id="88"/>
      <w:bookmarkEnd w:id="89"/>
      <w:bookmarkEnd w:id="90"/>
    </w:p>
    <w:p w14:paraId="6F6D7203"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45B25D2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4BBDA4B"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15E607D9"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6AD0001"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steigende Nachfrage nach erneuerbaren Energiequellen wie Wind- und Solarenergie sowie der Übergang zu Elektromobilität führen zu einem wachsenden Bedarf an Stromverteilnetzen. Die bestehenden Netze sind jedoch oft veraltet und nicht ausreichend dimensioniert, um diese neuen Anforderungen zu bewältigen. Ohne einen Ausbau der Stromverteilnetze drohen Engpässe und eine unzureichende Versorgungssicherheit. Zusätzliche Finanzierungsinitiativen sind daher erforderlich, um die Modernisierung und den Ausbau der Netze zu unterstützen und eine nachhaltige Energieversorgung zu gewährleisten. </w:t>
            </w:r>
            <w:r>
              <w:rPr>
                <w:rFonts w:ascii="Aptos" w:hAnsi="Aptos"/>
                <w:b/>
                <w:bCs/>
                <w:sz w:val="22"/>
                <w:szCs w:val="22"/>
              </w:rPr>
              <w:t>Wie werden Sie sicherstellen, dass nachhaltig und vorausschauend, sowie im Sinne der Kund:innen, Effizienz und Zweckmäßigkeit in die europäischen Netze investiert wird?</w:t>
            </w:r>
            <w:r>
              <w:rPr>
                <w:rFonts w:ascii="Aptos" w:hAnsi="Aptos"/>
                <w:sz w:val="22"/>
                <w:szCs w:val="22"/>
              </w:rPr>
              <w:t xml:space="preserve"> </w:t>
            </w:r>
          </w:p>
        </w:tc>
      </w:tr>
      <w:tr w:rsidR="00623AF8" w14:paraId="706B4A8C"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C7CF5F"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2FC534F1"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F17D14C"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Welche zusätzlichen Finanzierungsmaßnahmen sehen Sie hier vor dem Hintergrund einer stärkeren europäischen Resilienz und werden dafür von der Kommission europäische Finanzierungsmodelle in Betracht gezogen?</w:t>
            </w:r>
          </w:p>
        </w:tc>
      </w:tr>
    </w:tbl>
    <w:p w14:paraId="3B8CBD58"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7CB5C43B" w14:textId="77777777" w:rsidTr="00875DD0">
        <w:tc>
          <w:tcPr>
            <w:tcW w:w="9060" w:type="dxa"/>
            <w:shd w:val="clear" w:color="auto" w:fill="D9D9D9" w:themeFill="background1" w:themeFillShade="D9"/>
            <w:hideMark/>
          </w:tcPr>
          <w:p w14:paraId="2148B0DD"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6436033E" w14:textId="77777777" w:rsidR="00623AF8" w:rsidRDefault="00623AF8" w:rsidP="00623AF8">
      <w:pPr>
        <w:spacing w:after="120"/>
        <w:jc w:val="both"/>
        <w:rPr>
          <w:rFonts w:ascii="Aptos" w:hAnsi="Aptos"/>
          <w:sz w:val="22"/>
          <w:szCs w:val="22"/>
        </w:rPr>
      </w:pPr>
      <w:r>
        <w:rPr>
          <w:rFonts w:ascii="Aptos" w:hAnsi="Aptos"/>
          <w:sz w:val="22"/>
          <w:szCs w:val="22"/>
        </w:rPr>
        <w:t xml:space="preserve">Die Modernisierung und der Ausbau der Stromverteilnetze sind entscheidend für die erfolgreiche Integration erneuerbarer Energien und die Unterstützung der Elektromobilität in Europa. Ohne ausreichende Investitionen drohen Engpässe und die grüne Wende kann nicht erfolgreich umgesetzt werden. </w:t>
      </w:r>
    </w:p>
    <w:p w14:paraId="07274C73" w14:textId="77777777" w:rsidR="00623AF8" w:rsidRDefault="00623AF8" w:rsidP="00623AF8">
      <w:pPr>
        <w:spacing w:after="120"/>
        <w:jc w:val="both"/>
        <w:rPr>
          <w:rFonts w:ascii="Aptos" w:hAnsi="Aptos"/>
          <w:sz w:val="22"/>
          <w:szCs w:val="22"/>
        </w:rPr>
      </w:pPr>
      <w:r>
        <w:rPr>
          <w:rFonts w:ascii="Aptos" w:hAnsi="Aptos"/>
          <w:sz w:val="22"/>
          <w:szCs w:val="22"/>
        </w:rPr>
        <w:t>Die wachsende Integration erneuerbarer Energien stellt das bestehende Netz vor große Herausforderungen. Viele der aktuellen Netzstrukturen sind nicht für die dezentralisierte und variable Natur der erneuerbaren Energien ausgelegt. Daher ist es notwendig, die Netzkapazitäten zu erweitern und zu modernisieren, um eine stabile und zuverlässige Energieversorgung zu gewährleisten. Eine vorausschauende Planung hilft, zukünftige Engpässe zu vermeiden und die langfristige Versorgungssicherheit zu gewährleisten.</w:t>
      </w:r>
    </w:p>
    <w:p w14:paraId="09AC92F9" w14:textId="77777777" w:rsidR="00623AF8" w:rsidRDefault="00623AF8" w:rsidP="00623AF8">
      <w:pPr>
        <w:spacing w:after="120"/>
        <w:jc w:val="both"/>
        <w:rPr>
          <w:rFonts w:ascii="Aptos" w:hAnsi="Aptos"/>
          <w:sz w:val="22"/>
          <w:szCs w:val="22"/>
        </w:rPr>
      </w:pPr>
      <w:r>
        <w:rPr>
          <w:rFonts w:ascii="Aptos" w:hAnsi="Aptos"/>
          <w:sz w:val="22"/>
          <w:szCs w:val="22"/>
        </w:rPr>
        <w:t>Effiziente Netzinvestitionen bedeuten auch Kosteneinsparungen für die Verbraucher. Durch die Reduzierung von Übertragungsverlusten und die Optimierung der Netzinfrastruktur können die Gesamtkosten der Energieversorgung gesenkt werden. Dies kommt direkt den Kunden zugute, da sie von niedrigeren Energiekosten und einer höheren Versorgungssicherheit profitieren.</w:t>
      </w:r>
    </w:p>
    <w:p w14:paraId="3C8F20F7" w14:textId="77777777" w:rsidR="00623AF8" w:rsidRDefault="00623AF8" w:rsidP="00623AF8">
      <w:pPr>
        <w:spacing w:after="120"/>
        <w:jc w:val="both"/>
        <w:rPr>
          <w:rFonts w:ascii="Aptos" w:hAnsi="Aptos"/>
          <w:sz w:val="22"/>
          <w:szCs w:val="22"/>
        </w:rPr>
      </w:pPr>
      <w:r>
        <w:rPr>
          <w:rFonts w:ascii="Aptos" w:hAnsi="Aptos"/>
          <w:sz w:val="22"/>
          <w:szCs w:val="22"/>
        </w:rPr>
        <w:t>Darüber hinaus fördert eine nachhaltige und zweckmäßige Netz-Infrastruktur die wirtschaftliche Entwicklung und schafft Arbeitsplätze. Investitionen in moderne Netze tragen zur Schaffung eines robusten und resilienten Energiesystems bei, das den Anforderungen einer zunehmend elektrifizierten und dekarbonisierten Wirtschaft gerecht wird.</w:t>
      </w:r>
    </w:p>
    <w:p w14:paraId="59F07AA5" w14:textId="77777777" w:rsidR="00623AF8" w:rsidRDefault="00623AF8" w:rsidP="00623AF8">
      <w:pPr>
        <w:spacing w:after="120"/>
        <w:jc w:val="both"/>
        <w:rPr>
          <w:rFonts w:ascii="Aptos" w:hAnsi="Aptos"/>
          <w:sz w:val="22"/>
          <w:szCs w:val="22"/>
        </w:rPr>
      </w:pPr>
      <w:r>
        <w:rPr>
          <w:rFonts w:ascii="Aptos" w:hAnsi="Aptos"/>
          <w:sz w:val="22"/>
          <w:szCs w:val="22"/>
        </w:rPr>
        <w:t>Insgesamt sind gezielte und nachhaltige Investitionen in die europäischen Netze unerlässlich, um die Energiezukunft sicher und effizient zu gestalten.</w:t>
      </w:r>
    </w:p>
    <w:p w14:paraId="799E00C0" w14:textId="77777777" w:rsidR="00623AF8" w:rsidRDefault="00623AF8" w:rsidP="00623AF8">
      <w:pPr>
        <w:rPr>
          <w:rFonts w:ascii="Aptos" w:eastAsiaTheme="majorEastAsia" w:hAnsi="Aptos" w:cstheme="majorBidi"/>
          <w:b/>
          <w:color w:val="E4342D"/>
          <w:szCs w:val="32"/>
        </w:rPr>
      </w:pPr>
      <w:r>
        <w:rPr>
          <w:rFonts w:ascii="Aptos" w:hAnsi="Aptos"/>
        </w:rPr>
        <w:br w:type="page"/>
      </w:r>
    </w:p>
    <w:p w14:paraId="3D8FCCC5" w14:textId="77777777" w:rsidR="00623AF8" w:rsidRDefault="00623AF8" w:rsidP="00623AF8">
      <w:pPr>
        <w:pStyle w:val="berschrift1"/>
        <w:rPr>
          <w:rFonts w:ascii="Aptos" w:hAnsi="Aptos"/>
        </w:rPr>
      </w:pPr>
    </w:p>
    <w:p w14:paraId="50AF87B1" w14:textId="77777777" w:rsidR="00623AF8" w:rsidRPr="00F311EA" w:rsidRDefault="00623AF8" w:rsidP="00623AF8"/>
    <w:p w14:paraId="78F5813E" w14:textId="77777777" w:rsidR="00623AF8" w:rsidRDefault="00623AF8" w:rsidP="00623AF8">
      <w:pPr>
        <w:pStyle w:val="berschrift1"/>
        <w:rPr>
          <w:rFonts w:ascii="Aptos" w:hAnsi="Aptos"/>
        </w:rPr>
      </w:pPr>
      <w:bookmarkStart w:id="91" w:name="_Toc165540423"/>
      <w:bookmarkStart w:id="92" w:name="_Toc170294892"/>
      <w:bookmarkStart w:id="93" w:name="_Toc170983670"/>
      <w:r>
        <w:rPr>
          <w:rFonts w:ascii="Aptos" w:hAnsi="Aptos"/>
        </w:rPr>
        <w:t>Effizientere Genehmigungsverfahren für die Netzinfrastruktur</w:t>
      </w:r>
      <w:bookmarkEnd w:id="91"/>
      <w:bookmarkEnd w:id="92"/>
      <w:bookmarkEnd w:id="93"/>
    </w:p>
    <w:p w14:paraId="7D6C0F98"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A4BBF1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59F45F6"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692068D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6EDBAB5" w14:textId="77777777" w:rsidR="00623AF8" w:rsidRDefault="00623AF8" w:rsidP="00875DD0">
            <w:pPr>
              <w:spacing w:before="120" w:after="120"/>
              <w:jc w:val="both"/>
              <w:rPr>
                <w:rFonts w:ascii="Aptos" w:hAnsi="Aptos"/>
                <w:sz w:val="22"/>
                <w:szCs w:val="22"/>
              </w:rPr>
            </w:pPr>
            <w:r>
              <w:rPr>
                <w:rFonts w:ascii="Aptos" w:hAnsi="Aptos"/>
                <w:sz w:val="22"/>
                <w:szCs w:val="22"/>
              </w:rPr>
              <w:t xml:space="preserve">Um den steigenden Bedarf an erneuerbaren Energien zu decken und die Modernisierung des Stromnetzes zu fördern, bedarf es effizienterer Genehmigungsverfahren für die Stromverteilnetzinfrastruktur. Die aktuellen Prozesse sind häufig langwierig und komplex, was zu Projektverzögerungen führt. Durch schlankere Genehmigungsprozesse ließen sich Investitionszeiten verkürzen, Kosten senken und der Ausbau sauberer Energien beschleunigen. Dies ist von entscheidender Bedeutung, um die Klimaziele zu erreichen und die Energiewende voranzutreiben. </w:t>
            </w:r>
            <w:r>
              <w:rPr>
                <w:rFonts w:ascii="Aptos" w:hAnsi="Aptos"/>
                <w:b/>
                <w:bCs/>
                <w:sz w:val="22"/>
                <w:szCs w:val="22"/>
              </w:rPr>
              <w:t>Wie beabsichtigen Sie, die Genehmigungsverfahren für die Netzinfrastruktur zu optimieren, sie besser zu strukturieren und insgesamt effizienter zu gestalten?</w:t>
            </w:r>
          </w:p>
        </w:tc>
      </w:tr>
      <w:tr w:rsidR="00623AF8" w14:paraId="263971F4"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B6253E6"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078A129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4D5577D"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56F78C22" w14:textId="77777777" w:rsidR="00623AF8" w:rsidRDefault="00623AF8" w:rsidP="00623AF8">
      <w:pPr>
        <w:spacing w:after="120"/>
        <w:jc w:val="both"/>
        <w:rPr>
          <w:rFonts w:ascii="Aptos" w:hAnsi="Aptos"/>
          <w:i/>
          <w:iCs/>
          <w:sz w:val="22"/>
          <w:szCs w:val="22"/>
          <w:u w:val="single"/>
        </w:rPr>
      </w:pPr>
    </w:p>
    <w:p w14:paraId="71C7E26B"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48C24CD3" w14:textId="77777777" w:rsidTr="00875DD0">
        <w:tc>
          <w:tcPr>
            <w:tcW w:w="9060" w:type="dxa"/>
            <w:shd w:val="clear" w:color="auto" w:fill="D9D9D9" w:themeFill="background1" w:themeFillShade="D9"/>
            <w:hideMark/>
          </w:tcPr>
          <w:p w14:paraId="1C461C8F"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610A214D" w14:textId="77777777" w:rsidR="00623AF8" w:rsidRDefault="00623AF8" w:rsidP="00623AF8">
      <w:pPr>
        <w:spacing w:after="100" w:afterAutospacing="1"/>
        <w:jc w:val="both"/>
        <w:rPr>
          <w:rFonts w:ascii="Aptos" w:hAnsi="Aptos"/>
          <w:sz w:val="22"/>
          <w:szCs w:val="22"/>
        </w:rPr>
      </w:pPr>
      <w:r>
        <w:rPr>
          <w:rFonts w:ascii="Aptos" w:hAnsi="Aptos"/>
          <w:sz w:val="22"/>
          <w:szCs w:val="22"/>
        </w:rPr>
        <w:t xml:space="preserve">Um den Herausforderungen des Ausbaus von erneuerbaren Energien, der Modernisierung des Stromnetzes und dem Kampf gegen den Klimawandel gerecht zu werden, ist ein gewisser Zeitdruck vorhanden. Da Genehmigungsverfahren eines der langandauerndsten Schritte des Ausbaus der Netzinfrastruktur sind, muss es von höchster Priorität sein, diese Verfahren zu beschleunigen. Bürokratische Hürden leiten oft Verzögerungen ein, was zeitlich und wirtschaftlich kostbar ist. Effizientere Genehmigungsverfahren helfen, die Investitionszeiten zu verkürzen, was wiederum die Kosten senkt und den Ausbau erneuerbarer Energien beschleunigt. Damit könnte ein entscheidender Beitrag zur Erreichung der Klimaziele und zur Sicherstellung einer nachhaltigen Energieversorgung geleistet werden. </w:t>
      </w:r>
    </w:p>
    <w:p w14:paraId="5CAC8154" w14:textId="77777777" w:rsidR="00623AF8" w:rsidRDefault="00623AF8" w:rsidP="00623AF8">
      <w:pPr>
        <w:spacing w:after="120"/>
        <w:jc w:val="both"/>
        <w:rPr>
          <w:rFonts w:ascii="Aptos" w:hAnsi="Aptos"/>
          <w:sz w:val="22"/>
          <w:szCs w:val="22"/>
        </w:rPr>
      </w:pPr>
    </w:p>
    <w:p w14:paraId="60EA651B" w14:textId="77777777" w:rsidR="00623AF8" w:rsidRDefault="00623AF8" w:rsidP="00623AF8">
      <w:pPr>
        <w:spacing w:after="120"/>
        <w:jc w:val="both"/>
        <w:rPr>
          <w:rFonts w:ascii="Aptos" w:hAnsi="Aptos"/>
          <w:sz w:val="22"/>
          <w:szCs w:val="22"/>
        </w:rPr>
      </w:pPr>
    </w:p>
    <w:p w14:paraId="1B35A4BD" w14:textId="77777777" w:rsidR="00623AF8" w:rsidRDefault="00623AF8" w:rsidP="00623AF8">
      <w:pPr>
        <w:rPr>
          <w:rFonts w:ascii="Aptos" w:hAnsi="Aptos"/>
          <w:sz w:val="22"/>
          <w:szCs w:val="22"/>
          <w:highlight w:val="yellow"/>
        </w:rPr>
      </w:pPr>
      <w:r>
        <w:rPr>
          <w:rFonts w:ascii="Aptos" w:hAnsi="Aptos"/>
          <w:sz w:val="22"/>
          <w:szCs w:val="22"/>
          <w:highlight w:val="yellow"/>
        </w:rPr>
        <w:br w:type="page"/>
      </w:r>
    </w:p>
    <w:p w14:paraId="73FD97A9" w14:textId="77777777" w:rsidR="00623AF8" w:rsidRDefault="00623AF8" w:rsidP="00623AF8">
      <w:pPr>
        <w:jc w:val="both"/>
        <w:rPr>
          <w:rFonts w:ascii="Aptos" w:hAnsi="Aptos"/>
        </w:rPr>
      </w:pPr>
    </w:p>
    <w:p w14:paraId="62B026A7" w14:textId="77777777" w:rsidR="00623AF8" w:rsidRDefault="00623AF8" w:rsidP="00623AF8">
      <w:pPr>
        <w:pStyle w:val="berschrift1"/>
        <w:rPr>
          <w:rFonts w:ascii="Aptos" w:hAnsi="Aptos"/>
        </w:rPr>
      </w:pPr>
    </w:p>
    <w:p w14:paraId="1AC7C30A" w14:textId="77777777" w:rsidR="00623AF8" w:rsidRDefault="00623AF8" w:rsidP="00623AF8">
      <w:pPr>
        <w:pStyle w:val="berschrift1"/>
        <w:rPr>
          <w:rFonts w:ascii="Aptos" w:hAnsi="Aptos"/>
        </w:rPr>
      </w:pPr>
      <w:bookmarkStart w:id="94" w:name="_Toc165540424"/>
      <w:bookmarkStart w:id="95" w:name="_Toc170294893"/>
      <w:bookmarkStart w:id="96" w:name="_Toc170983671"/>
      <w:r>
        <w:rPr>
          <w:rFonts w:ascii="Aptos" w:hAnsi="Aptos"/>
        </w:rPr>
        <w:t>Beschleunigung von Genehmigungsverfahren für erneuerbare Stromerzeugung</w:t>
      </w:r>
      <w:bookmarkEnd w:id="94"/>
      <w:bookmarkEnd w:id="95"/>
      <w:bookmarkEnd w:id="96"/>
    </w:p>
    <w:p w14:paraId="7C921F76"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513D0BC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CCDE0FD"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5676019C"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DF977CF" w14:textId="77777777" w:rsidR="00623AF8" w:rsidRDefault="00623AF8" w:rsidP="00875DD0">
            <w:pPr>
              <w:spacing w:before="120" w:after="120"/>
              <w:jc w:val="both"/>
              <w:rPr>
                <w:rFonts w:ascii="Aptos" w:hAnsi="Aptos"/>
                <w:sz w:val="22"/>
                <w:szCs w:val="22"/>
              </w:rPr>
            </w:pPr>
            <w:r>
              <w:rPr>
                <w:rFonts w:ascii="Aptos" w:hAnsi="Aptos"/>
                <w:sz w:val="22"/>
                <w:szCs w:val="22"/>
              </w:rPr>
              <w:t xml:space="preserve">Um die Dekarbonisierungsziele rechtzeitig zu erreichen, bedarf es eines beschleunigten Ausbaus der Stromproduktion aus erneuerbaren Resources. Die Erneuerbare-Energie-Richtlinie (RED III) sieht daher zahlreiche Maßnahmen zur Beschleunigung des Ausbaus vor. </w:t>
            </w:r>
            <w:r>
              <w:rPr>
                <w:rFonts w:ascii="Aptos" w:hAnsi="Aptos"/>
                <w:b/>
                <w:bCs/>
                <w:sz w:val="22"/>
                <w:szCs w:val="22"/>
              </w:rPr>
              <w:t>Wie stellen Sie sicher, dass die Maßnahmen zu Beschleunigung der Genehmigungsverfahren der RED III in den Mitgliedstaaten wirkungsvoll umgesetzt werden?</w:t>
            </w:r>
          </w:p>
        </w:tc>
      </w:tr>
      <w:tr w:rsidR="00623AF8" w14:paraId="1B93885F"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828AD78"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00A7549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5E36BB3"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 xml:space="preserve">Neben den permanenten Maßnahmen der RED III wurden aufgrund des Kriegs in der Ukraine 2022 zusätzliche temporäre Maßnahmen verordnet. Diese gelten momentan bis Juni 2025. </w:t>
            </w:r>
            <w:r>
              <w:rPr>
                <w:rFonts w:ascii="Aptos" w:hAnsi="Aptos"/>
                <w:b/>
                <w:bCs/>
                <w:sz w:val="22"/>
                <w:szCs w:val="22"/>
              </w:rPr>
              <w:t>Soll die Gültigkeit verlängert werden?</w:t>
            </w:r>
          </w:p>
        </w:tc>
      </w:tr>
    </w:tbl>
    <w:p w14:paraId="2E6434C4" w14:textId="77777777" w:rsidR="00623AF8" w:rsidRDefault="00623AF8" w:rsidP="00623AF8">
      <w:pPr>
        <w:spacing w:after="120"/>
        <w:jc w:val="both"/>
        <w:rPr>
          <w:rFonts w:ascii="Aptos" w:hAnsi="Aptos"/>
          <w:i/>
          <w:iCs/>
          <w:sz w:val="22"/>
          <w:szCs w:val="22"/>
          <w:u w:val="single"/>
        </w:rPr>
      </w:pPr>
    </w:p>
    <w:p w14:paraId="554900DF"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33302EBC" w14:textId="77777777" w:rsidTr="00875DD0">
        <w:tc>
          <w:tcPr>
            <w:tcW w:w="9060" w:type="dxa"/>
            <w:shd w:val="clear" w:color="auto" w:fill="D9D9D9" w:themeFill="background1" w:themeFillShade="D9"/>
            <w:hideMark/>
          </w:tcPr>
          <w:p w14:paraId="6CB33CCB"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5A7DA6DB" w14:textId="77777777" w:rsidR="00623AF8" w:rsidRDefault="00623AF8" w:rsidP="00623AF8">
      <w:pPr>
        <w:pStyle w:val="StandardWeb"/>
        <w:spacing w:before="0" w:beforeAutospacing="0"/>
        <w:jc w:val="both"/>
        <w:rPr>
          <w:rFonts w:ascii="Aptos" w:hAnsi="Aptos"/>
          <w:sz w:val="22"/>
          <w:szCs w:val="22"/>
        </w:rPr>
      </w:pPr>
      <w:r>
        <w:rPr>
          <w:rFonts w:ascii="Aptos" w:hAnsi="Aptos"/>
          <w:sz w:val="22"/>
          <w:szCs w:val="22"/>
        </w:rPr>
        <w:t xml:space="preserve">Die Europäische Union (EU) hat sich anspruchsvolle Dekarbonisierungsziele gesetzt, die eine schnelle und umfassende Transformation des Energiesektors erfordern. Um diese Ziele zu erreichen, ist der beschleunigte Ausbau der Stromproduktion aus erneuerbaren Ressourcen von entscheidender Bedeutung. Die Erneuerbare-Energie-Richtlinie (RED III) </w:t>
      </w:r>
      <w:r>
        <w:rPr>
          <w:rFonts w:ascii="Aptos" w:hAnsi="Aptos"/>
          <w:sz w:val="28"/>
          <w:szCs w:val="28"/>
          <w:vertAlign w:val="subscript"/>
        </w:rPr>
        <w:t>(1).</w:t>
      </w:r>
      <w:r>
        <w:rPr>
          <w:rFonts w:ascii="Aptos" w:hAnsi="Aptos"/>
          <w:sz w:val="22"/>
          <w:szCs w:val="22"/>
        </w:rPr>
        <w:t xml:space="preserve"> enthält zahlreiche Maßnahmen, um diesen Ausbau zu fördern. Dazu zählen unter vereinfachte und verkürzte Genehmigungsverfahren, die Ansätze zur Koordination der Genehmigungsbehörden sowie festgelegte Fristen für Genehmigungen. Es ist entscheidend, dass diese Maßnahmen in den Mitgliedstaaten effektiver umgesetzt werden, um die geplanten Ausbauziele zu erreichen. Ein effizientes Monitoring und Berichtswesens muss garantiert sein, um die Fortschritte bei der Umsetzung zu überwachen und gegebenenfalls Anpassungen vorzunehmen. Die Implementierung von wichtigen Zielen ist umso besser erreichbar, wenn technische und finanzielle Unterstützungen durch die EU gegeben sind. </w:t>
      </w:r>
    </w:p>
    <w:p w14:paraId="2177011E" w14:textId="77777777" w:rsidR="00623AF8" w:rsidRDefault="00623AF8" w:rsidP="00623AF8">
      <w:pPr>
        <w:pStyle w:val="StandardWeb"/>
        <w:jc w:val="both"/>
        <w:rPr>
          <w:rFonts w:ascii="Aptos" w:hAnsi="Aptos"/>
          <w:sz w:val="22"/>
          <w:szCs w:val="22"/>
        </w:rPr>
      </w:pPr>
      <w:r>
        <w:rPr>
          <w:rFonts w:ascii="Aptos" w:hAnsi="Aptos"/>
          <w:sz w:val="22"/>
          <w:szCs w:val="22"/>
        </w:rPr>
        <w:t>Die zusätzlichen temporären Maßnahmen der RED III aufgrund des Kriegs in der Ukraine sind gelten derzeit bis Juni 2025. Eine Verlängerung der Gültigkeit dieser Maßnahmen über Juni 2025 hinaus könnte sinnvoll sein, wenn die geopolitischen Spannungen andauern oder wenn die Ziele zur Beschleunigung des Ausbaus erneuerbarer Energien noch nicht vollständig erreicht sind. Eine genaue Evaluierung der Wirksamkeit und Notwendigkeit dieser temporären Maßnahmen sollte vor Ablauf der Frist erfolgen, um Entscheidungen über eine mögliche Verlängerung zu treffen.</w:t>
      </w:r>
    </w:p>
    <w:p w14:paraId="6D72A267" w14:textId="77777777" w:rsidR="00623AF8" w:rsidRDefault="00623AF8" w:rsidP="00F63BE8">
      <w:pPr>
        <w:pStyle w:val="Listenabsatz"/>
        <w:numPr>
          <w:ilvl w:val="0"/>
          <w:numId w:val="5"/>
        </w:numPr>
        <w:spacing w:after="120"/>
        <w:jc w:val="both"/>
        <w:rPr>
          <w:rFonts w:ascii="Aptos" w:hAnsi="Aptos"/>
          <w:sz w:val="28"/>
          <w:szCs w:val="28"/>
          <w:vertAlign w:val="subscript"/>
        </w:rPr>
      </w:pPr>
      <w:r>
        <w:rPr>
          <w:rFonts w:ascii="Aptos" w:hAnsi="Aptos"/>
          <w:sz w:val="28"/>
          <w:szCs w:val="28"/>
          <w:vertAlign w:val="subscript"/>
        </w:rPr>
        <w:t xml:space="preserve">EU-Parlament und Rat: Amtsblatt der Europäischen Union 31.10.2023 </w:t>
      </w:r>
      <w:hyperlink r:id="rId28" w:history="1">
        <w:r>
          <w:rPr>
            <w:rStyle w:val="Hyperlink"/>
            <w:rFonts w:ascii="Aptos" w:hAnsi="Aptos"/>
            <w:sz w:val="28"/>
            <w:szCs w:val="28"/>
            <w:vertAlign w:val="subscript"/>
          </w:rPr>
          <w:t>https://eur-lex.europa.eu/legal-content/DE/TXT/PDF/?uri=OJ:L_202302413</w:t>
        </w:r>
      </w:hyperlink>
      <w:r>
        <w:rPr>
          <w:rFonts w:ascii="Aptos" w:hAnsi="Aptos"/>
          <w:sz w:val="22"/>
          <w:szCs w:val="22"/>
          <w:highlight w:val="yellow"/>
        </w:rPr>
        <w:br w:type="page"/>
      </w:r>
    </w:p>
    <w:p w14:paraId="61CD46B2" w14:textId="77777777" w:rsidR="00623AF8" w:rsidRDefault="00623AF8" w:rsidP="00623AF8">
      <w:pPr>
        <w:pStyle w:val="berschrift1"/>
        <w:rPr>
          <w:rFonts w:ascii="Aptos" w:hAnsi="Aptos"/>
        </w:rPr>
      </w:pPr>
    </w:p>
    <w:p w14:paraId="1B1E0F7B" w14:textId="77777777" w:rsidR="00623AF8" w:rsidRDefault="00623AF8" w:rsidP="00623AF8"/>
    <w:p w14:paraId="6B449BFA" w14:textId="77777777" w:rsidR="00623AF8" w:rsidRDefault="00623AF8" w:rsidP="00623AF8">
      <w:pPr>
        <w:pStyle w:val="berschrift1"/>
        <w:rPr>
          <w:rFonts w:ascii="Aptos" w:hAnsi="Aptos"/>
        </w:rPr>
      </w:pPr>
      <w:bookmarkStart w:id="97" w:name="_Toc165540425"/>
      <w:bookmarkStart w:id="98" w:name="_Toc170294894"/>
      <w:bookmarkStart w:id="99" w:name="_Toc170983672"/>
      <w:r>
        <w:rPr>
          <w:rFonts w:ascii="Aptos" w:hAnsi="Aptos"/>
        </w:rPr>
        <w:t>Effizientere Genehmigungsverfahren für Produktionsanlagen für erneuerbare Energie</w:t>
      </w:r>
      <w:bookmarkEnd w:id="97"/>
      <w:bookmarkEnd w:id="98"/>
      <w:bookmarkEnd w:id="99"/>
    </w:p>
    <w:p w14:paraId="4220ABCC"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BFA8FB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A6B9330"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13E840A7"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6688CA4" w14:textId="77777777" w:rsidR="00623AF8" w:rsidRDefault="00623AF8" w:rsidP="00875DD0">
            <w:pPr>
              <w:spacing w:before="120" w:after="120"/>
              <w:jc w:val="both"/>
              <w:rPr>
                <w:rFonts w:ascii="Aptos" w:hAnsi="Aptos"/>
                <w:sz w:val="22"/>
                <w:szCs w:val="22"/>
              </w:rPr>
            </w:pPr>
            <w:r>
              <w:rPr>
                <w:rFonts w:ascii="Aptos" w:hAnsi="Aptos"/>
                <w:sz w:val="22"/>
                <w:szCs w:val="22"/>
              </w:rPr>
              <w:t xml:space="preserve">Um den steigenden Bedarf an erneuerbaren Energien zu decken, bedarf es effizienterer Genehmigungsverfahren für die Errichtung von Anlagen zur Erzeugung von erneuerbarer Energie. Die aktuellen Prozesse sind häufig langwierig und komplex, was zu Projektverzögerungen führt. Durch schlankere Genehmigungsprozesse ließen sich Investitionszeiten verkürzen, Kosten senken und der Ausbau sauberer Energien beschleunigen. Dies ist von entscheidender Bedeutung, um die Klimaziele zu erreichen und die Energiewende voranzutreiben. </w:t>
            </w:r>
            <w:r>
              <w:rPr>
                <w:rFonts w:ascii="Aptos" w:hAnsi="Aptos"/>
                <w:b/>
                <w:bCs/>
                <w:sz w:val="22"/>
                <w:szCs w:val="22"/>
              </w:rPr>
              <w:t>Wie beabsichtigen Sie, die Genehmigungsverfahren für Anlagen zur Erzeugung von erneuerbarer Energie zu optimieren, sie besser zu strukturieren und insgesamt effizienter zu gestalten?</w:t>
            </w:r>
          </w:p>
        </w:tc>
      </w:tr>
      <w:tr w:rsidR="00623AF8" w14:paraId="6D10CBAD"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0050EAC"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39DFDDF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8629AF8"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Wie beabsichtigen Sie, die Genehmigungsverfahren für die Netzinfrastruktur für erneuerbare Gase zu optimieren, sie besser zu strukturieren und insgesamt effizienter zu gestalten?</w:t>
            </w:r>
          </w:p>
        </w:tc>
      </w:tr>
    </w:tbl>
    <w:p w14:paraId="5C52CCE1"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38488062" w14:textId="77777777" w:rsidTr="00875DD0">
        <w:tc>
          <w:tcPr>
            <w:tcW w:w="9060" w:type="dxa"/>
            <w:shd w:val="clear" w:color="auto" w:fill="D9D9D9" w:themeFill="background1" w:themeFillShade="D9"/>
            <w:hideMark/>
          </w:tcPr>
          <w:p w14:paraId="6F8ABB83"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507209BD" w14:textId="77777777" w:rsidR="00623AF8" w:rsidRDefault="00623AF8" w:rsidP="00623AF8">
      <w:pPr>
        <w:spacing w:after="100" w:afterAutospacing="1"/>
        <w:jc w:val="both"/>
        <w:rPr>
          <w:rFonts w:ascii="Aptos" w:hAnsi="Aptos"/>
          <w:sz w:val="22"/>
          <w:szCs w:val="22"/>
        </w:rPr>
      </w:pPr>
      <w:r>
        <w:rPr>
          <w:rFonts w:ascii="Aptos" w:hAnsi="Aptos"/>
          <w:sz w:val="22"/>
          <w:szCs w:val="22"/>
        </w:rPr>
        <w:t>Die Optimierung, Strukturierung und Effizienzsteigerung der Genehmigungsverfahren für Anlagen zur Erzeugung erneuerbarer Energie sind von entscheidender Bedeutung für den schnellen und erfolgreichen Übergang zu einer nachhaltigen Energieversorgung. Der Ausbau erneuerbarer Energien ist ein zentraler Pfeiler der Klimapolitik und notwendig, um die Treibhausgasemissionen drastisch zu reduzieren und die Klimaziele zu erreichen. Allerdings sind langwierige und komplexe Genehmigungsverfahren häufig ein großes Hindernis.</w:t>
      </w:r>
    </w:p>
    <w:p w14:paraId="41EC8535"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 xml:space="preserve">Effizientere Genehmigungsverfahren können die Investitionszeiten erheblich verkürzen und damit die Kosten für den Ausbau erneuerbarer Energien senken. Dies ist besonders wichtig, da die zeitliche und wirtschaftliche Effizienz direkte Auswirkungen auf die Attraktivität und Machbarkeit von Projekten hat. Investoren und Projektentwickler benötigen Planungssicherheit und schnelle Entscheidungen, um Projekte erfolgreich umzusetzen. Darüber hinaus trägt die Verbesserung der Genehmigungsverfahren zur Erhöhung der gesellschaftlichen Akzeptanz bei. Klare, transparente und zügige Verfahren können das Vertrauen der Öffentlichkeit stärken und Widerstände gegen Projekte verringern. </w:t>
      </w:r>
    </w:p>
    <w:p w14:paraId="29BF0B29"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Die spezifischen Anforderungen an die Genehmigungsverfahren für erneuerbare Gase, wie Biomethan und grüner Wasserstoff, sind ein weiteres wichtiges Thema. Diese Technologien spielen eine entscheidende Rolle in der Dekarbonisierung von Industrie und Verkehr. Daher ist es notwendig, die Genehmigungsverfahren auch in diesem Bereich zu optimieren. Durch standardisierte und effiziente Prozesse können die Entwicklungszeiten verkürzt und die Einführung dieser wichtigen Technologien beschleunigt werden.</w:t>
      </w:r>
      <w:r>
        <w:rPr>
          <w:rFonts w:ascii="Aptos" w:hAnsi="Aptos"/>
          <w:sz w:val="22"/>
          <w:szCs w:val="22"/>
        </w:rPr>
        <w:br w:type="page"/>
      </w:r>
    </w:p>
    <w:p w14:paraId="211BF39F" w14:textId="77777777" w:rsidR="00623AF8" w:rsidRDefault="00623AF8" w:rsidP="00623AF8">
      <w:pPr>
        <w:pStyle w:val="berschrift1"/>
        <w:rPr>
          <w:rFonts w:ascii="Aptos" w:hAnsi="Aptos"/>
        </w:rPr>
      </w:pPr>
    </w:p>
    <w:p w14:paraId="485DD86D" w14:textId="77777777" w:rsidR="00623AF8" w:rsidRDefault="00623AF8" w:rsidP="00623AF8"/>
    <w:p w14:paraId="5344BA3E" w14:textId="77777777" w:rsidR="00623AF8" w:rsidRDefault="00623AF8" w:rsidP="00623AF8">
      <w:pPr>
        <w:pStyle w:val="berschrift1"/>
        <w:rPr>
          <w:rFonts w:ascii="Aptos" w:hAnsi="Aptos"/>
        </w:rPr>
      </w:pPr>
      <w:bookmarkStart w:id="100" w:name="_Toc165540426"/>
      <w:bookmarkStart w:id="101" w:name="_Toc170294895"/>
      <w:bookmarkStart w:id="102" w:name="_Toc170983673"/>
      <w:r>
        <w:rPr>
          <w:rFonts w:ascii="Aptos" w:hAnsi="Aptos"/>
        </w:rPr>
        <w:t>Datenhoheit zur Umsetzung von Smart Grids</w:t>
      </w:r>
      <w:bookmarkEnd w:id="100"/>
      <w:bookmarkEnd w:id="101"/>
      <w:bookmarkEnd w:id="102"/>
    </w:p>
    <w:p w14:paraId="0EA9C4E7"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1676A3AF"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1F3865F"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1944D136"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0723AC0" w14:textId="77777777" w:rsidR="00623AF8" w:rsidRDefault="00623AF8" w:rsidP="00875DD0">
            <w:pPr>
              <w:spacing w:before="120" w:after="120"/>
              <w:jc w:val="both"/>
              <w:rPr>
                <w:rFonts w:ascii="Aptos" w:hAnsi="Aptos"/>
                <w:sz w:val="22"/>
                <w:szCs w:val="22"/>
              </w:rPr>
            </w:pPr>
            <w:r>
              <w:rPr>
                <w:rFonts w:ascii="Aptos" w:hAnsi="Aptos"/>
                <w:sz w:val="22"/>
                <w:szCs w:val="22"/>
              </w:rPr>
              <w:t>Aktuell sind Verteilnetzbetreiber aufgrund strenger Cybersicherheitsvorschriften daran gehindert, die im Smart Grid und durch Smart Meter erhobenen Daten zur Steuerung der Verteilnetze zu verwenden. Dies steht im Widerspruch zu dem Ziel, eine hohe Widerstandsfähigkeit des Systems sicherzustellen. Um dies zu erreichen, ist es wichtig, den Netzbetreibern die Möglichkeit zu geben, die gesammelten Daten zu nutzen, insbesondere im Hinblick auf Flexibilitätsdienste und die effiziente Steuerung der Verteilnetze.</w:t>
            </w:r>
            <w:r>
              <w:rPr>
                <w:rFonts w:ascii="Aptos" w:hAnsi="Aptos"/>
                <w:b/>
                <w:bCs/>
                <w:sz w:val="22"/>
                <w:szCs w:val="22"/>
              </w:rPr>
              <w:t xml:space="preserve"> Wie wollen Sie sicherstellen, dass die Kontrolle über diese Daten bei den Verteilnetzbetreibern liegt, um ein effektives Smart Grid umzusetzen?</w:t>
            </w:r>
          </w:p>
        </w:tc>
      </w:tr>
      <w:tr w:rsidR="00623AF8" w14:paraId="1E9C054B"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01AC8F5"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7860201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283E11E"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Welche Maßnahmen werden ergriffen, um Steuerungsmöglichkeiten zu schaffen?</w:t>
            </w:r>
          </w:p>
        </w:tc>
      </w:tr>
    </w:tbl>
    <w:p w14:paraId="1ABB737D"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4EF38C46" w14:textId="77777777" w:rsidTr="00875DD0">
        <w:tc>
          <w:tcPr>
            <w:tcW w:w="9060" w:type="dxa"/>
            <w:shd w:val="clear" w:color="auto" w:fill="D9D9D9" w:themeFill="background1" w:themeFillShade="D9"/>
            <w:hideMark/>
          </w:tcPr>
          <w:p w14:paraId="244A3C2F"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705931EB" w14:textId="77777777" w:rsidR="00623AF8" w:rsidRDefault="00623AF8" w:rsidP="00623AF8">
      <w:pPr>
        <w:spacing w:after="120"/>
        <w:jc w:val="both"/>
        <w:rPr>
          <w:rFonts w:ascii="Aptos" w:hAnsi="Aptos"/>
          <w:sz w:val="22"/>
          <w:szCs w:val="22"/>
        </w:rPr>
      </w:pPr>
      <w:r>
        <w:rPr>
          <w:rFonts w:ascii="Aptos" w:hAnsi="Aptos"/>
          <w:sz w:val="22"/>
          <w:szCs w:val="22"/>
        </w:rPr>
        <w:t xml:space="preserve">Smart Grids ermöglichen es, auf Basis der Kommunikationstechnologien, ein energie- und kosteneffizientes Gleichgewicht zwischen einer Vielzahl von Stromverbrauchern, Stromerzeugern und Stromspeichern herzustellen. Ein durchgängiger Austausch zwischen Erzeugern und Verbrauchen ist notwendig, um nachhaltige und wirtschaftliche Elektrizitätsversorgung bei zunehmend volatiler Erzeugung zu garantieren. Smart Grids und Smart Metern in die Stromverteilnetze zu intergieren, hat das Potenzial, die Effizienz und Resilienz des Energiesystems erheblich zu verbessern. Sie ermöglichen eine dynamische und flexible Steuerung des Stromnetzes, indem sie Echtzeitdaten über den Energieverbrauch und die Netzbelastung liefern. </w:t>
      </w:r>
    </w:p>
    <w:p w14:paraId="28DCF211" w14:textId="77777777" w:rsidR="00623AF8" w:rsidRDefault="00623AF8" w:rsidP="00623AF8">
      <w:pPr>
        <w:spacing w:after="120"/>
        <w:jc w:val="both"/>
        <w:rPr>
          <w:rFonts w:ascii="Aptos" w:hAnsi="Aptos"/>
          <w:sz w:val="22"/>
          <w:szCs w:val="22"/>
        </w:rPr>
      </w:pPr>
      <w:r>
        <w:rPr>
          <w:rFonts w:ascii="Aptos" w:hAnsi="Aptos"/>
          <w:sz w:val="22"/>
          <w:szCs w:val="22"/>
        </w:rPr>
        <w:t xml:space="preserve">Diese Daten helfen bei der Prognose und Steuerung von Stromnachfrage und -angebot und ermöglichen es den Kund*innen, ihren Verbrauch an die Netzbedingungen anzupassen. Die Verfügbarkeit, Erfassung und Nutzung dieser Daten durch den Verteilnetzbetreiber (VNB) ist in jeder Hinsicht elementar für den Netzbetrieb sowie dessen Planung und auch im Hinblick auf digitale Kundenprozesse sowie „Flexibility Services“, um sowohl für Verbraucher als auch für Energieversorger Möglichkeiten zu schaffen und eine effiziente und nachhaltige Energienutzung zu fördern. </w:t>
      </w:r>
    </w:p>
    <w:p w14:paraId="3F3F4D05" w14:textId="77777777" w:rsidR="00623AF8" w:rsidRDefault="00623AF8" w:rsidP="00623AF8">
      <w:pPr>
        <w:spacing w:after="120"/>
        <w:jc w:val="both"/>
        <w:rPr>
          <w:rFonts w:ascii="Aptos" w:hAnsi="Aptos"/>
          <w:sz w:val="22"/>
          <w:szCs w:val="22"/>
        </w:rPr>
      </w:pPr>
      <w:r>
        <w:rPr>
          <w:rFonts w:ascii="Aptos" w:hAnsi="Aptos"/>
          <w:sz w:val="22"/>
          <w:szCs w:val="22"/>
        </w:rPr>
        <w:t>Allerdings sind Verteilnetzbetreiber herausgefordert, da strenge Cybersicherheitsvorschriften ihre Fähigkeit einschränken, wertvolle Daten zur Steuerung der Netze zu nutzen. Diese Vorschriften sollen die Infrastruktur vor Cyberangriffen schützen, führen jedoch dazu, dass die Nutzung der gesammelten Daten für die Netzsteuerung und -optimierung eingeschränkt wird. Vor dem Hintergrund dieser Ziele ist es von größter Bedeutung, dass bei allen neuen energie- und digitalpolitischen Initiativen auf EU-Ebene mitgedacht wird, dass die Datenhoheit und -kontrollierbarkeit beim VNB liegen muss, um die Cybersicherheit im Netz zu gewährleisten.</w:t>
      </w:r>
    </w:p>
    <w:p w14:paraId="7A7A804B" w14:textId="77777777" w:rsidR="00623AF8" w:rsidRDefault="00623AF8" w:rsidP="00623AF8">
      <w:pPr>
        <w:pStyle w:val="StandardWeb"/>
        <w:rPr>
          <w:rFonts w:ascii="Aptos" w:hAnsi="Aptos"/>
          <w:sz w:val="22"/>
          <w:szCs w:val="22"/>
        </w:rPr>
      </w:pPr>
      <w:r>
        <w:rPr>
          <w:rFonts w:ascii="Aptos" w:hAnsi="Aptos"/>
          <w:b/>
          <w:sz w:val="22"/>
          <w:szCs w:val="22"/>
        </w:rPr>
        <w:br w:type="page"/>
      </w:r>
    </w:p>
    <w:p w14:paraId="4898C863" w14:textId="77777777" w:rsidR="00623AF8" w:rsidRDefault="00623AF8" w:rsidP="00623AF8">
      <w:pPr>
        <w:spacing w:after="120"/>
        <w:jc w:val="both"/>
        <w:rPr>
          <w:rFonts w:ascii="Aptos" w:hAnsi="Aptos"/>
        </w:rPr>
      </w:pPr>
    </w:p>
    <w:p w14:paraId="284C63A5" w14:textId="77777777" w:rsidR="00623AF8" w:rsidRDefault="00623AF8" w:rsidP="00623AF8">
      <w:pPr>
        <w:pStyle w:val="berschrift1"/>
        <w:rPr>
          <w:rFonts w:ascii="Aptos" w:hAnsi="Aptos"/>
        </w:rPr>
      </w:pPr>
    </w:p>
    <w:p w14:paraId="15977714" w14:textId="77777777" w:rsidR="00623AF8" w:rsidRDefault="00623AF8" w:rsidP="00623AF8">
      <w:pPr>
        <w:pStyle w:val="berschrift1"/>
        <w:rPr>
          <w:rFonts w:ascii="Aptos" w:hAnsi="Aptos"/>
        </w:rPr>
      </w:pPr>
      <w:bookmarkStart w:id="103" w:name="_Toc165540427"/>
      <w:bookmarkStart w:id="104" w:name="_Toc170294896"/>
      <w:bookmarkStart w:id="105" w:name="_Toc170983674"/>
      <w:r>
        <w:rPr>
          <w:rFonts w:ascii="Aptos" w:hAnsi="Aptos"/>
        </w:rPr>
        <w:t>Finanzierung von Smart Grids durch VNB</w:t>
      </w:r>
      <w:bookmarkEnd w:id="103"/>
      <w:bookmarkEnd w:id="104"/>
      <w:bookmarkEnd w:id="105"/>
    </w:p>
    <w:p w14:paraId="6EBFEE57"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600CC5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42762A9"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3C00678D"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7AB91AC" w14:textId="77777777" w:rsidR="00623AF8" w:rsidRDefault="00623AF8" w:rsidP="00875DD0">
            <w:pPr>
              <w:spacing w:before="120" w:after="120"/>
              <w:jc w:val="both"/>
              <w:rPr>
                <w:rFonts w:ascii="Aptos" w:hAnsi="Aptos"/>
                <w:sz w:val="22"/>
                <w:szCs w:val="22"/>
              </w:rPr>
            </w:pPr>
            <w:r>
              <w:rPr>
                <w:rFonts w:ascii="Aptos" w:hAnsi="Aptos"/>
                <w:sz w:val="22"/>
                <w:szCs w:val="22"/>
              </w:rPr>
              <w:t xml:space="preserve">Smart Grids sind entscheidend für die Modernisierung der Energieinfrastruktur, da sie eine effizientere Nutzung von Energie ermöglichen und erneuerbare Energiequellen integrieren. Die Finanzierung dieser Smart Grids ist wichtig, und Verteilnetzbetreiber spielen eine Schlüsselrolle bei ihrer Implementierung und Wartung auf lokaler Ebene. Daher müssen Finanzierungsmaßnahmen auch die finanzielle Belastung der Verteilnetzbetreiber berücksichtigen, um den Übergang zu einem nachhaltigeren Energiesystem zu unterstützen. Eine erfolgreiche Finanzierung durch Verteilnetzbetreiber könnte die Marktdurchdringung beschleunigen und die Dekarbonisierung vorantreiben. </w:t>
            </w:r>
            <w:r>
              <w:rPr>
                <w:rFonts w:ascii="Aptos" w:hAnsi="Aptos"/>
                <w:b/>
                <w:bCs/>
                <w:sz w:val="22"/>
                <w:szCs w:val="22"/>
              </w:rPr>
              <w:t>Beabsichtigen Sie, Maßnahmen zu ergreifen, um die Finanzierung von Smart Grids durch Verteilnetzbetreiber zu unterstützen, wobei der Schwerpunkt auf den Finanzierungsbedürfnissen der Verteilnetzbetreiber liegt und nicht nur auf denen der Übertragungsnetzbetreiber?</w:t>
            </w:r>
          </w:p>
        </w:tc>
      </w:tr>
      <w:tr w:rsidR="00623AF8" w14:paraId="3F594FC6"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6914D8F"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6779277A"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0563D43"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2DEC61FE"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786264AB" w14:textId="77777777" w:rsidTr="00875DD0">
        <w:tc>
          <w:tcPr>
            <w:tcW w:w="9060" w:type="dxa"/>
            <w:shd w:val="clear" w:color="auto" w:fill="D9D9D9" w:themeFill="background1" w:themeFillShade="D9"/>
            <w:hideMark/>
          </w:tcPr>
          <w:p w14:paraId="60780B9D"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71BCDDC4" w14:textId="77777777" w:rsidR="00623AF8" w:rsidRDefault="00623AF8" w:rsidP="00623AF8">
      <w:pPr>
        <w:pStyle w:val="StandardWeb"/>
        <w:spacing w:before="0" w:beforeAutospacing="0"/>
        <w:jc w:val="both"/>
        <w:rPr>
          <w:rFonts w:ascii="Aptos" w:hAnsi="Aptos"/>
          <w:sz w:val="22"/>
          <w:szCs w:val="22"/>
        </w:rPr>
      </w:pPr>
      <w:r>
        <w:rPr>
          <w:rFonts w:ascii="Aptos" w:hAnsi="Aptos"/>
          <w:sz w:val="22"/>
          <w:szCs w:val="22"/>
        </w:rPr>
        <w:t>Smart Grids sind entscheidend für die Modernisierung der Energieinfrastruktur, da sie eine effizientere Nutzung von Energien ermöglichen und die Integration erneuerbarer Energiequellen unterstützen. Sie erlauben eine Echtzeitüberwachung und -steuerung des Energieflusses, was zu einer stabileren und effizienteren Stromversorgung führt. Die Einführung von Smart Grids ist jedoch mit erheblichen Investitionskosten verbunden, vor allem für Verteilnetzbetreiber (VNB), welche für die Implementierung und Wartung auf verantwortlich sind. Diskussionen und politischen Maßnahmen rund um Smart Grids werden auch oft von Übertragungsnetzbetreibern (ÜNB) dominiert werden. Es muss darauf geachtet werden, dass VNB, die eine wesentliche Rolle in der Transformation des Energiesystems spielen, genug Beachtung durch direkte Inklusion geschenkt wird.</w:t>
      </w:r>
    </w:p>
    <w:p w14:paraId="7594ACE6" w14:textId="77777777" w:rsidR="00623AF8" w:rsidRDefault="00623AF8" w:rsidP="00623AF8">
      <w:pPr>
        <w:pStyle w:val="StandardWeb"/>
        <w:jc w:val="both"/>
        <w:rPr>
          <w:rFonts w:ascii="Aptos" w:hAnsi="Aptos"/>
          <w:sz w:val="22"/>
          <w:szCs w:val="22"/>
        </w:rPr>
      </w:pPr>
      <w:r>
        <w:rPr>
          <w:rFonts w:ascii="Aptos" w:hAnsi="Aptos"/>
          <w:sz w:val="22"/>
          <w:szCs w:val="22"/>
        </w:rPr>
        <w:t>Die Finanzierung dieser Smart Grids ist von wichtiger Bedeutung. Um den Übergang zu einem nachhaltigeren Energiesystem zu unterstützen, müssen Finanzierungsmaßnahmen auch die spezifischen finanziellen Bedürfnisse der VNB berücksichtigen. Eine erfolgreiche Finanzierung würde die Marktdurchdringung beschleunigen und die Dekarbonisierung vorantreiben. Durch gezielte finanzielle Unterstützung und Anreize können VNB in die Lage versetzt werden, in die notwendige Infrastruktur kosteneffizient zu investieren.</w:t>
      </w:r>
    </w:p>
    <w:p w14:paraId="63B9E7C4" w14:textId="77777777" w:rsidR="00623AF8" w:rsidRDefault="00623AF8" w:rsidP="00623AF8">
      <w:pPr>
        <w:rPr>
          <w:rFonts w:ascii="Aptos" w:hAnsi="Aptos"/>
          <w:bCs/>
          <w:sz w:val="22"/>
          <w:szCs w:val="22"/>
        </w:rPr>
      </w:pPr>
      <w:r>
        <w:rPr>
          <w:rFonts w:ascii="Aptos" w:hAnsi="Aptos"/>
          <w:bCs/>
          <w:sz w:val="22"/>
          <w:szCs w:val="22"/>
        </w:rPr>
        <w:br w:type="page"/>
      </w:r>
    </w:p>
    <w:p w14:paraId="6DFD3FEA" w14:textId="77777777" w:rsidR="00623AF8" w:rsidRDefault="00623AF8" w:rsidP="00623AF8">
      <w:pPr>
        <w:spacing w:after="120"/>
        <w:jc w:val="both"/>
        <w:rPr>
          <w:rFonts w:ascii="Aptos" w:hAnsi="Aptos"/>
        </w:rPr>
      </w:pPr>
    </w:p>
    <w:p w14:paraId="2789DB8F" w14:textId="77777777" w:rsidR="00623AF8" w:rsidRDefault="00623AF8" w:rsidP="00623AF8">
      <w:pPr>
        <w:pStyle w:val="berschrift1"/>
        <w:rPr>
          <w:rFonts w:ascii="Aptos" w:hAnsi="Aptos"/>
        </w:rPr>
      </w:pPr>
    </w:p>
    <w:p w14:paraId="6EB8D7FC" w14:textId="77777777" w:rsidR="00623AF8" w:rsidRDefault="00623AF8" w:rsidP="00623AF8">
      <w:pPr>
        <w:pStyle w:val="berschrift1"/>
        <w:rPr>
          <w:rFonts w:ascii="Aptos" w:hAnsi="Aptos"/>
        </w:rPr>
      </w:pPr>
      <w:bookmarkStart w:id="106" w:name="_Toc165540428"/>
      <w:bookmarkStart w:id="107" w:name="_Toc170294897"/>
      <w:bookmarkStart w:id="108" w:name="_Toc170983675"/>
      <w:r>
        <w:rPr>
          <w:rFonts w:ascii="Aptos" w:hAnsi="Aptos"/>
        </w:rPr>
        <w:t>Investitionen in die Digitalisierung zur Datennutzung und Steuerung durch VNB</w:t>
      </w:r>
      <w:bookmarkEnd w:id="106"/>
      <w:bookmarkEnd w:id="107"/>
      <w:bookmarkEnd w:id="108"/>
    </w:p>
    <w:p w14:paraId="4442D2FC"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1CE00089"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A4F1E0" w14:textId="77777777" w:rsidR="00623AF8" w:rsidRDefault="00623AF8" w:rsidP="00875DD0">
            <w:pPr>
              <w:spacing w:before="120" w:after="120"/>
              <w:jc w:val="both"/>
              <w:rPr>
                <w:rFonts w:ascii="Aptos" w:hAnsi="Aptos"/>
                <w:b/>
                <w:iCs/>
                <w:sz w:val="22"/>
                <w:szCs w:val="22"/>
              </w:rPr>
            </w:pPr>
            <w:r>
              <w:rPr>
                <w:rFonts w:ascii="Aptos" w:hAnsi="Aptos"/>
                <w:b/>
                <w:iCs/>
                <w:sz w:val="22"/>
                <w:szCs w:val="22"/>
              </w:rPr>
              <w:t xml:space="preserve">Frage </w:t>
            </w:r>
          </w:p>
        </w:tc>
      </w:tr>
      <w:tr w:rsidR="00623AF8" w14:paraId="707FF4E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881394C"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Digitalisierung, insbesondere durch die Implementierung von Smart Grids, bietet neben dem Ausbau und der Stärkung der Stromnetze zusätzliche Möglichkeiten. Diese Potenziale könnten dazu beitragen, die Sicherheit der Energieversorgung in einem zukünftigen dezentralen Energiesystem zu gewährleisten. </w:t>
            </w:r>
            <w:r>
              <w:rPr>
                <w:rFonts w:ascii="Aptos" w:hAnsi="Aptos"/>
                <w:b/>
                <w:bCs/>
                <w:sz w:val="22"/>
                <w:szCs w:val="22"/>
              </w:rPr>
              <w:t>Welche Maßnahmen werden von Ihnen angedacht, um im Verteilnetz die notwendigen Investitionen in Bezug auf Digitalisierung und die Datennutzung zur Steuerung durch den Verteilnetzbetreiber zu gewährleisten, um sicherzustellen, dass künftig eine hohe Versorgungssicherheit in Europa gewährleistet werden kann?</w:t>
            </w:r>
          </w:p>
        </w:tc>
      </w:tr>
      <w:tr w:rsidR="00623AF8" w14:paraId="7A2976A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7E3D32E"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0C3A909A"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3B9067C"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3DCA1759"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341942C8" w14:textId="77777777" w:rsidTr="00875DD0">
        <w:tc>
          <w:tcPr>
            <w:tcW w:w="9060" w:type="dxa"/>
            <w:shd w:val="clear" w:color="auto" w:fill="D9D9D9" w:themeFill="background1" w:themeFillShade="D9"/>
            <w:hideMark/>
          </w:tcPr>
          <w:p w14:paraId="0CEE7C0A"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4823C082" w14:textId="77777777" w:rsidR="00623AF8" w:rsidRDefault="00623AF8" w:rsidP="00623AF8">
      <w:pPr>
        <w:pStyle w:val="StandardWeb"/>
        <w:spacing w:before="0" w:beforeAutospacing="0"/>
        <w:jc w:val="both"/>
        <w:rPr>
          <w:rFonts w:ascii="Aptos" w:hAnsi="Aptos"/>
          <w:sz w:val="22"/>
          <w:szCs w:val="22"/>
        </w:rPr>
      </w:pPr>
      <w:r>
        <w:rPr>
          <w:rFonts w:ascii="Aptos" w:hAnsi="Aptos"/>
          <w:sz w:val="22"/>
          <w:szCs w:val="22"/>
        </w:rPr>
        <w:t xml:space="preserve">Smart Grids ermöglichen eine präzisere Abstimmung von Stromverbrauch und -produktion, wodurch die Effizienz und Leistung sowohl bestehender als auch neuer Netze maximiert werden kann. Durch den Einsatz von Smart Metering und Echtzeit-Datenanalyse können Netzbetreiber eine detaillierte Überwachung und Steuerung des Stromflusses durchführen, was zu einer besseren Verwaltung von Lastspitzen und einer effizienteren Integration erneuerbarer Energien führt. </w:t>
      </w:r>
    </w:p>
    <w:p w14:paraId="1E9D0A81" w14:textId="77777777" w:rsidR="00623AF8" w:rsidRDefault="00623AF8" w:rsidP="00623AF8">
      <w:pPr>
        <w:pStyle w:val="StandardWeb"/>
        <w:jc w:val="both"/>
        <w:rPr>
          <w:rFonts w:ascii="Aptos" w:hAnsi="Aptos"/>
          <w:sz w:val="22"/>
          <w:szCs w:val="22"/>
        </w:rPr>
      </w:pPr>
      <w:r>
        <w:rPr>
          <w:rFonts w:ascii="Aptos" w:hAnsi="Aptos"/>
          <w:sz w:val="22"/>
          <w:szCs w:val="22"/>
        </w:rPr>
        <w:t>Um die notwendigen Investitionen in die Digitalisierung und Datennutzung im Verteilnetz sicherzustellen, müssen verschiedene Maßnahmen ergriffen werden. Finanzielle Unterstützung sollten vorhanden sein und Anreize speziell für Verteilnetzbetreiber (VNB) priorisiert werden, um ihre Rolle bei der Implementierung und Wartung von Smart Grids zu stärken. Die Schaffung eines regulatorischen Rahmens ist erforderlich, da der der die Integration digitaler Technologien und Datenanalysen in die Netzbetriebspraxis erleichtert. Durch umfassende Maßnahmen können die VNB die Digitalisierung effektiv nutzen um eine hohe Versorgungssicherheit in Europa zu gewährleisten, indem sie aus bestehenden und neuen Netzen mehr Leistung herausholen und den Stromverbrauch sowie die Stromproduktion präziser abstimmen.</w:t>
      </w:r>
    </w:p>
    <w:p w14:paraId="09A8B116" w14:textId="77777777" w:rsidR="00623AF8" w:rsidRDefault="00623AF8" w:rsidP="00623AF8">
      <w:pPr>
        <w:jc w:val="both"/>
        <w:rPr>
          <w:rFonts w:ascii="Aptos" w:hAnsi="Aptos"/>
          <w:bCs/>
          <w:iCs/>
          <w:sz w:val="22"/>
          <w:szCs w:val="22"/>
        </w:rPr>
      </w:pPr>
      <w:r>
        <w:rPr>
          <w:rFonts w:ascii="Aptos" w:hAnsi="Aptos"/>
          <w:bCs/>
          <w:iCs/>
          <w:sz w:val="22"/>
          <w:szCs w:val="22"/>
        </w:rPr>
        <w:br w:type="page"/>
      </w:r>
    </w:p>
    <w:p w14:paraId="279E51A4" w14:textId="77777777" w:rsidR="00623AF8" w:rsidRDefault="00623AF8" w:rsidP="00623AF8">
      <w:pPr>
        <w:spacing w:after="120"/>
        <w:jc w:val="both"/>
        <w:rPr>
          <w:rFonts w:ascii="Aptos" w:hAnsi="Aptos"/>
          <w:bCs/>
          <w:iCs/>
          <w:sz w:val="22"/>
          <w:szCs w:val="22"/>
        </w:rPr>
      </w:pPr>
    </w:p>
    <w:p w14:paraId="7FAEC057" w14:textId="77777777" w:rsidR="00623AF8" w:rsidRDefault="00623AF8" w:rsidP="00623AF8">
      <w:pPr>
        <w:pStyle w:val="berschrift1"/>
        <w:rPr>
          <w:rFonts w:ascii="Aptos" w:hAnsi="Aptos"/>
        </w:rPr>
      </w:pPr>
    </w:p>
    <w:p w14:paraId="6E15B98C" w14:textId="77777777" w:rsidR="00623AF8" w:rsidRDefault="00623AF8" w:rsidP="00623AF8">
      <w:pPr>
        <w:pStyle w:val="berschrift1"/>
        <w:rPr>
          <w:rFonts w:ascii="Aptos" w:hAnsi="Aptos"/>
        </w:rPr>
      </w:pPr>
      <w:bookmarkStart w:id="109" w:name="_Toc165540429"/>
      <w:bookmarkStart w:id="110" w:name="_Toc170294898"/>
      <w:bookmarkStart w:id="111" w:name="_Toc170983676"/>
      <w:r>
        <w:rPr>
          <w:rFonts w:ascii="Aptos" w:hAnsi="Aptos"/>
        </w:rPr>
        <w:t>Transparenz vs. Schutz kritischer Infrastruktur – allgemeine Ausrichtung</w:t>
      </w:r>
      <w:bookmarkEnd w:id="109"/>
      <w:bookmarkEnd w:id="110"/>
      <w:bookmarkEnd w:id="111"/>
    </w:p>
    <w:p w14:paraId="527C1815"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1CC09C4C"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B4D0F1"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3352D5A0"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438D512"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EU-Kommission hat in den letzten Jahren durch verschiedene Initiativen die Open Data Politik sowie das Streben nach umfassender Transparenz in der kommunalen Verwaltung sowie bei Dienstleistungen von öffentlichem Interesse sehr stark vorangetrieben. Gleichzeitig werden Vorgaben für kritische Infrastrukturen zum Schutz vor Cyberattacken oder physischen Angriffen auf Anlagen(teile) immer weiter ausgebaut und geschärft. Kritische Infrastrukturen sind vielfach öffentliche Unternehmen, die Dienstleistungen von öffentlichem Interesse wie bspw. Energieversorgung bzw. -verteilung, Wasserversorgung oder Abfallentsorgung erbringen, und in diesem Sinn ebenso den Vorgaben zur Open Data bzw. Transparenz unterliegen. </w:t>
            </w:r>
            <w:r>
              <w:rPr>
                <w:rFonts w:ascii="Aptos" w:hAnsi="Aptos"/>
                <w:b/>
                <w:bCs/>
                <w:sz w:val="22"/>
                <w:szCs w:val="22"/>
              </w:rPr>
              <w:t>Inwieweit sehen Sie einen Konflikt zwischen den Vorgaben zu Open Data bzw. Transparenz und dem Schutz kritischer Infrastruktur vor (Cyber-)Angriffen von außen?</w:t>
            </w:r>
          </w:p>
        </w:tc>
      </w:tr>
      <w:tr w:rsidR="00623AF8" w14:paraId="4E5F6BB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BDA3CE9"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23FF71EB" w14:textId="77777777" w:rsidTr="00875DD0">
        <w:trPr>
          <w:trHeight w:val="60"/>
        </w:trPr>
        <w:tc>
          <w:tcPr>
            <w:tcW w:w="9060" w:type="dxa"/>
            <w:tcBorders>
              <w:top w:val="single" w:sz="4" w:space="0" w:color="auto"/>
              <w:left w:val="single" w:sz="4" w:space="0" w:color="auto"/>
              <w:bottom w:val="single" w:sz="4" w:space="0" w:color="auto"/>
              <w:right w:val="single" w:sz="4" w:space="0" w:color="auto"/>
            </w:tcBorders>
            <w:hideMark/>
          </w:tcPr>
          <w:p w14:paraId="3DB35638"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Hat die Umsetzung der Open-Data-Politik der EU-Kommission zu den ursprünglich angestrebten Zielen geführt?</w:t>
            </w:r>
          </w:p>
        </w:tc>
      </w:tr>
    </w:tbl>
    <w:p w14:paraId="19C21A77"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E1574BD" w14:textId="77777777" w:rsidTr="00875DD0">
        <w:tc>
          <w:tcPr>
            <w:tcW w:w="9060" w:type="dxa"/>
            <w:shd w:val="clear" w:color="auto" w:fill="D9D9D9" w:themeFill="background1" w:themeFillShade="D9"/>
            <w:hideMark/>
          </w:tcPr>
          <w:p w14:paraId="467E15C1"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482C5884" w14:textId="77777777" w:rsidR="00623AF8" w:rsidRDefault="00623AF8" w:rsidP="00623AF8">
      <w:pPr>
        <w:spacing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 xml:space="preserve">Open-Data-Politik Maßnahmen der EU-Kommission verbessern die Zugänglichkeit und Nutzung von Daten, um die Effizienz und Innovationsfähigkeit öffentlicher Dienste zu erhöhen. Gleichzeitig werden die Vorgaben für den Schutz kritischer Infrastrukturen, wie Energieversorgung, Wasserversorgung und Abfallentsorgung, kontinuierlich verschärft, um diese vor Cyberattacken und physischen Angriffen zu schützen. Diese Anforderungen stellen öffentliche Unternehmen vor die Herausforderung, sowohl Transparenz zu gewährleisten als auch die Sicherheit ihrer Infrastrukturen sicherzustellen. Alle kritischen Infrastrukturen, die essenzielle Dienstleistungen erbringen, müssen sorgfältig abwägen, welche Daten veröffentlicht werden können. </w:t>
      </w:r>
    </w:p>
    <w:p w14:paraId="684CA27B" w14:textId="77777777" w:rsidR="00623AF8" w:rsidRDefault="00623AF8" w:rsidP="00623AF8">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Die Public Sector Information(PSI) Richtlinie</w:t>
      </w:r>
      <w:r>
        <w:rPr>
          <w:rFonts w:ascii="Aptos" w:eastAsia="Times New Roman" w:hAnsi="Aptos" w:cs="Times New Roman"/>
          <w:sz w:val="22"/>
          <w:szCs w:val="22"/>
          <w:vertAlign w:val="subscript"/>
          <w:lang w:eastAsia="de-AT"/>
        </w:rPr>
        <w:t xml:space="preserve"> </w:t>
      </w:r>
      <w:r>
        <w:rPr>
          <w:rFonts w:ascii="Aptos" w:eastAsia="Times New Roman" w:hAnsi="Aptos" w:cs="Times New Roman"/>
          <w:sz w:val="28"/>
          <w:szCs w:val="28"/>
          <w:vertAlign w:val="subscript"/>
          <w:lang w:eastAsia="de-AT"/>
        </w:rPr>
        <w:t>(1)</w:t>
      </w:r>
      <w:r>
        <w:rPr>
          <w:rFonts w:ascii="Aptos" w:eastAsia="Times New Roman" w:hAnsi="Aptos" w:cs="Times New Roman"/>
          <w:sz w:val="28"/>
          <w:szCs w:val="28"/>
          <w:lang w:eastAsia="de-AT"/>
        </w:rPr>
        <w:t xml:space="preserve"> </w:t>
      </w:r>
      <w:r>
        <w:rPr>
          <w:rFonts w:ascii="Aptos" w:eastAsia="Times New Roman" w:hAnsi="Aptos" w:cs="Times New Roman"/>
          <w:sz w:val="22"/>
          <w:szCs w:val="22"/>
          <w:lang w:eastAsia="de-AT"/>
        </w:rPr>
        <w:t xml:space="preserve">ruft öffentliche Einrichtungen dazu auf, mehr Daten bereitzustellen. Moderne Verschlüsselungstechnologien helfen dabei, sensible Daten sicher zu verwalten. Die Open-Data-Politik der EU-Kommission hat die Zugänglichkeit und Nutzung öffentlicher Daten verbessert und konnten zahlreiche Innovationsprojekte und effizienzsteigernde Maßnahmen in der öffentlichen Verwaltung und bei Dienstleistungen initiieren. Diese haben zur Entwicklung neuer Geschäftsmodelle und zur Förderung von Transparenz beigetragen. Die Herausforderung sicherzustellen, dass diese Fortschritte nicht die Sicherheit kritischer Infrastrukturen gefährden besteht. </w:t>
      </w:r>
    </w:p>
    <w:p w14:paraId="5F02436A" w14:textId="77777777" w:rsidR="00623AF8" w:rsidRDefault="00623AF8" w:rsidP="00F63BE8">
      <w:pPr>
        <w:pStyle w:val="Listenabsatz"/>
        <w:numPr>
          <w:ilvl w:val="0"/>
          <w:numId w:val="6"/>
        </w:numPr>
        <w:spacing w:after="120"/>
        <w:jc w:val="both"/>
        <w:rPr>
          <w:rFonts w:ascii="Aptos" w:hAnsi="Aptos"/>
          <w:bCs/>
          <w:sz w:val="28"/>
          <w:szCs w:val="28"/>
          <w:vertAlign w:val="subscript"/>
        </w:rPr>
      </w:pPr>
      <w:r>
        <w:rPr>
          <w:rFonts w:ascii="Aptos" w:hAnsi="Aptos"/>
          <w:bCs/>
          <w:sz w:val="28"/>
          <w:szCs w:val="28"/>
          <w:vertAlign w:val="subscript"/>
        </w:rPr>
        <w:t xml:space="preserve">EU-Parlament und Rat: Amtsblatt der Europäischen Union 26.6.2019 </w:t>
      </w:r>
      <w:hyperlink r:id="rId29" w:history="1">
        <w:r>
          <w:rPr>
            <w:rStyle w:val="Hyperlink"/>
            <w:rFonts w:ascii="Aptos" w:hAnsi="Aptos"/>
            <w:bCs/>
            <w:sz w:val="28"/>
            <w:szCs w:val="28"/>
            <w:vertAlign w:val="subscript"/>
          </w:rPr>
          <w:t>https://eur-lex.europa.eu/legal-content/DE/TXT/PDF/?uri=CELEX:32019L1024</w:t>
        </w:r>
      </w:hyperlink>
    </w:p>
    <w:p w14:paraId="74E12793" w14:textId="77777777" w:rsidR="00623AF8" w:rsidRDefault="00623AF8" w:rsidP="00623AF8"/>
    <w:p w14:paraId="7CB82C15" w14:textId="77777777" w:rsidR="00623AF8" w:rsidRDefault="00623AF8" w:rsidP="00623AF8"/>
    <w:p w14:paraId="4080213B" w14:textId="77777777" w:rsidR="00623AF8" w:rsidRDefault="00623AF8" w:rsidP="00623AF8"/>
    <w:p w14:paraId="0E87BB2A" w14:textId="77777777" w:rsidR="00623AF8" w:rsidRDefault="00623AF8" w:rsidP="00623AF8">
      <w:pPr>
        <w:pStyle w:val="berschrift1"/>
        <w:rPr>
          <w:rFonts w:ascii="Aptos" w:hAnsi="Aptos"/>
        </w:rPr>
      </w:pPr>
      <w:bookmarkStart w:id="112" w:name="_Toc165540430"/>
      <w:bookmarkStart w:id="113" w:name="_Toc170294899"/>
    </w:p>
    <w:p w14:paraId="0823EEDC" w14:textId="77777777" w:rsidR="00623AF8" w:rsidRDefault="00623AF8" w:rsidP="00623AF8">
      <w:pPr>
        <w:pStyle w:val="berschrift1"/>
        <w:rPr>
          <w:rFonts w:ascii="Aptos" w:hAnsi="Aptos"/>
        </w:rPr>
      </w:pPr>
    </w:p>
    <w:p w14:paraId="658F3507" w14:textId="77777777" w:rsidR="00623AF8" w:rsidRDefault="00623AF8" w:rsidP="00623AF8">
      <w:pPr>
        <w:pStyle w:val="berschrift1"/>
        <w:rPr>
          <w:rFonts w:ascii="Aptos" w:hAnsi="Aptos"/>
        </w:rPr>
      </w:pPr>
      <w:bookmarkStart w:id="114" w:name="_Toc170983677"/>
      <w:r>
        <w:rPr>
          <w:rFonts w:ascii="Aptos" w:hAnsi="Aptos"/>
        </w:rPr>
        <w:t>Maßnahmen zur Verbesserung der transnationalen Cybersicherheit</w:t>
      </w:r>
      <w:bookmarkEnd w:id="112"/>
      <w:bookmarkEnd w:id="113"/>
      <w:bookmarkEnd w:id="114"/>
    </w:p>
    <w:p w14:paraId="41F235D8"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533CA7B7"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4087351"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316141EC"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8FB07A6"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EU und ihre Mitgliedsstaaten sehen sich zunehmenden Cyberangriffen ausgesetzt, die grenzüberschreitend stattfinden. Eine koordinierte EU-weite Antwort ist erforderlich, um die Sicherheit zu gewährleisten, da Cybersicherheit verschiedene Rechts- und Governance-Strukturen berücksichtigen muss. Angesichts der Vielfalt der rechtlichen und technischen Infrastrukturen in den EU-Ländern stellt die Koordinierung von Cybersicherheitsmaßnahmen eine komplexe Herausforderung dar. Da kritische Infrastrukturen grenzüberschreitend sind, erfordert die Bewältigung von Cybersicherheitsbedrohungen eine koordinierte Reaktion, die auch den Schutz persönlicher Daten und die Wahrung der Privatsphäre berücksichtigt. </w:t>
            </w:r>
            <w:r>
              <w:rPr>
                <w:rFonts w:ascii="Aptos" w:hAnsi="Aptos"/>
                <w:b/>
                <w:bCs/>
                <w:sz w:val="22"/>
                <w:szCs w:val="22"/>
              </w:rPr>
              <w:t>Welche Maßnahmen planen Sie, um die transnationale Cybersicherheit zu verbessern?</w:t>
            </w:r>
          </w:p>
        </w:tc>
      </w:tr>
      <w:tr w:rsidR="00623AF8" w14:paraId="35075EA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B2AD3AC"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25B137C8"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6C604C0"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Wie können die Interoperabilität und Zusammenarbeit in der EU – sowohl für die physische Sicherheit der Netze als auch der Cybersicherheit – gestärkt werden?</w:t>
            </w:r>
          </w:p>
        </w:tc>
      </w:tr>
    </w:tbl>
    <w:p w14:paraId="1AB5BB37"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38EDBB45" w14:textId="77777777" w:rsidTr="00875DD0">
        <w:tc>
          <w:tcPr>
            <w:tcW w:w="9060" w:type="dxa"/>
            <w:shd w:val="clear" w:color="auto" w:fill="D9D9D9" w:themeFill="background1" w:themeFillShade="D9"/>
            <w:hideMark/>
          </w:tcPr>
          <w:p w14:paraId="48DBF25D"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336059C" w14:textId="77777777" w:rsidR="00623AF8" w:rsidRDefault="00623AF8" w:rsidP="00623AF8">
      <w:pPr>
        <w:spacing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Um die transnationale Cybersicherheit zu verbessern, sind die Entwicklung gemeinsamer Cybersicherheitsstandards und Protokolle, die Harmonisierung der Rechtsvorschriften zur Cybersicherheit und die Einrichtung spezialisierter EU-Agenturen, wie die Agentur der Europäischen Union für Cybersicherheit, zur Koordinierung und Unterstützung der nationalen Entscheidungen wichtig. Wenn alle Mitgliedsstaaten in Kooperation schnell und effektiv auf Cyberbedrohungen reagieren und dabei die Standards für den Schutz persönlicher Daten und die Privatsphäre einzuhalten, kann langfristig die Sicherheit garantiert werden.</w:t>
      </w:r>
      <w:r>
        <w:rPr>
          <w:rFonts w:ascii="Aptos" w:hAnsi="Aptos"/>
          <w:sz w:val="22"/>
          <w:szCs w:val="22"/>
        </w:rPr>
        <w:t xml:space="preserve"> </w:t>
      </w:r>
      <w:r>
        <w:rPr>
          <w:rFonts w:ascii="Aptos" w:eastAsia="Times New Roman" w:hAnsi="Aptos" w:cs="Times New Roman"/>
          <w:sz w:val="22"/>
          <w:szCs w:val="22"/>
          <w:lang w:eastAsia="de-AT"/>
        </w:rPr>
        <w:t xml:space="preserve">Die Stärkung der regionalen Zusammenarbeit erfordert Strategien, die sowohl die physische Sicherheit der Netze als auch die Cybersicherheit berücksichtigt. </w:t>
      </w:r>
    </w:p>
    <w:p w14:paraId="1A81E659" w14:textId="77777777" w:rsidR="00623AF8" w:rsidRDefault="00623AF8" w:rsidP="00623AF8">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Die Einrichtung gemeinsamer technischer Standards und Protokolle, die sicherstellen, dass alle Mitgliedsstaaten kompatible und sichere Infrastrukturen betreiben, bieten sich als gute Maßnahmen an. Optimal wäre es, eine gute Balance zwischen dem digitalen Schutz von Netzwerken und der physischen Sicherheit der Infrastrukturen zu finden. Diese Maßnahmen zusammen können dazu beitragen, die physische und cybersicherheitstechnische Widerstandsfähigkeit der EU zu erhöhen und den Schutz der kritischen Infrastrukturen zu gewährleisten</w:t>
      </w:r>
      <w:r>
        <w:rPr>
          <w:rFonts w:ascii="Aptos" w:hAnsi="Aptos"/>
          <w:bCs/>
          <w:sz w:val="22"/>
          <w:szCs w:val="22"/>
        </w:rPr>
        <w:t>.</w:t>
      </w:r>
    </w:p>
    <w:p w14:paraId="046EB269" w14:textId="77777777" w:rsidR="00623AF8" w:rsidRDefault="00623AF8" w:rsidP="00623AF8">
      <w:pPr>
        <w:jc w:val="both"/>
        <w:rPr>
          <w:rFonts w:ascii="Aptos" w:hAnsi="Aptos"/>
          <w:bCs/>
          <w:sz w:val="22"/>
          <w:szCs w:val="22"/>
        </w:rPr>
      </w:pPr>
      <w:r>
        <w:rPr>
          <w:rFonts w:ascii="Aptos" w:hAnsi="Aptos"/>
          <w:bCs/>
          <w:sz w:val="22"/>
          <w:szCs w:val="22"/>
        </w:rPr>
        <w:br w:type="page"/>
      </w:r>
    </w:p>
    <w:p w14:paraId="25BF23F6" w14:textId="77777777" w:rsidR="00623AF8" w:rsidRDefault="00623AF8" w:rsidP="00623AF8">
      <w:pPr>
        <w:spacing w:after="120"/>
        <w:jc w:val="both"/>
        <w:rPr>
          <w:rFonts w:ascii="Aptos" w:hAnsi="Aptos"/>
          <w:bCs/>
          <w:iCs/>
          <w:sz w:val="22"/>
          <w:szCs w:val="22"/>
        </w:rPr>
      </w:pPr>
    </w:p>
    <w:p w14:paraId="30D36896" w14:textId="77777777" w:rsidR="00623AF8" w:rsidRDefault="00623AF8" w:rsidP="00623AF8">
      <w:pPr>
        <w:pStyle w:val="berschrift1"/>
        <w:rPr>
          <w:rFonts w:ascii="Aptos" w:hAnsi="Aptos"/>
        </w:rPr>
      </w:pPr>
    </w:p>
    <w:p w14:paraId="396022A0" w14:textId="77777777" w:rsidR="00623AF8" w:rsidRDefault="00623AF8" w:rsidP="00623AF8">
      <w:pPr>
        <w:pStyle w:val="berschrift1"/>
        <w:rPr>
          <w:rFonts w:ascii="Aptos" w:hAnsi="Aptos"/>
        </w:rPr>
      </w:pPr>
      <w:bookmarkStart w:id="115" w:name="_Toc165540431"/>
      <w:bookmarkStart w:id="116" w:name="_Toc170294900"/>
      <w:bookmarkStart w:id="117" w:name="_Toc170983678"/>
      <w:r>
        <w:rPr>
          <w:rFonts w:ascii="Aptos" w:hAnsi="Aptos"/>
        </w:rPr>
        <w:t>Verpflichtung zur Dekarbonisierung im Just-Transition-Mechanismus</w:t>
      </w:r>
      <w:bookmarkEnd w:id="115"/>
      <w:bookmarkEnd w:id="116"/>
      <w:bookmarkEnd w:id="117"/>
    </w:p>
    <w:p w14:paraId="381D2FB0"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7649824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BB4B6D"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28788FEA"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D184E16" w14:textId="77777777" w:rsidR="00623AF8" w:rsidRDefault="00623AF8" w:rsidP="00875DD0">
            <w:pPr>
              <w:spacing w:before="120" w:after="120"/>
              <w:jc w:val="both"/>
              <w:rPr>
                <w:rFonts w:ascii="Aptos" w:hAnsi="Aptos"/>
                <w:sz w:val="22"/>
                <w:szCs w:val="22"/>
              </w:rPr>
            </w:pPr>
            <w:r>
              <w:rPr>
                <w:rFonts w:ascii="Aptos" w:hAnsi="Aptos"/>
                <w:sz w:val="22"/>
                <w:szCs w:val="22"/>
              </w:rPr>
              <w:t xml:space="preserve">Im Rahmen des EU Just-Transition-Mechanismus wird intensiv darüber diskutiert, wie der Übergang zu einer kohlenstoffarmen Wirtschaft gerechter gestaltet werden kann. Dabei stehen auch die potenziellen Maßnahmen zur verpflichtenden Dekarbonisierung im Fokus. </w:t>
            </w:r>
            <w:r>
              <w:rPr>
                <w:rFonts w:ascii="Aptos" w:hAnsi="Aptos"/>
                <w:b/>
                <w:bCs/>
                <w:sz w:val="22"/>
                <w:szCs w:val="22"/>
              </w:rPr>
              <w:t>Wie sehen diesbezüglich Ihre aktuellen Pläne aus?</w:t>
            </w:r>
          </w:p>
        </w:tc>
      </w:tr>
      <w:tr w:rsidR="00623AF8" w14:paraId="0E7EC2AF"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35C978"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7551E1AF"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FFF6EFE"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Ist dafür eine verpflichtende Einwilligung der Beschäftigten bzw. deren Vertretung vorgesehen?</w:t>
            </w:r>
          </w:p>
        </w:tc>
      </w:tr>
    </w:tbl>
    <w:p w14:paraId="614BE77D"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7109B84B" w14:textId="77777777" w:rsidTr="00875DD0">
        <w:tc>
          <w:tcPr>
            <w:tcW w:w="9060" w:type="dxa"/>
            <w:shd w:val="clear" w:color="auto" w:fill="D9D9D9" w:themeFill="background1" w:themeFillShade="D9"/>
            <w:hideMark/>
          </w:tcPr>
          <w:p w14:paraId="37FC9C6C"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CF00604" w14:textId="77777777" w:rsidR="00623AF8" w:rsidRDefault="00623AF8" w:rsidP="00623AF8">
      <w:pPr>
        <w:spacing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 xml:space="preserve">Der EU- Just-Transition-Mechanismus hat als Ziel, die sozioökonomischen Auswirkungen des Übergangs zu einer klimaneutralen Wirtschaft abzufedern und einen gerechten Übergang sicherzustellen. Dazu gehören eine finanzielle Unterstützung für Regionen, die stark von der Kohlenstoffwirtschaft abhängig sind, sowie Investitionen in nachhaltige Wirtschaftszweige und Arbeitsplätze. Ein zentraler Aspekt sind Maßnahmen zur verpflichtenden Dekarbonisierung, die sicherstellen sollen, dass alle Wirtschaftssektoren ihren Beitrag zur Reduzierung der Treibhausgasemissionen leisten. Unternehmen und Regionen sollen konkrete Dekarbonisierungsstrategien entwickeln und umsetzen. Durch diese Maßnahmen soll nicht nur der ökologische Wandel vorangetrieben, sondern auch die soziale Akzeptanz und Unterstützung für die notwendige Transformation gesichert werden. Vor allem im Energiesektor sind finanzielle Unterstützungen für nachhaltige Energietechnologien hilfreich, um den Übergang schneller voranzutreiben. </w:t>
      </w:r>
    </w:p>
    <w:p w14:paraId="3F23892A" w14:textId="77777777" w:rsidR="00623AF8" w:rsidRDefault="00623AF8" w:rsidP="00623AF8">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 xml:space="preserve">Die verpflichtende Einwilligung der Beschäftigten bzw. deren Vertretung im Rahmen des EU Just-Transition-Mechanismus ist entscheidend, um soziale Gerechtigkeit und Akzeptanz zu gewährleisten. Durch die Einbindung der Arbeitnehmer:innen werden deren Perspektiven und Bedürfnisse berücksichtigt, was die Maßnahmen praxisnaher und effektiver macht. Dies fördert Vertrauen und erhöht die Erfolgswahrscheinlichkeit des Übergangs zu einer klimaneutralen Wirtschaft. Zudem stärkt es die soziale Gerechtigkeit, indem sichergestellt wird, dass die Beschäftigten aktiv an den Entscheidungsprozessen beteiligt sind und ihre Interessen gewahrt bleiben. Dadurch wird der soziale Zusammenhalt gestärkt und der Übergang für alle Beteiligten fair gestaltet. </w:t>
      </w:r>
    </w:p>
    <w:p w14:paraId="5151F58F" w14:textId="77777777" w:rsidR="00623AF8" w:rsidRDefault="00623AF8" w:rsidP="00623AF8">
      <w:pPr>
        <w:rPr>
          <w:rFonts w:ascii="Aptos" w:eastAsia="Times New Roman" w:hAnsi="Aptos" w:cs="Times New Roman"/>
          <w:sz w:val="22"/>
          <w:szCs w:val="22"/>
          <w:lang w:eastAsia="de-AT"/>
        </w:rPr>
      </w:pPr>
      <w:r>
        <w:rPr>
          <w:rFonts w:ascii="Aptos" w:eastAsia="Times New Roman" w:hAnsi="Aptos" w:cs="Times New Roman"/>
          <w:sz w:val="22"/>
          <w:szCs w:val="22"/>
          <w:lang w:eastAsia="de-AT"/>
        </w:rPr>
        <w:br w:type="page"/>
      </w:r>
    </w:p>
    <w:p w14:paraId="50465EF7" w14:textId="77777777" w:rsidR="00623AF8" w:rsidRDefault="00623AF8" w:rsidP="00623AF8">
      <w:pPr>
        <w:spacing w:after="120"/>
        <w:jc w:val="both"/>
        <w:rPr>
          <w:rFonts w:ascii="Aptos" w:hAnsi="Aptos"/>
          <w:bCs/>
          <w:iCs/>
          <w:sz w:val="22"/>
          <w:szCs w:val="22"/>
        </w:rPr>
      </w:pPr>
    </w:p>
    <w:p w14:paraId="36B618C6" w14:textId="77777777" w:rsidR="00623AF8" w:rsidRDefault="00623AF8" w:rsidP="00623AF8">
      <w:pPr>
        <w:pStyle w:val="berschrift1"/>
        <w:rPr>
          <w:rFonts w:ascii="Aptos" w:hAnsi="Aptos"/>
        </w:rPr>
      </w:pPr>
    </w:p>
    <w:p w14:paraId="02E1451E" w14:textId="77777777" w:rsidR="00623AF8" w:rsidRDefault="00623AF8" w:rsidP="00623AF8">
      <w:pPr>
        <w:pStyle w:val="berschrift1"/>
        <w:rPr>
          <w:rFonts w:ascii="Aptos" w:hAnsi="Aptos"/>
        </w:rPr>
      </w:pPr>
      <w:bookmarkStart w:id="118" w:name="_Toc165540432"/>
      <w:bookmarkStart w:id="119" w:name="_Toc170294901"/>
      <w:bookmarkStart w:id="120" w:name="_Toc170983679"/>
      <w:r>
        <w:rPr>
          <w:rFonts w:ascii="Aptos" w:hAnsi="Aptos"/>
        </w:rPr>
        <w:t>Beschäftigungskriterien für Just-Transition-Förderungen</w:t>
      </w:r>
      <w:bookmarkEnd w:id="118"/>
      <w:bookmarkEnd w:id="119"/>
      <w:bookmarkEnd w:id="120"/>
    </w:p>
    <w:p w14:paraId="17253391"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456B2352"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93806D7" w14:textId="77777777" w:rsidR="00623AF8" w:rsidRDefault="00623AF8" w:rsidP="00875DD0">
            <w:pPr>
              <w:spacing w:before="120" w:after="120"/>
              <w:jc w:val="both"/>
              <w:rPr>
                <w:rFonts w:ascii="Aptos" w:hAnsi="Aptos"/>
                <w:b/>
                <w:iCs/>
                <w:sz w:val="22"/>
                <w:szCs w:val="22"/>
              </w:rPr>
            </w:pPr>
            <w:r>
              <w:rPr>
                <w:rFonts w:ascii="Aptos" w:hAnsi="Aptos"/>
                <w:b/>
                <w:iCs/>
                <w:sz w:val="22"/>
                <w:szCs w:val="22"/>
              </w:rPr>
              <w:t xml:space="preserve">Frage </w:t>
            </w:r>
          </w:p>
        </w:tc>
      </w:tr>
      <w:tr w:rsidR="00623AF8" w14:paraId="67BB69A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A36E9FD" w14:textId="77777777" w:rsidR="00623AF8" w:rsidRDefault="00623AF8" w:rsidP="00875DD0">
            <w:pPr>
              <w:spacing w:before="120" w:after="120"/>
              <w:jc w:val="both"/>
              <w:rPr>
                <w:rFonts w:ascii="Aptos" w:hAnsi="Aptos"/>
                <w:sz w:val="22"/>
                <w:szCs w:val="22"/>
              </w:rPr>
            </w:pPr>
            <w:r>
              <w:rPr>
                <w:rFonts w:ascii="Aptos" w:hAnsi="Aptos"/>
                <w:sz w:val="22"/>
                <w:szCs w:val="22"/>
              </w:rPr>
              <w:t xml:space="preserve">Mit dem Aufkommen des Just-Transition-Fonds steht die EU vor der Herausforderung, eine gerechte und nachhaltige Transformation ihrer Wirtschaft zu gewährleisten. Dabei ist es essenziell, Beschäftigungskriterien einzuführen, die sicherstellen, dass die Fördermittel gezielt dort eingesetzt werden, wo sie am dringendsten benötigt werden. Diese Kriterien sollten sowohl die Schaffung neuer Arbeitsplätze als auch die Umschulung und Unterstützung von Arbeitnehmer:innen, insbesondere in Regionen und Sektoren, die vom Strukturwandel betroffen sind. </w:t>
            </w:r>
            <w:r>
              <w:rPr>
                <w:rFonts w:ascii="Aptos" w:hAnsi="Aptos"/>
                <w:b/>
                <w:bCs/>
                <w:sz w:val="22"/>
                <w:szCs w:val="22"/>
              </w:rPr>
              <w:t>Inwiefern planen Sie, Auszahlungen aus dem Just-Transition-Fonds mit dem Joberhalt in den Betrieben zu verbinden?</w:t>
            </w:r>
            <w:r>
              <w:rPr>
                <w:rFonts w:ascii="Aptos" w:hAnsi="Aptos"/>
                <w:sz w:val="22"/>
                <w:szCs w:val="22"/>
              </w:rPr>
              <w:t xml:space="preserve"> </w:t>
            </w:r>
          </w:p>
        </w:tc>
      </w:tr>
      <w:tr w:rsidR="00623AF8" w14:paraId="36DC8250"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BD0DDDF"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7F042BDF"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48009C9"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5E1411A1"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5664DFF9" w14:textId="77777777" w:rsidTr="00875DD0">
        <w:tc>
          <w:tcPr>
            <w:tcW w:w="9060" w:type="dxa"/>
            <w:shd w:val="clear" w:color="auto" w:fill="D9D9D9" w:themeFill="background1" w:themeFillShade="D9"/>
            <w:hideMark/>
          </w:tcPr>
          <w:p w14:paraId="42F54500"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76F13E87" w14:textId="77777777" w:rsidR="00623AF8" w:rsidRDefault="00623AF8" w:rsidP="00623AF8">
      <w:pPr>
        <w:spacing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Der Just-Transition-Fonds zielt darauf ab, die sozioökonomischen Auswirkungen des Übergangs zu einer kohlenstoffarmen Wirtschaft zu mildern und sicherzustellen, dass Regionen und Sektoren, die Großteils von fossilen Brennstoffen abhängig sind, angemessen unterstützt werden. Ein zentrales Anliegen ist es, Beschäftigungskriterien einzuführen, die gewährleisten, dass die Fördermittel gezielt dort eingesetzt werden, wo sie am dringendsten benötigt werden. Dies umfasst die Schaffung neuer Arbeitsplätze sowie die Schulung und Unterstützung von Arbeitnehmer, insbesondere in vom Strukturwandel betroffenen Sektoren wie der Energie-, Kohle- und Automobilindustrie. Die Mittel des Fonds haben das Potenzial langfristige finanzielle Unterstützung zu bieten, nachhaltige Beschäftigungsmöglichkeiten zu schaffen und die Resilienz der betroffenen Regionen zu stärken.</w:t>
      </w:r>
    </w:p>
    <w:p w14:paraId="1FF8B08A" w14:textId="77777777" w:rsidR="00623AF8" w:rsidRDefault="00623AF8" w:rsidP="00623AF8">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 xml:space="preserve">Um sicherzustellen, dass Just-Transition-Fonds effektiv zur Sicherung von Arbeitsplätzen beitragen, ist geplant, die Auszahlungen mit Beschäftigungskriterien zu verbinden. Unternehmen, die Mittel aus dem Fonds erhalten, müssen nachweisen, dass sie Maßnahmen ergreifen, um Arbeitsplätze zu erhalten und neue Beschäftigungsmöglichkeiten zu schaffen, wie es beispielsweise die Richtlinie zur </w:t>
      </w:r>
      <w:r>
        <w:rPr>
          <w:rFonts w:ascii="Aptos" w:hAnsi="Aptos"/>
          <w:sz w:val="22"/>
          <w:szCs w:val="22"/>
        </w:rPr>
        <w:t>Qualifizierungs- und Beratungsförderung des Landes Kärnten</w:t>
      </w:r>
      <w:r>
        <w:rPr>
          <w:rFonts w:ascii="Aptos" w:hAnsi="Aptos"/>
          <w:sz w:val="28"/>
          <w:szCs w:val="28"/>
        </w:rPr>
        <w:t xml:space="preserve"> </w:t>
      </w:r>
      <w:r>
        <w:rPr>
          <w:rFonts w:ascii="Aptos" w:hAnsi="Aptos"/>
          <w:sz w:val="28"/>
          <w:szCs w:val="28"/>
          <w:vertAlign w:val="subscript"/>
        </w:rPr>
        <w:t>(1)</w:t>
      </w:r>
      <w:r>
        <w:rPr>
          <w:rFonts w:ascii="Aptos" w:eastAsia="Times New Roman" w:hAnsi="Aptos" w:cs="Times New Roman"/>
          <w:sz w:val="22"/>
          <w:szCs w:val="22"/>
          <w:lang w:eastAsia="de-AT"/>
        </w:rPr>
        <w:t xml:space="preserve"> vorschlägt. Weitere Maßnahmen sollen nicht nur den Erhalt von Arbeitsplätzen unterstützen, sondern auch die soziale Akzeptanz für den notwendigen ökologischen Wandel erhöhen und einen reibungslosen Übergang zu einer nachhaltigen Wirtschaft ermöglichen.</w:t>
      </w:r>
    </w:p>
    <w:p w14:paraId="22995C66" w14:textId="77777777" w:rsidR="00623AF8" w:rsidRPr="00580291" w:rsidRDefault="00623AF8" w:rsidP="00F63BE8">
      <w:pPr>
        <w:pStyle w:val="Listenabsatz"/>
        <w:numPr>
          <w:ilvl w:val="0"/>
          <w:numId w:val="7"/>
        </w:numPr>
        <w:spacing w:after="120"/>
        <w:jc w:val="both"/>
        <w:rPr>
          <w:rStyle w:val="Hyperlink"/>
          <w:rFonts w:ascii="Aptos" w:hAnsi="Aptos"/>
          <w:sz w:val="20"/>
          <w:szCs w:val="20"/>
        </w:rPr>
      </w:pPr>
      <w:r>
        <w:rPr>
          <w:rFonts w:ascii="Aptos" w:hAnsi="Aptos"/>
          <w:sz w:val="20"/>
          <w:szCs w:val="20"/>
        </w:rPr>
        <w:t xml:space="preserve">Richtlinie zur Qualifizierungs- und Beratungsförderung des Landes Kärnten im Rahmen des Just Transition Fund (JTF) 13.12.2023 </w:t>
      </w:r>
      <w:hyperlink r:id="rId30" w:history="1">
        <w:r>
          <w:rPr>
            <w:rStyle w:val="Hyperlink"/>
            <w:rFonts w:ascii="Aptos" w:hAnsi="Aptos"/>
            <w:sz w:val="20"/>
            <w:szCs w:val="20"/>
          </w:rPr>
          <w:t>file:///C:/Users/KAG/Downloads/JTF-%20Richtlinie%20Version%2020240207.pdf</w:t>
        </w:r>
      </w:hyperlink>
    </w:p>
    <w:p w14:paraId="707A8CB8" w14:textId="77777777" w:rsidR="00623AF8" w:rsidRDefault="00623AF8" w:rsidP="00623AF8">
      <w:pPr>
        <w:spacing w:after="120"/>
        <w:jc w:val="both"/>
        <w:rPr>
          <w:rFonts w:ascii="Aptos" w:hAnsi="Aptos"/>
          <w:sz w:val="20"/>
          <w:szCs w:val="20"/>
        </w:rPr>
      </w:pPr>
    </w:p>
    <w:p w14:paraId="28755C9E" w14:textId="77777777" w:rsidR="00623AF8" w:rsidRDefault="00623AF8" w:rsidP="00623AF8">
      <w:pPr>
        <w:spacing w:after="120"/>
        <w:jc w:val="both"/>
        <w:rPr>
          <w:rFonts w:ascii="Aptos" w:hAnsi="Aptos"/>
          <w:sz w:val="20"/>
          <w:szCs w:val="20"/>
        </w:rPr>
      </w:pPr>
    </w:p>
    <w:p w14:paraId="396ED0EC" w14:textId="77777777" w:rsidR="00623AF8" w:rsidRDefault="00623AF8" w:rsidP="00623AF8">
      <w:pPr>
        <w:spacing w:after="120"/>
        <w:jc w:val="both"/>
        <w:rPr>
          <w:rFonts w:ascii="Aptos" w:hAnsi="Aptos"/>
          <w:sz w:val="20"/>
          <w:szCs w:val="20"/>
        </w:rPr>
      </w:pPr>
    </w:p>
    <w:p w14:paraId="6B51B810" w14:textId="77777777" w:rsidR="00623AF8" w:rsidRPr="00580291" w:rsidRDefault="00623AF8" w:rsidP="00623AF8">
      <w:pPr>
        <w:spacing w:after="120"/>
        <w:jc w:val="both"/>
        <w:rPr>
          <w:rFonts w:ascii="Aptos" w:hAnsi="Aptos"/>
          <w:sz w:val="20"/>
          <w:szCs w:val="20"/>
        </w:rPr>
      </w:pPr>
    </w:p>
    <w:p w14:paraId="390F1ED8" w14:textId="77777777" w:rsidR="00623AF8" w:rsidRDefault="00623AF8" w:rsidP="00623AF8">
      <w:pPr>
        <w:rPr>
          <w:rFonts w:ascii="Aptos" w:hAnsi="Aptos"/>
          <w:sz w:val="22"/>
          <w:szCs w:val="22"/>
        </w:rPr>
      </w:pPr>
    </w:p>
    <w:p w14:paraId="141F2701" w14:textId="77777777" w:rsidR="00623AF8" w:rsidRDefault="00623AF8" w:rsidP="00623AF8">
      <w:pPr>
        <w:pStyle w:val="berschrift1"/>
        <w:rPr>
          <w:rFonts w:ascii="Aptos" w:hAnsi="Aptos"/>
        </w:rPr>
      </w:pPr>
    </w:p>
    <w:p w14:paraId="0A27FF5F" w14:textId="77777777" w:rsidR="00623AF8" w:rsidRDefault="00623AF8" w:rsidP="00623AF8">
      <w:pPr>
        <w:pStyle w:val="berschrift1"/>
        <w:rPr>
          <w:rFonts w:ascii="Aptos" w:hAnsi="Aptos"/>
        </w:rPr>
      </w:pPr>
      <w:bookmarkStart w:id="121" w:name="_Toc165540433"/>
      <w:bookmarkStart w:id="122" w:name="_Toc170294902"/>
      <w:bookmarkStart w:id="123" w:name="_Toc170983680"/>
      <w:r>
        <w:rPr>
          <w:rFonts w:ascii="Aptos" w:hAnsi="Aptos"/>
        </w:rPr>
        <w:t>Umschulungsprojekte im Sinne des Just-Transition-Mechanismus</w:t>
      </w:r>
      <w:bookmarkEnd w:id="121"/>
      <w:bookmarkEnd w:id="122"/>
      <w:bookmarkEnd w:id="123"/>
    </w:p>
    <w:p w14:paraId="3B7CA738"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D2F6CFF"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827E2AA"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63EF4007"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F75594A" w14:textId="77777777" w:rsidR="00623AF8" w:rsidRDefault="00623AF8" w:rsidP="00875DD0">
            <w:pPr>
              <w:spacing w:before="120" w:after="120"/>
              <w:jc w:val="both"/>
              <w:rPr>
                <w:rFonts w:ascii="Aptos" w:hAnsi="Aptos"/>
                <w:sz w:val="22"/>
                <w:szCs w:val="22"/>
              </w:rPr>
            </w:pPr>
            <w:bookmarkStart w:id="124" w:name="_Hlk169095976"/>
            <w:r>
              <w:rPr>
                <w:rFonts w:ascii="Aptos" w:hAnsi="Aptos"/>
                <w:sz w:val="22"/>
                <w:szCs w:val="22"/>
              </w:rPr>
              <w:t xml:space="preserve">Der Just-Transition-Mechanismus zielt darauf ab, einen gerechten und inklusiven Übergang zu einer kohlenstoffarmen Wirtschaft zu gewährleisten, indem sie sowohl Arbeitsplätze als auch Gemeinschaften unterstützt, die von traditionellen, kohlenstoffintensiven Industrien abhängig sind, und gleichzeitig den Übergang zu nachhaltigen, grünen Arbeitsplätzen fördert. Im Rahmen dieses Konzepts werden Umschulungsprojekte und Programme entwickelt, um betroffene Arbeitskräfte auf neue Berufe und Beschäftigungsmöglichkeiten vorzubereiten, was durch verschiedene Formen wie berufliche Weiterbildung, Ausbildungsprogramme und finanzielle Unterstützung erfolgt. Eine Herausforderung liegt jedoch darin, sicherzustellen, dass diese Umschulungsprojekte ausreichend finanziert und effektiv durchgeführt werden, um den Bedürfnissen der betroffenen Arbeitnehmer:innen gerecht zu werden. </w:t>
            </w:r>
            <w:r>
              <w:rPr>
                <w:rFonts w:ascii="Aptos" w:hAnsi="Aptos"/>
                <w:b/>
                <w:bCs/>
                <w:sz w:val="22"/>
                <w:szCs w:val="22"/>
              </w:rPr>
              <w:t>Welche Umschulungsprojekte planen Sie und wo sehen Sie Notwendigkeiten, um die Mitgliedstaaten zu unterstützen?</w:t>
            </w:r>
          </w:p>
        </w:tc>
      </w:tr>
      <w:tr w:rsidR="00623AF8" w14:paraId="584B7070"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7825B5"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6F9C998F"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12550E0"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Was sind Ihre geplanten Maßnahmen, um sicherzustellen, dass die Transition durch Umschulungen keine Verschlechterung der Arbeitsplätze verursacht?</w:t>
            </w:r>
          </w:p>
        </w:tc>
      </w:tr>
      <w:bookmarkEnd w:id="124"/>
    </w:tbl>
    <w:p w14:paraId="65BBEA46"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1E915DAB" w14:textId="77777777" w:rsidTr="00875DD0">
        <w:tc>
          <w:tcPr>
            <w:tcW w:w="9060" w:type="dxa"/>
            <w:shd w:val="clear" w:color="auto" w:fill="D9D9D9" w:themeFill="background1" w:themeFillShade="D9"/>
            <w:hideMark/>
          </w:tcPr>
          <w:p w14:paraId="75176BD9"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49C32A15" w14:textId="77777777" w:rsidR="00623AF8" w:rsidRDefault="00623AF8" w:rsidP="00623AF8">
      <w:pPr>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 xml:space="preserve">Der Just-Transition-Fonds zielt darauf ab, die sozioökonomischen Auswirkungen des Übergangs zu einer kohlenstoffarmen Wirtschaft zu mildern und sicherzustellen, dass Regionen und Sektoren, die Großteils von fossilen Brennstoffen abhängig sind, angemessen unterstützt werden. Ein zentrales Anliegen ist es, Beschäftigungskriterien einzuführen, die gewährleisten, dass die Fördermittel gezielt dort eingesetzt werden, wo sie am dringendsten benötigt werden. </w:t>
      </w:r>
      <w:r>
        <w:rPr>
          <w:rFonts w:ascii="Aptos" w:hAnsi="Aptos"/>
          <w:sz w:val="22"/>
          <w:szCs w:val="22"/>
          <w:lang w:eastAsia="de-AT"/>
        </w:rPr>
        <w:t>Ein besonderer Fokus liegt auf der Unterstützung von Umschulungsprojekten und Programmen, die betroffene Arbeitskräfte auf neue Berufe und Beschäftigungsmöglichkeiten vorbereiten. Diese Umschulungsinitiativen umfassen berufliche Weiterbildung, Ausbildungsprogramme und finanzielle Unterstützung. Die Herausforderung besteht jedoch darin, sicherzustellen, dass diese Umschulungsprojekte ausreichend finanziert und effektiv durchgeführt werden, um den spezifischen Bedürfnissen der betroffenen Arbeitnehmer gerecht zu werden.</w:t>
      </w:r>
    </w:p>
    <w:p w14:paraId="5F3253F9" w14:textId="77777777" w:rsidR="00623AF8" w:rsidRDefault="00623AF8" w:rsidP="00623AF8">
      <w:pPr>
        <w:spacing w:before="100" w:beforeAutospacing="1" w:after="100" w:afterAutospacing="1"/>
        <w:jc w:val="both"/>
        <w:rPr>
          <w:rFonts w:ascii="Aptos" w:eastAsia="Times New Roman" w:hAnsi="Aptos" w:cs="Times New Roman"/>
          <w:lang w:eastAsia="de-AT"/>
        </w:rPr>
      </w:pPr>
      <w:r>
        <w:rPr>
          <w:rFonts w:ascii="Aptos" w:eastAsia="Times New Roman" w:hAnsi="Aptos" w:cs="Times New Roman"/>
          <w:sz w:val="22"/>
          <w:szCs w:val="22"/>
          <w:lang w:eastAsia="de-AT"/>
        </w:rPr>
        <w:t xml:space="preserve">Aus der Sicht öffentlicher Verbände, wird die Notwendigkeit, in diesen Bereichen eng mit lokalen und regionalen Behörden, Bildungseinrichtungen und der Privatwirtschaft zusammenzuarbeiten, um sicherzustellen, dass die Umschulungsmaßnahmen zielgerichtet und praxisnah sind. </w:t>
      </w:r>
      <w:r>
        <w:rPr>
          <w:rFonts w:ascii="Aptos" w:eastAsia="Times New Roman" w:hAnsi="Aptos" w:cs="Times New Roman"/>
          <w:lang w:eastAsia="de-AT"/>
        </w:rPr>
        <w:t>Dass ausreichende finanzielle Mittel zur Verfügung stehen, würde dazu beitragen, dass die Durchführung dieser Programme unterstützt, und der Übergang erleichtert wird.</w:t>
      </w:r>
    </w:p>
    <w:p w14:paraId="28CC6A53" w14:textId="77777777" w:rsidR="00623AF8" w:rsidRDefault="00623AF8" w:rsidP="00623AF8">
      <w:pPr>
        <w:spacing w:before="100" w:beforeAutospacing="1" w:after="100" w:afterAutospacing="1"/>
        <w:jc w:val="both"/>
        <w:rPr>
          <w:rFonts w:ascii="Aptos" w:eastAsia="Times New Roman" w:hAnsi="Aptos" w:cs="Times New Roman"/>
          <w:sz w:val="22"/>
          <w:szCs w:val="22"/>
          <w:lang w:eastAsia="de-AT"/>
        </w:rPr>
      </w:pPr>
    </w:p>
    <w:p w14:paraId="4517B716" w14:textId="77777777" w:rsidR="00623AF8" w:rsidRDefault="00623AF8" w:rsidP="00623AF8">
      <w:pPr>
        <w:rPr>
          <w:rFonts w:ascii="Aptos" w:eastAsia="Times New Roman" w:hAnsi="Aptos" w:cs="Times New Roman"/>
          <w:sz w:val="22"/>
          <w:szCs w:val="22"/>
          <w:lang w:eastAsia="de-AT"/>
        </w:rPr>
      </w:pPr>
      <w:r>
        <w:rPr>
          <w:rFonts w:ascii="Aptos" w:eastAsia="Times New Roman" w:hAnsi="Aptos" w:cs="Times New Roman"/>
          <w:sz w:val="22"/>
          <w:szCs w:val="22"/>
          <w:lang w:eastAsia="de-AT"/>
        </w:rPr>
        <w:br w:type="page"/>
      </w:r>
    </w:p>
    <w:p w14:paraId="39D7A507" w14:textId="77777777" w:rsidR="00623AF8" w:rsidRDefault="00623AF8" w:rsidP="00623AF8">
      <w:pPr>
        <w:pStyle w:val="berschrift1"/>
        <w:rPr>
          <w:rFonts w:ascii="Aptos" w:hAnsi="Aptos"/>
        </w:rPr>
      </w:pPr>
    </w:p>
    <w:p w14:paraId="20E2D5D0" w14:textId="77777777" w:rsidR="00623AF8" w:rsidRDefault="00623AF8" w:rsidP="00623AF8"/>
    <w:p w14:paraId="39313EFD" w14:textId="77777777" w:rsidR="00623AF8" w:rsidRDefault="00623AF8" w:rsidP="00623AF8">
      <w:pPr>
        <w:pStyle w:val="berschrift1"/>
        <w:rPr>
          <w:rFonts w:ascii="Aptos" w:hAnsi="Aptos"/>
        </w:rPr>
      </w:pPr>
      <w:bookmarkStart w:id="125" w:name="_Toc165540434"/>
      <w:bookmarkStart w:id="126" w:name="_Toc170294903"/>
    </w:p>
    <w:p w14:paraId="314A531E" w14:textId="77777777" w:rsidR="00623AF8" w:rsidRDefault="00623AF8" w:rsidP="00623AF8">
      <w:pPr>
        <w:pStyle w:val="berschrift1"/>
        <w:rPr>
          <w:rFonts w:ascii="Aptos" w:hAnsi="Aptos"/>
        </w:rPr>
      </w:pPr>
    </w:p>
    <w:p w14:paraId="0B636C42" w14:textId="77777777" w:rsidR="00623AF8" w:rsidRDefault="00623AF8" w:rsidP="00623AF8">
      <w:pPr>
        <w:pStyle w:val="berschrift1"/>
        <w:rPr>
          <w:rFonts w:ascii="Aptos" w:hAnsi="Aptos"/>
        </w:rPr>
      </w:pPr>
      <w:bookmarkStart w:id="127" w:name="_Toc170983681"/>
      <w:r>
        <w:rPr>
          <w:rFonts w:ascii="Aptos" w:hAnsi="Aptos"/>
        </w:rPr>
        <w:t>Weitere Förderungen für sozial schwächer gestellte Personen</w:t>
      </w:r>
      <w:bookmarkEnd w:id="125"/>
      <w:bookmarkEnd w:id="126"/>
      <w:bookmarkEnd w:id="127"/>
    </w:p>
    <w:p w14:paraId="003CE8F6"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162FED94"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BC1D5B2" w14:textId="77777777" w:rsidR="00623AF8" w:rsidRDefault="00623AF8" w:rsidP="00875DD0">
            <w:pPr>
              <w:spacing w:before="120" w:after="120"/>
              <w:jc w:val="both"/>
              <w:rPr>
                <w:rFonts w:ascii="Aptos" w:hAnsi="Aptos"/>
                <w:b/>
                <w:iCs/>
                <w:sz w:val="22"/>
                <w:szCs w:val="22"/>
              </w:rPr>
            </w:pPr>
            <w:r>
              <w:rPr>
                <w:rFonts w:ascii="Aptos" w:hAnsi="Aptos"/>
                <w:b/>
                <w:iCs/>
                <w:sz w:val="22"/>
                <w:szCs w:val="22"/>
              </w:rPr>
              <w:t xml:space="preserve">Frage </w:t>
            </w:r>
          </w:p>
        </w:tc>
      </w:tr>
      <w:tr w:rsidR="00623AF8" w14:paraId="4409F679"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7B9F572"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Bewältigung des Strukturwandels, insbesondere im Kontext der Umstellung auf eine klimaneutrale Wirtschaft, erfordert nicht nur ökologische, sondern auch soziale Gerechtigkeit. Angesichts dieser Herausforderung ist es unerlässlich, Maßnahmen zu ergreifen, die sicherstellen, dass sozial benachteiligte Gruppen nicht zurückgelassen werden. </w:t>
            </w:r>
            <w:r>
              <w:rPr>
                <w:rFonts w:ascii="Aptos" w:hAnsi="Aptos"/>
                <w:b/>
                <w:bCs/>
                <w:sz w:val="22"/>
                <w:szCs w:val="22"/>
              </w:rPr>
              <w:t>Wie beabsichtigen Sie, neben dem Klima-Sozialfonds, zusätzliche finanzielle Maßnahmen für sozial benachteiligte Gruppen anzubieten, um die Auswirkungen des Strukturwandels gerecht zu bewältigen?</w:t>
            </w:r>
          </w:p>
        </w:tc>
      </w:tr>
      <w:tr w:rsidR="00623AF8" w14:paraId="5E5581D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D41548D"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12E16E6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1162B5B4"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6D54CE6A"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5F7A025B" w14:textId="77777777" w:rsidTr="00875DD0">
        <w:tc>
          <w:tcPr>
            <w:tcW w:w="9060" w:type="dxa"/>
            <w:shd w:val="clear" w:color="auto" w:fill="D9D9D9" w:themeFill="background1" w:themeFillShade="D9"/>
            <w:hideMark/>
          </w:tcPr>
          <w:p w14:paraId="697F9B69"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66B93685" w14:textId="77777777" w:rsidR="00623AF8" w:rsidRDefault="00623AF8" w:rsidP="00623AF8">
      <w:pPr>
        <w:pStyle w:val="StandardWeb"/>
        <w:spacing w:before="0" w:beforeAutospacing="0"/>
        <w:jc w:val="both"/>
        <w:rPr>
          <w:rFonts w:ascii="Aptos" w:hAnsi="Aptos"/>
          <w:sz w:val="22"/>
          <w:szCs w:val="22"/>
        </w:rPr>
      </w:pPr>
      <w:r>
        <w:rPr>
          <w:rFonts w:ascii="Aptos" w:hAnsi="Aptos"/>
          <w:sz w:val="22"/>
          <w:szCs w:val="22"/>
        </w:rPr>
        <w:t>Die Umstellung auf eine klimaneutrale Wirtschaft stellt eine der größten Herausforderungen unserer Zeit da und erfordert umfassende Anpassungen in verschiedenen Wirtschaftssektoren. Dieser Strukturwandel betrifft nicht nur technologische und ökologische Aspekte, sondern hat auch weitreichende soziale Implikationen. Besonders betroffen sind sozial benachteiligte Gruppen, die häufig weniger Ressourcen und Möglichkeiten haben, sich an die neuen Gegebenheiten anzupassen. Der Klima-Sozialfonds der EU zielt versucht unterstützt bereits Maßnahmen zur Energieeffizienz, den Einsatz erneuerbarer Energien und die Bekämpfung von Energiearmut. Neben dem Klima-Sozialfonds würden zusätzliche finanzielle Maßnahmen benötigt werden, um sozial benachteiligte Gruppen besonders vor den negativen Auswirkungen des Strukturwandels zu schützen. Dadurch ergibt sich eine faire Anpassung, die jedem die Chance lässt, sich adäquat vorzubereiten und den Zugang zu leistbarer Energie zu garantieren.</w:t>
      </w:r>
    </w:p>
    <w:p w14:paraId="6A6D87DF" w14:textId="77777777" w:rsidR="00623AF8" w:rsidRDefault="00623AF8" w:rsidP="00623AF8">
      <w:pPr>
        <w:rPr>
          <w:rFonts w:ascii="Aptos" w:eastAsia="Times New Roman" w:hAnsi="Aptos" w:cs="Times New Roman"/>
          <w:sz w:val="22"/>
          <w:szCs w:val="22"/>
          <w:lang w:eastAsia="de-DE"/>
        </w:rPr>
      </w:pPr>
      <w:r>
        <w:rPr>
          <w:rFonts w:ascii="Aptos" w:hAnsi="Aptos"/>
          <w:sz w:val="22"/>
          <w:szCs w:val="22"/>
        </w:rPr>
        <w:br w:type="page"/>
      </w:r>
    </w:p>
    <w:p w14:paraId="07026403" w14:textId="77777777" w:rsidR="00623AF8" w:rsidRDefault="00623AF8" w:rsidP="00623AF8"/>
    <w:p w14:paraId="01C36D15" w14:textId="77777777" w:rsidR="00623AF8" w:rsidRDefault="00623AF8" w:rsidP="00623AF8">
      <w:pPr>
        <w:pStyle w:val="berschrift1"/>
        <w:rPr>
          <w:rFonts w:ascii="Aptos" w:hAnsi="Aptos"/>
        </w:rPr>
      </w:pPr>
      <w:bookmarkStart w:id="128" w:name="_Toc165540435"/>
      <w:bookmarkStart w:id="129" w:name="_Toc170294904"/>
      <w:bookmarkStart w:id="130" w:name="_Toc170983682"/>
      <w:r>
        <w:rPr>
          <w:rFonts w:ascii="Aptos" w:hAnsi="Aptos"/>
        </w:rPr>
        <w:t>Gewährleistung von Bildungsniveaus, Möglichkeiten und Chancen im Energiesektor</w:t>
      </w:r>
      <w:bookmarkEnd w:id="128"/>
      <w:bookmarkEnd w:id="129"/>
      <w:bookmarkEnd w:id="130"/>
    </w:p>
    <w:p w14:paraId="413C75A0"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169A9AF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7796168"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036EDA8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436BFF4" w14:textId="77777777" w:rsidR="00623AF8" w:rsidRDefault="00623AF8" w:rsidP="00875DD0">
            <w:pPr>
              <w:spacing w:before="120" w:after="120"/>
              <w:jc w:val="both"/>
              <w:rPr>
                <w:rFonts w:ascii="Aptos" w:hAnsi="Aptos"/>
                <w:sz w:val="22"/>
                <w:szCs w:val="22"/>
              </w:rPr>
            </w:pPr>
            <w:r>
              <w:rPr>
                <w:rFonts w:ascii="Aptos" w:hAnsi="Aptos"/>
                <w:sz w:val="22"/>
                <w:szCs w:val="22"/>
              </w:rPr>
              <w:t xml:space="preserve">Angesichts der Notwendigkeit von Attraktivität und Zugänglichkeit, beispielsweise durch vernünftige Zahlungsmodelle und Durchlässigkeit, wird die Standardisierung von Ausbildungen allein als unzureichend betrachtet. In Anbetracht dieser Herausforderungen: </w:t>
            </w:r>
            <w:r>
              <w:rPr>
                <w:rFonts w:ascii="Aptos" w:hAnsi="Aptos"/>
                <w:b/>
                <w:bCs/>
                <w:sz w:val="22"/>
                <w:szCs w:val="22"/>
              </w:rPr>
              <w:t>Wie planen Sie sicherzustellen, dass angemessene Bildungsniveaus, Möglichkeiten und Chancen für die Energiewende bzw. eine gerechte Transition im Energiesektor gewährleistet sind?</w:t>
            </w:r>
          </w:p>
        </w:tc>
      </w:tr>
      <w:tr w:rsidR="00623AF8" w14:paraId="7F28AA6B"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EC1E2DA"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78A8EF78"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61EDA48"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03F7BD57"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4F35E643" w14:textId="77777777" w:rsidTr="00875DD0">
        <w:tc>
          <w:tcPr>
            <w:tcW w:w="9060" w:type="dxa"/>
            <w:shd w:val="clear" w:color="auto" w:fill="D9D9D9" w:themeFill="background1" w:themeFillShade="D9"/>
            <w:hideMark/>
          </w:tcPr>
          <w:p w14:paraId="52277810"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61CF7A1F" w14:textId="77777777" w:rsidR="00623AF8" w:rsidRDefault="00623AF8" w:rsidP="00623AF8">
      <w:pPr>
        <w:spacing w:after="100" w:afterAutospacing="1"/>
        <w:jc w:val="both"/>
        <w:rPr>
          <w:rFonts w:ascii="Aptos" w:hAnsi="Aptos"/>
          <w:sz w:val="22"/>
          <w:szCs w:val="22"/>
        </w:rPr>
      </w:pPr>
      <w:r>
        <w:rPr>
          <w:rFonts w:ascii="Aptos" w:hAnsi="Aptos"/>
          <w:sz w:val="22"/>
          <w:szCs w:val="22"/>
        </w:rPr>
        <w:t>Die Sicherstellung angemessener Bildungsniveaus, Möglichkeiten und Chancen ist für eine erfolgreiche Energiewende und eine gerechte Transition im Energiesektor von zentraler Bedeutung. Angemessene Bildung und Qualifikation sind entscheidend, um die Arbeitskräfte auf die neuen Anforderungen vorzubereiten, die durch den Übergang zu erneuerbaren Energien und energieeffizienten Technologien entstehen.</w:t>
      </w:r>
    </w:p>
    <w:p w14:paraId="6F8CD2AC"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Erstens ermöglicht eine hohe Bildung und Qualifikation der Arbeitskräfte, dass sie sich besser an die sich schnell verändernden Anforderungen des Energiemarktes anpassen können. Die Energiewende bringt neue Technologien und Arbeitsmethoden mit sich, die spezialisierte Kenntnisse und Fähigkeiten erfordern. Durch gezielte Aus- und Weiterbildungsprogramme können Beschäftigte die notwendigen Kompetenzen erwerben, um in den neuen Arbeitsbereichen erfolgreich zu sein. Dies stärkt nicht nur ihre Beschäftigungsfähigkeit, sondern fördert auch die Innovationskraft der gesamten Branche.</w:t>
      </w:r>
    </w:p>
    <w:p w14:paraId="087B0168"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Zweitens trägt die Förderung von Bildungs- und Weiterbildungsmöglichkeiten zur sozialen Gerechtigkeit bei. Der Übergang zu einer nachhaltigen Energieversorgung darf nicht zu sozialen Ungleichheiten führen. Durch den Zugang zu Bildung und Qualifikation erhalten alle Beschäftigten, unabhängig von ihrem bisherigen beruflichen Hintergrund, die Chance, an den neuen Arbeitsplätzen im Energiesektor teilzuhaben. Dies verhindert, dass bestimmte Gruppen benachteiligt werden und fördert eine inklusive und faire Entwicklung.</w:t>
      </w:r>
    </w:p>
    <w:p w14:paraId="71F19C10" w14:textId="77777777" w:rsidR="00623AF8" w:rsidRDefault="00623AF8" w:rsidP="00623AF8">
      <w:pPr>
        <w:spacing w:before="100" w:beforeAutospacing="1" w:after="100" w:afterAutospacing="1"/>
        <w:jc w:val="both"/>
        <w:rPr>
          <w:rFonts w:ascii="Aptos" w:hAnsi="Aptos"/>
          <w:bCs/>
          <w:sz w:val="22"/>
          <w:szCs w:val="22"/>
        </w:rPr>
      </w:pPr>
      <w:r>
        <w:rPr>
          <w:rFonts w:ascii="Aptos" w:hAnsi="Aptos"/>
          <w:sz w:val="22"/>
          <w:szCs w:val="22"/>
        </w:rPr>
        <w:t>Drittens unterstützt die Sicherstellung angemessener Bildungsniveaus die regionale Entwicklung und den Strukturwandel in betroffenen Gebieten. Viele Regionen, die traditionell von fossilen Brennstoffen abhängig sind, stehen vor großen Herausforderungen. Durch gezielte Bildungsinitiativen können diese Regionen den Übergang zu einer nachhaltigen Wirtschaft aktiv gestalten und neue wirtschaftliche Perspektiven schaffen. Dies fördert nicht nur die lokale Wirtschaft, sondern stärkt auch den sozialen Zusammenhalt.</w:t>
      </w:r>
    </w:p>
    <w:p w14:paraId="5CFD153C" w14:textId="77777777" w:rsidR="00623AF8" w:rsidRDefault="00623AF8" w:rsidP="00623AF8">
      <w:pPr>
        <w:pStyle w:val="berschrift1"/>
        <w:rPr>
          <w:rFonts w:ascii="Aptos" w:hAnsi="Aptos"/>
        </w:rPr>
      </w:pPr>
    </w:p>
    <w:p w14:paraId="74248FB6" w14:textId="77777777" w:rsidR="00623AF8" w:rsidRDefault="00623AF8" w:rsidP="00623AF8"/>
    <w:p w14:paraId="39AA2F0E" w14:textId="77777777" w:rsidR="00623AF8" w:rsidRDefault="00623AF8" w:rsidP="00623AF8">
      <w:pPr>
        <w:pStyle w:val="berschrift1"/>
        <w:rPr>
          <w:rFonts w:ascii="Aptos" w:hAnsi="Aptos"/>
        </w:rPr>
      </w:pPr>
      <w:bookmarkStart w:id="131" w:name="_Toc165540436"/>
      <w:bookmarkStart w:id="132" w:name="_Toc170294905"/>
    </w:p>
    <w:p w14:paraId="50DC0254" w14:textId="77777777" w:rsidR="00623AF8" w:rsidRDefault="00623AF8" w:rsidP="00623AF8">
      <w:pPr>
        <w:pStyle w:val="berschrift1"/>
        <w:rPr>
          <w:rFonts w:ascii="Aptos" w:hAnsi="Aptos"/>
        </w:rPr>
      </w:pPr>
      <w:bookmarkStart w:id="133" w:name="_Toc170983683"/>
      <w:r>
        <w:rPr>
          <w:rFonts w:ascii="Aptos" w:hAnsi="Aptos"/>
        </w:rPr>
        <w:t>Sicherstellung bezahlbarer Energieversorgung</w:t>
      </w:r>
      <w:bookmarkEnd w:id="131"/>
      <w:bookmarkEnd w:id="132"/>
      <w:bookmarkEnd w:id="133"/>
    </w:p>
    <w:p w14:paraId="23522CFB"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F22777F"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945235"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6E50F1E7"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84F1E79" w14:textId="77777777" w:rsidR="00623AF8" w:rsidRDefault="00623AF8" w:rsidP="00875DD0">
            <w:pPr>
              <w:spacing w:before="120" w:after="120"/>
              <w:jc w:val="both"/>
              <w:rPr>
                <w:rFonts w:ascii="Aptos" w:hAnsi="Aptos"/>
                <w:sz w:val="22"/>
                <w:szCs w:val="22"/>
              </w:rPr>
            </w:pPr>
            <w:r>
              <w:rPr>
                <w:rFonts w:ascii="Aptos" w:hAnsi="Aptos"/>
                <w:sz w:val="22"/>
                <w:szCs w:val="22"/>
              </w:rPr>
              <w:t>In einer zunehmend energieabhängigen Welt stellt die Sicherstellung einer erschwinglichen Energieversorgung eine immer dringlichere Herausforderung dar. Die Europäische Union steht vor der Aufgabe, einen ausgewogenen Ansatz zu finden, der sowohl den Bedarf an Energiezugang für alle Bürgerinnen und Bürger als auch die Erfordernisse einer nachhaltigen und umweltverträglichen Energieproduktion berücksichtigt. Angesichts steigender Energiepreise und der Dringlichkeit, den Klimawandel einzudämmen, stellt sich die Frage:</w:t>
            </w:r>
            <w:r>
              <w:rPr>
                <w:rFonts w:ascii="Aptos" w:hAnsi="Aptos"/>
                <w:b/>
                <w:bCs/>
                <w:sz w:val="22"/>
                <w:szCs w:val="22"/>
              </w:rPr>
              <w:t xml:space="preserve"> Wie planen Sie, langfristig eine bezahlbare Energieversorgung sicherzustellen?</w:t>
            </w:r>
          </w:p>
        </w:tc>
      </w:tr>
      <w:tr w:rsidR="00623AF8" w14:paraId="3A60609D"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5D24FA"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7A110477"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1E67400D"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79E54FF3"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40D6E455" w14:textId="77777777" w:rsidTr="00875DD0">
        <w:tc>
          <w:tcPr>
            <w:tcW w:w="9060" w:type="dxa"/>
            <w:shd w:val="clear" w:color="auto" w:fill="D9D9D9" w:themeFill="background1" w:themeFillShade="D9"/>
            <w:hideMark/>
          </w:tcPr>
          <w:p w14:paraId="6D390DE4"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0F025824" w14:textId="77777777" w:rsidR="00623AF8" w:rsidRDefault="00623AF8" w:rsidP="00623AF8">
      <w:pPr>
        <w:pStyle w:val="StandardWeb"/>
        <w:spacing w:before="0" w:beforeAutospacing="0"/>
        <w:jc w:val="both"/>
        <w:rPr>
          <w:rFonts w:ascii="Aptos" w:hAnsi="Aptos"/>
          <w:sz w:val="22"/>
          <w:szCs w:val="22"/>
        </w:rPr>
      </w:pPr>
      <w:r>
        <w:rPr>
          <w:rFonts w:ascii="Aptos" w:hAnsi="Aptos"/>
          <w:sz w:val="22"/>
          <w:szCs w:val="22"/>
        </w:rPr>
        <w:t xml:space="preserve">Die Sicherstellung einer langfristig bezahlbaren Energieversorgung ist von zentraler Bedeutung für die wirtschaftliche Stabilität, soziale Gerechtigkeit und ökologische Nachhaltigkeit. Bezahlbare Energie ist essenziell für Haushalte, Unternehmen und öffentliche Einrichtungen, da sie die Grundlage für alltägliche Aktivitäten und wirtschaftliche Produktivität bildet. Steigende Energiepreise können die Lebenshaltungskosten erheblich erhöhen und besonders einkommensschwache Haushalte stark belasten, was zu Energiearmut führen kann. </w:t>
      </w:r>
    </w:p>
    <w:p w14:paraId="67FC0696" w14:textId="77777777" w:rsidR="00623AF8" w:rsidRDefault="00623AF8" w:rsidP="00623AF8">
      <w:pPr>
        <w:pStyle w:val="StandardWeb"/>
        <w:jc w:val="both"/>
        <w:rPr>
          <w:rFonts w:ascii="Aptos" w:hAnsi="Aptos"/>
          <w:sz w:val="22"/>
          <w:szCs w:val="22"/>
        </w:rPr>
      </w:pPr>
      <w:r>
        <w:rPr>
          <w:rFonts w:ascii="Aptos" w:hAnsi="Aptos"/>
          <w:sz w:val="22"/>
          <w:szCs w:val="22"/>
        </w:rPr>
        <w:t>Für Unternehmen ist eine bezahlbare Energieversorgung ebenfalls von großer Bedeutung, da sie die Produktionskosten direkt beeinflusst. Hohe Energiepreise können die Wettbewerbsfähigkeit von Unternehmen reduzieren, Investitionen bremsen und Arbeitsplätze gefährden. Besonders energieintensive Industrien sind auf stabile und erschwingliche Energiepreise angewiesen, um ihre Betriebskosten niedrig zu halten und ihre globale Wettbewerbsfähigkeit zu sichern.</w:t>
      </w:r>
    </w:p>
    <w:p w14:paraId="4A959A75" w14:textId="77777777" w:rsidR="00623AF8" w:rsidRDefault="00623AF8" w:rsidP="00623AF8">
      <w:pPr>
        <w:pStyle w:val="StandardWeb"/>
        <w:jc w:val="both"/>
        <w:rPr>
          <w:rFonts w:ascii="Aptos" w:hAnsi="Aptos"/>
          <w:sz w:val="22"/>
          <w:szCs w:val="22"/>
        </w:rPr>
      </w:pPr>
      <w:r>
        <w:rPr>
          <w:rFonts w:ascii="Aptos" w:hAnsi="Aptos"/>
          <w:sz w:val="22"/>
          <w:szCs w:val="22"/>
        </w:rPr>
        <w:t>In einer zunehmend energieabhängigen Welt ist die Sicherstellung einer erschwinglichen Energieversorgung von zentraler Bedeutung. Einerseits müssen die steigenden Energiepreise bewältigt werden, die durch eine Kombination aus geopolitischen Spannungen, begrenzten fossilen Ressourcen und der steigenden Nachfrage nach Energie verursacht werden. Andererseits drängt die Notwendigkeit für einen schnellen Übergang zu erneuerbaren Energien, den Klimawandel zu bekämpfen. Dieser Übergang erfordert erhebliche Investitionen in neue Technologien und Infrastruktur, die wiederum zu höheren Kosten führen können. Diese gegensätzlichen Anforderungen sollen in Einklang gebracht werden, sodass in Europa alle Akteure Zugang zu bezahlbarer Energie haben.</w:t>
      </w:r>
    </w:p>
    <w:p w14:paraId="68535EE8" w14:textId="77777777" w:rsidR="00623AF8" w:rsidRDefault="00623AF8" w:rsidP="00623AF8">
      <w:pPr>
        <w:rPr>
          <w:rFonts w:ascii="Aptos" w:hAnsi="Aptos"/>
          <w:bCs/>
          <w:sz w:val="22"/>
          <w:szCs w:val="22"/>
        </w:rPr>
      </w:pPr>
      <w:r>
        <w:rPr>
          <w:rFonts w:ascii="Aptos" w:hAnsi="Aptos"/>
          <w:bCs/>
          <w:sz w:val="22"/>
          <w:szCs w:val="22"/>
        </w:rPr>
        <w:br w:type="page"/>
      </w:r>
    </w:p>
    <w:p w14:paraId="616CD367" w14:textId="77777777" w:rsidR="00623AF8" w:rsidRDefault="00623AF8" w:rsidP="00623AF8"/>
    <w:p w14:paraId="26F7108E" w14:textId="77777777" w:rsidR="00623AF8" w:rsidRDefault="00623AF8" w:rsidP="00623AF8">
      <w:pPr>
        <w:pStyle w:val="berschrift1"/>
        <w:rPr>
          <w:rFonts w:ascii="Aptos" w:hAnsi="Aptos"/>
        </w:rPr>
      </w:pPr>
      <w:bookmarkStart w:id="134" w:name="_Toc165540437"/>
      <w:bookmarkStart w:id="135" w:name="_Toc170294906"/>
      <w:bookmarkStart w:id="136" w:name="_Toc170983684"/>
      <w:r>
        <w:rPr>
          <w:rFonts w:ascii="Aptos" w:hAnsi="Aptos"/>
        </w:rPr>
        <w:t>Stabile und bezahlbare Elektrizität im Bahnsektor</w:t>
      </w:r>
      <w:bookmarkEnd w:id="134"/>
      <w:bookmarkEnd w:id="135"/>
      <w:bookmarkEnd w:id="136"/>
    </w:p>
    <w:p w14:paraId="6F42CDE8"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0948448"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0E23191"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3B725EA7"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CA39AB1" w14:textId="77777777" w:rsidR="00623AF8" w:rsidRDefault="00623AF8" w:rsidP="00875DD0">
            <w:pPr>
              <w:spacing w:before="120" w:after="120"/>
              <w:jc w:val="both"/>
              <w:rPr>
                <w:rFonts w:ascii="Aptos" w:hAnsi="Aptos"/>
                <w:sz w:val="22"/>
                <w:szCs w:val="22"/>
              </w:rPr>
            </w:pPr>
            <w:r>
              <w:rPr>
                <w:rFonts w:ascii="Aptos" w:hAnsi="Aptos"/>
                <w:sz w:val="22"/>
                <w:szCs w:val="22"/>
              </w:rPr>
              <w:t>In den letzten Jahren hat sich der Bahnsektor verstärkt auf die Integration von Elektrifizierungstechnologien fokussiert, um sowohl ökologische als auch wirtschaftliche Vorteile zu erzielen. Strategien hin zur vollständigen Elektrifizierung stehen im Einklang mit den Bemühungen, die CO</w:t>
            </w:r>
            <w:r>
              <w:rPr>
                <w:rFonts w:ascii="Aptos" w:hAnsi="Aptos"/>
                <w:sz w:val="22"/>
                <w:szCs w:val="22"/>
                <w:vertAlign w:val="subscript"/>
              </w:rPr>
              <w:t>2</w:t>
            </w:r>
            <w:r>
              <w:rPr>
                <w:rFonts w:ascii="Aptos" w:hAnsi="Aptos"/>
                <w:sz w:val="22"/>
                <w:szCs w:val="22"/>
              </w:rPr>
              <w:t xml:space="preserve">-Emissionen zu reduzieren und die Luftqualität zu verbessern. In der Energiepreiskrise zeigte sich jedoch, dass die Preisbildung am Strommarkt zusammen mit der Notwendigkeit, für die Bahnunternehmen langfristige Beschaffungsstrategien umzusetzen, eine Reihe von Herausforderungen in Bezug auf die Sicherstellung einer stabilen und erschwinglichen Stromversorgung mit sich bringt. </w:t>
            </w:r>
            <w:r>
              <w:rPr>
                <w:rFonts w:ascii="Aptos" w:hAnsi="Aptos"/>
                <w:b/>
                <w:bCs/>
                <w:sz w:val="22"/>
                <w:szCs w:val="22"/>
              </w:rPr>
              <w:t>Welche konkreten Pläne und Strategien werden daher von Ihnen angedacht, um ein kostengünstiges und stabiles Strompreisniveau für den Bahnsektor langfristig zu gewährleisten?</w:t>
            </w:r>
          </w:p>
        </w:tc>
      </w:tr>
      <w:tr w:rsidR="00623AF8" w14:paraId="5606B2E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DA60B27"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312258B6"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A09482A"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Wie planen Sie sicherzustellen, dass Personen- und Güterverkehr für Endverbraucher:innen sowohl erschwinglich UND ökologisch und sozial nachhaltig bleiben?</w:t>
            </w:r>
          </w:p>
        </w:tc>
      </w:tr>
    </w:tbl>
    <w:p w14:paraId="0DB215B6"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4EE3D484" w14:textId="77777777" w:rsidTr="00875DD0">
        <w:tc>
          <w:tcPr>
            <w:tcW w:w="9060" w:type="dxa"/>
            <w:shd w:val="clear" w:color="auto" w:fill="D9D9D9" w:themeFill="background1" w:themeFillShade="D9"/>
            <w:hideMark/>
          </w:tcPr>
          <w:p w14:paraId="03F7A78F"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55CB54E" w14:textId="77777777" w:rsidR="00623AF8" w:rsidRDefault="00623AF8" w:rsidP="00623AF8">
      <w:pPr>
        <w:spacing w:after="120"/>
        <w:jc w:val="both"/>
        <w:rPr>
          <w:rFonts w:ascii="Aptos" w:eastAsia="Times New Roman" w:hAnsi="Aptos" w:cs="Times New Roman"/>
          <w:sz w:val="22"/>
          <w:szCs w:val="22"/>
          <w:lang w:eastAsia="de-AT"/>
        </w:rPr>
      </w:pPr>
      <w:r>
        <w:rPr>
          <w:rFonts w:ascii="Aptos" w:hAnsi="Aptos"/>
          <w:sz w:val="22"/>
          <w:szCs w:val="22"/>
        </w:rPr>
        <w:t xml:space="preserve">Die stark angestiegenen Strompreise der letzten Jahre schwächten die Konkurrenzfähigkeit der Schiene im Vergleich zur Straße massiv, da die Dieselpreise bei weitem nicht im gleichen Ausmaß stiegen. Dadurch kam es vor allem im Güterverkehr zu einer Verlagerung des Verkehrs hin zur Straße, entgegengesetzt der Intention der Mobilitätsstrategie. </w:t>
      </w:r>
      <w:r>
        <w:rPr>
          <w:rFonts w:ascii="Aptos" w:eastAsia="Times New Roman" w:hAnsi="Aptos" w:cs="Times New Roman"/>
          <w:sz w:val="22"/>
          <w:szCs w:val="22"/>
          <w:lang w:eastAsia="de-AT"/>
        </w:rPr>
        <w:t>Herausforderungen betreffen insbesondere die Sicherstellung einer stabilen und erschwinglichen Stromversorgung, die entscheidend für die Wettbewerbsfähigkeit und Nachhaltigkeit des Bahnsektors ist.</w:t>
      </w:r>
      <w:r>
        <w:rPr>
          <w:rFonts w:ascii="Aptos" w:hAnsi="Aptos"/>
          <w:sz w:val="22"/>
          <w:szCs w:val="22"/>
        </w:rPr>
        <w:t xml:space="preserve"> </w:t>
      </w:r>
      <w:r>
        <w:rPr>
          <w:rFonts w:ascii="Aptos" w:eastAsia="Times New Roman" w:hAnsi="Aptos" w:cs="Times New Roman"/>
          <w:sz w:val="22"/>
          <w:szCs w:val="22"/>
          <w:lang w:eastAsia="de-AT"/>
        </w:rPr>
        <w:t xml:space="preserve">Wichtig wäre es, Preisschwankungen am Strommarkt abzufedern und Bahnunternehmen mehr Planungssicherheit zu geben. </w:t>
      </w:r>
    </w:p>
    <w:p w14:paraId="20A433A6" w14:textId="77777777" w:rsidR="00623AF8" w:rsidRDefault="00623AF8" w:rsidP="00623AF8">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 xml:space="preserve">Um sicherzustellen, dass der Personen- und Güterverkehr sowohl erschwinglich als auch ökologisch und sozial nachhaltig bleibt, sind gezielte Maßnahmen auf mehreren Ebenen erforderlich. Mehr Investitionen in die Infrastruktur des Bahnsektors in Begleitung einer überlegten Preispolitik würden helfen, die Attraktivität des Bahnverkehrs zu erhöhen und die finanzielle Belastung zu minimieren. Den Bahnsektor gleichzeitig erschwinglich und gleichzeitig ökologisch zu gestalten, ermöglicht die Besten Vorteile für eine klimafreundliche Entwicklung, eine finanzielle Entlastung des Bahnsektors und ebenfalls eine vermehrte Nutzung von Bahnfahrer:innen. </w:t>
      </w:r>
    </w:p>
    <w:p w14:paraId="565E37A0" w14:textId="77777777" w:rsidR="00623AF8" w:rsidRDefault="00623AF8" w:rsidP="00623AF8">
      <w:pPr>
        <w:rPr>
          <w:rFonts w:ascii="Aptos" w:hAnsi="Aptos"/>
          <w:bCs/>
          <w:sz w:val="22"/>
          <w:szCs w:val="22"/>
        </w:rPr>
      </w:pPr>
      <w:r>
        <w:rPr>
          <w:rFonts w:ascii="Aptos" w:hAnsi="Aptos"/>
          <w:bCs/>
          <w:sz w:val="22"/>
          <w:szCs w:val="22"/>
        </w:rPr>
        <w:br w:type="page"/>
      </w:r>
    </w:p>
    <w:p w14:paraId="7788EA89" w14:textId="77777777" w:rsidR="00623AF8" w:rsidRDefault="00623AF8" w:rsidP="00623AF8">
      <w:pPr>
        <w:rPr>
          <w:rFonts w:ascii="Aptos" w:hAnsi="Aptos"/>
          <w:bCs/>
          <w:sz w:val="22"/>
          <w:szCs w:val="22"/>
        </w:rPr>
      </w:pPr>
    </w:p>
    <w:p w14:paraId="5A9A7BCF" w14:textId="77777777" w:rsidR="00623AF8" w:rsidRDefault="00623AF8" w:rsidP="00623AF8">
      <w:pPr>
        <w:pStyle w:val="berschrift1"/>
        <w:rPr>
          <w:rFonts w:ascii="Aptos" w:hAnsi="Aptos"/>
        </w:rPr>
      </w:pPr>
      <w:bookmarkStart w:id="137" w:name="_Toc165540438"/>
      <w:bookmarkStart w:id="138" w:name="_Toc170294907"/>
      <w:bookmarkStart w:id="139" w:name="_Toc170983685"/>
      <w:r>
        <w:rPr>
          <w:rFonts w:ascii="Aptos" w:hAnsi="Aptos"/>
        </w:rPr>
        <w:t>Modellideen für regulierte Energiegrundversorgung benachteiligter Bevölkerungsgruppen</w:t>
      </w:r>
      <w:bookmarkEnd w:id="137"/>
      <w:bookmarkEnd w:id="138"/>
      <w:bookmarkEnd w:id="139"/>
    </w:p>
    <w:p w14:paraId="738C9FB8"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86D1313"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4D848C8"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32508999"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B818176"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Sicherstellung einer regulierten Energiegrundversorgung für benachteiligte Bevölkerungsgruppen ist von entscheidender Bedeutung, um soziale Gerechtigkeit und Chancengleichheit zu gewährleisten. Angesichts der steigenden Energiepreise und der wachsenden Einkommensungleichheit stehen Regierungen vor der Herausforderung, Lösungen zu finden, die sicherstellen, dass auch die am stärksten gefährdeten Bevölkerungsgruppen Zugang zu erschwinglicher Energie haben. </w:t>
            </w:r>
            <w:r>
              <w:rPr>
                <w:rFonts w:ascii="Aptos" w:hAnsi="Aptos"/>
                <w:b/>
                <w:bCs/>
                <w:sz w:val="22"/>
                <w:szCs w:val="22"/>
              </w:rPr>
              <w:t>Welche Modellideen planen Sie, um eine regulierte Grundversorgung für benachteiligte Bevölkerungsgruppen sicherzustellen?</w:t>
            </w:r>
          </w:p>
        </w:tc>
      </w:tr>
      <w:tr w:rsidR="00623AF8" w14:paraId="72DBEA5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6BB84A1"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038EC4B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9BA850A"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171CC871"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7B7C28D2" w14:textId="77777777" w:rsidTr="00875DD0">
        <w:tc>
          <w:tcPr>
            <w:tcW w:w="9060" w:type="dxa"/>
            <w:shd w:val="clear" w:color="auto" w:fill="D9D9D9" w:themeFill="background1" w:themeFillShade="D9"/>
            <w:hideMark/>
          </w:tcPr>
          <w:p w14:paraId="4642607B"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6536EDD5" w14:textId="77777777" w:rsidR="00623AF8" w:rsidRDefault="00623AF8" w:rsidP="00623AF8">
      <w:pPr>
        <w:pStyle w:val="StandardWeb"/>
        <w:spacing w:before="0" w:beforeAutospacing="0"/>
        <w:jc w:val="both"/>
        <w:rPr>
          <w:rFonts w:ascii="Aptos" w:hAnsi="Aptos"/>
          <w:sz w:val="22"/>
          <w:szCs w:val="22"/>
        </w:rPr>
      </w:pPr>
      <w:r>
        <w:rPr>
          <w:rFonts w:ascii="Aptos" w:hAnsi="Aptos"/>
          <w:sz w:val="22"/>
          <w:szCs w:val="22"/>
        </w:rPr>
        <w:t>Die Sicherstellung einer regulierten Grundversorgung für benachteiligte Bevölkerungsgruppen ist von entscheidender Bedeutung für soziale Gerechtigkeit und gesellschaftlichen Zusammenhalt. Energie ist ein grundlegendes Bedürfnis, das für das tägliche Leben, die Gesundheit und das Wohlbefinden unerlässlich ist. Ohne bezahlbaren Zugang zu Energie können benachteiligte Bevölkerungsgruppen in eine prekäre Lage geraten, was zu Energiearmut führt.</w:t>
      </w:r>
    </w:p>
    <w:p w14:paraId="074EF3CD" w14:textId="77777777" w:rsidR="00623AF8" w:rsidRDefault="00623AF8" w:rsidP="00623AF8">
      <w:pPr>
        <w:pStyle w:val="StandardWeb"/>
        <w:jc w:val="both"/>
        <w:rPr>
          <w:rFonts w:ascii="Aptos" w:hAnsi="Aptos"/>
          <w:sz w:val="22"/>
          <w:szCs w:val="22"/>
        </w:rPr>
      </w:pPr>
      <w:r>
        <w:rPr>
          <w:rFonts w:ascii="Aptos" w:hAnsi="Aptos"/>
          <w:sz w:val="22"/>
          <w:szCs w:val="22"/>
        </w:rPr>
        <w:t>Energiearmut hat schwerwiegende Konsequenzen. Haushalte, die sich keine ausreichende Beheizung oder Kühlung leisten können, sind gesundheitlichen Risiken ausgesetzt, insbesondere ältere Menschen, Kinder und Personen mit chronischen Krankheiten. Kalte Wohnungen können zu Atemwegserkrankungen, Herz-Kreislauf-Problemen und anderen gesundheitlichen Beeinträchtigungen führen. Eine regulierte Grundversorgung stellt sicher, dass auch diese Bevölkerungsgruppen Zugang zu notwendiger Energie haben und ihre Grundbedürfnisse erfüllen können.</w:t>
      </w:r>
    </w:p>
    <w:p w14:paraId="7AEBB6C4" w14:textId="77777777" w:rsidR="00623AF8" w:rsidRDefault="00623AF8" w:rsidP="00623AF8">
      <w:pPr>
        <w:pStyle w:val="StandardWeb"/>
        <w:jc w:val="both"/>
        <w:rPr>
          <w:rFonts w:ascii="Aptos" w:hAnsi="Aptos"/>
          <w:sz w:val="22"/>
          <w:szCs w:val="22"/>
        </w:rPr>
      </w:pPr>
      <w:r>
        <w:rPr>
          <w:rFonts w:ascii="Aptos" w:hAnsi="Aptos"/>
          <w:sz w:val="22"/>
          <w:szCs w:val="22"/>
        </w:rPr>
        <w:t>Darüber hinaus trägt eine regulierte Grundversorgung zur Reduzierung sozialer Ungleichheit bei. Wenn der Zugang zu Energie ungleich verteilt ist, können benachteiligte Gruppen weiter marginalisiert werden, was zu einem Kreislauf der Armut führt. Eine faire und gerechte Energieversorgung ermöglicht es diesen Gruppen, aktiv am gesellschaftlichen Leben teilzunehmen, Bildungs- und Arbeitschancen wahrzunehmen und ihre Lebensqualität zu verbessern. In vielen Ländern haben die neuesten Energiepreiskrisen die wirtschaftliche Belastung von Haushalten erhöht, insbesondere für diejenigen mit niedrigem Einkommen. Daher werden Modellprojekte zur Sicherstellung einer regulierten Energiegrundversorgung für benachteiligte Bevölkerungsgruppen benötigt, um sicherzustellen, dass sie im Energieverbrauch nicht deutlich benachteiligter sind als einkommensstärkere Gruppen.</w:t>
      </w:r>
      <w:r>
        <w:rPr>
          <w:rFonts w:ascii="Aptos" w:hAnsi="Aptos"/>
          <w:bCs/>
          <w:iCs/>
          <w:sz w:val="22"/>
          <w:szCs w:val="22"/>
        </w:rPr>
        <w:br w:type="page"/>
      </w:r>
    </w:p>
    <w:p w14:paraId="3FCF7F5B" w14:textId="77777777" w:rsidR="00623AF8" w:rsidRDefault="00623AF8" w:rsidP="00623AF8">
      <w:pPr>
        <w:pStyle w:val="berschrift1"/>
        <w:rPr>
          <w:rFonts w:ascii="Aptos" w:hAnsi="Aptos"/>
        </w:rPr>
      </w:pPr>
    </w:p>
    <w:p w14:paraId="16558D2B" w14:textId="77777777" w:rsidR="00623AF8" w:rsidRDefault="00623AF8" w:rsidP="00623AF8">
      <w:pPr>
        <w:pStyle w:val="berschrift1"/>
        <w:rPr>
          <w:rFonts w:ascii="Aptos" w:hAnsi="Aptos"/>
        </w:rPr>
      </w:pPr>
      <w:bookmarkStart w:id="140" w:name="_Toc165540439"/>
      <w:bookmarkStart w:id="141" w:name="_Toc170294908"/>
      <w:bookmarkStart w:id="142" w:name="_Toc170983686"/>
      <w:r>
        <w:rPr>
          <w:rFonts w:ascii="Aptos" w:hAnsi="Aptos"/>
        </w:rPr>
        <w:t>Einheitliche, europäische Definition von Energiearmut</w:t>
      </w:r>
      <w:bookmarkEnd w:id="140"/>
      <w:bookmarkEnd w:id="141"/>
      <w:bookmarkEnd w:id="142"/>
    </w:p>
    <w:p w14:paraId="6B156C8E"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4D0B87B"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F27DCC"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3ACAF837"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641F118" w14:textId="77777777" w:rsidR="00623AF8" w:rsidRDefault="00623AF8" w:rsidP="00875DD0">
            <w:pPr>
              <w:spacing w:before="120" w:after="120"/>
              <w:jc w:val="both"/>
              <w:rPr>
                <w:rFonts w:ascii="Aptos" w:hAnsi="Aptos"/>
                <w:sz w:val="22"/>
                <w:szCs w:val="22"/>
              </w:rPr>
            </w:pPr>
            <w:r>
              <w:rPr>
                <w:rFonts w:ascii="Aptos" w:hAnsi="Aptos"/>
                <w:sz w:val="22"/>
                <w:szCs w:val="22"/>
              </w:rPr>
              <w:t xml:space="preserve">Europa steht vor der Herausforderung, Energiearmut auf kontinentaler Ebene anzugehen, eine komplexe Problematik, die eine einheitliche Definition erfordert. Angesichts der Vielfalt der nationalen Kontexte und der unterschiedlichen sozioökonomischen Bedingungen innerhalb der EU ist eine kohärente Herangehensweise unerlässlich. </w:t>
            </w:r>
            <w:r>
              <w:rPr>
                <w:rFonts w:ascii="Aptos" w:hAnsi="Aptos"/>
                <w:b/>
                <w:bCs/>
                <w:sz w:val="22"/>
                <w:szCs w:val="22"/>
              </w:rPr>
              <w:t>Planen Sie eine europäisch einheitliche Definition von Energiearmut und wenn ja, bis wann sollen diese Pläne ausgestaltet werden?</w:t>
            </w:r>
          </w:p>
        </w:tc>
      </w:tr>
      <w:tr w:rsidR="00623AF8" w14:paraId="1DA03DDE"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7A12F4C"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64AF0948"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7723D86"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2A03F390"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43F412AC" w14:textId="77777777" w:rsidTr="00875DD0">
        <w:tc>
          <w:tcPr>
            <w:tcW w:w="9060" w:type="dxa"/>
            <w:shd w:val="clear" w:color="auto" w:fill="D9D9D9" w:themeFill="background1" w:themeFillShade="D9"/>
            <w:hideMark/>
          </w:tcPr>
          <w:p w14:paraId="74A39E12"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057D2D53" w14:textId="77777777" w:rsidR="00623AF8" w:rsidRDefault="00623AF8" w:rsidP="00623AF8">
      <w:pPr>
        <w:spacing w:after="120"/>
        <w:jc w:val="both"/>
        <w:rPr>
          <w:rFonts w:ascii="Aptos" w:hAnsi="Aptos"/>
          <w:sz w:val="22"/>
          <w:szCs w:val="22"/>
          <w:shd w:val="clear" w:color="auto" w:fill="FFFFFF"/>
        </w:rPr>
      </w:pPr>
      <w:r>
        <w:rPr>
          <w:rFonts w:ascii="Aptos" w:hAnsi="Aptos"/>
          <w:sz w:val="22"/>
          <w:szCs w:val="22"/>
          <w:shd w:val="clear" w:color="auto" w:fill="FFFFFF"/>
        </w:rPr>
        <w:t>Energiearmut wird als Zustand beschrieben, in dem Haushalte sich grundlegende Energiedienstleistungen wie Heizung, Kühlung, Licht, Mobilität und Strom nicht leisten können aufgrund eines geringen Einkommens, hohen Energiekosten oder niedrigen Energiestandards der Gebäude. Der Kampf gegen Energiearmut ist dementsprechend eine Querschnittsaufgabe und betrifft unterschiedliche Politikfelder.</w:t>
      </w:r>
    </w:p>
    <w:p w14:paraId="2E407EA7" w14:textId="77777777" w:rsidR="00623AF8" w:rsidRDefault="00623AF8" w:rsidP="00623AF8">
      <w:pPr>
        <w:spacing w:after="120"/>
        <w:jc w:val="both"/>
        <w:rPr>
          <w:rFonts w:ascii="Aptos" w:hAnsi="Aptos"/>
          <w:sz w:val="22"/>
          <w:szCs w:val="22"/>
        </w:rPr>
      </w:pPr>
      <w:r>
        <w:rPr>
          <w:rFonts w:ascii="Aptos" w:hAnsi="Aptos"/>
          <w:sz w:val="22"/>
          <w:szCs w:val="22"/>
        </w:rPr>
        <w:t>Energiearmut wird zu einem immer wichtigeren Thema, da steigende Energiepreise und die Energiewende die finanzielle Belastung für einkommensschwache Haushalte in ganz Europa erhöhen. Gleichzeitig führt die zunehmende Einkommensungleichheit dazu, dass ärmere Haushalte stärker von diesen Belastungen betroffen sind. Angesichts der Bedeutung sozialer Gerechtigkeit und des sozialen Zusammenhalts sollte die EU-Maßnahmen fördern, um eine gerechte, nachhaltige und bezahlbare Energieversorgung für alle sicherzustellen.</w:t>
      </w:r>
    </w:p>
    <w:p w14:paraId="7B479AAA" w14:textId="77777777" w:rsidR="00623AF8" w:rsidRDefault="00623AF8" w:rsidP="00623AF8">
      <w:pPr>
        <w:spacing w:after="120"/>
        <w:jc w:val="both"/>
        <w:rPr>
          <w:rFonts w:ascii="Aptos" w:hAnsi="Aptos"/>
          <w:sz w:val="22"/>
          <w:szCs w:val="22"/>
        </w:rPr>
      </w:pPr>
      <w:r>
        <w:rPr>
          <w:rFonts w:ascii="Aptos" w:hAnsi="Aptos"/>
          <w:sz w:val="22"/>
          <w:szCs w:val="22"/>
        </w:rPr>
        <w:t>Somit wäre eine europäische einheitliche Definition von Energiearmut in dem Sinne sinnvoll, damit mehr einheitliche Entscheidungen in den Mitgliedstaaten getroffen werden und diese auch zusammen mit gleichen Richtwerten arbeiten. Da europäische Definitionen bereits in verschiedenen Bereichen existieren, wie zum Beispiel die Definition von kleinen und -mittleren Unternehmen weit verbreitet ist, würde auch eine Einigung auf Energiearmut dabei helfen, diese besser und koordiniert zu bekämpfen.</w:t>
      </w:r>
    </w:p>
    <w:p w14:paraId="05056F56" w14:textId="77777777" w:rsidR="00623AF8" w:rsidRDefault="00623AF8" w:rsidP="00623AF8">
      <w:pPr>
        <w:rPr>
          <w:rFonts w:ascii="Aptos" w:hAnsi="Aptos"/>
          <w:sz w:val="22"/>
          <w:szCs w:val="22"/>
        </w:rPr>
      </w:pPr>
      <w:r>
        <w:rPr>
          <w:rFonts w:ascii="Aptos" w:hAnsi="Aptos"/>
          <w:sz w:val="22"/>
          <w:szCs w:val="22"/>
        </w:rPr>
        <w:br w:type="page"/>
      </w:r>
    </w:p>
    <w:p w14:paraId="3C8CE838" w14:textId="77777777" w:rsidR="00623AF8" w:rsidRDefault="00623AF8" w:rsidP="00623AF8">
      <w:pPr>
        <w:pStyle w:val="berschrift1"/>
        <w:rPr>
          <w:rFonts w:ascii="Aptos" w:hAnsi="Aptos"/>
        </w:rPr>
      </w:pPr>
    </w:p>
    <w:p w14:paraId="04B58C1B" w14:textId="77777777" w:rsidR="00623AF8" w:rsidRDefault="00623AF8" w:rsidP="00623AF8">
      <w:pPr>
        <w:pStyle w:val="berschrift1"/>
        <w:rPr>
          <w:rFonts w:ascii="Aptos" w:hAnsi="Aptos"/>
        </w:rPr>
      </w:pPr>
      <w:bookmarkStart w:id="143" w:name="_Toc165540440"/>
      <w:bookmarkStart w:id="144" w:name="_Toc170294909"/>
      <w:bookmarkStart w:id="145" w:name="_Toc170983687"/>
      <w:r>
        <w:rPr>
          <w:rFonts w:ascii="Aptos" w:hAnsi="Aptos"/>
        </w:rPr>
        <w:t>Integration von Grund- und Menschenrechten in Energieversorgungsstrategien</w:t>
      </w:r>
      <w:bookmarkEnd w:id="143"/>
      <w:bookmarkEnd w:id="144"/>
      <w:bookmarkEnd w:id="145"/>
    </w:p>
    <w:p w14:paraId="43CCA088"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FD7528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374824"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02745821"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2863A38" w14:textId="77777777" w:rsidR="00623AF8" w:rsidRDefault="00623AF8" w:rsidP="00875DD0">
            <w:pPr>
              <w:spacing w:before="120" w:after="120"/>
              <w:jc w:val="both"/>
              <w:rPr>
                <w:rFonts w:ascii="Aptos" w:hAnsi="Aptos"/>
                <w:sz w:val="22"/>
                <w:szCs w:val="22"/>
              </w:rPr>
            </w:pPr>
            <w:r>
              <w:rPr>
                <w:rFonts w:ascii="Aptos" w:hAnsi="Aptos"/>
                <w:sz w:val="22"/>
                <w:szCs w:val="22"/>
              </w:rPr>
              <w:t xml:space="preserve">Angesichts der aktuellen geopolitischen Dynamiken und der zunehmenden Abhängigkeit vieler Länder von Drittstaaten in der Energieversorgung steht die Notwendigkeit im Raum, Strategien zur Diversifizierung und Reduzierung dieser Abhängigkeit zu entwickeln. Dabei darf jedoch nicht außer Acht gelassen werden, dass solche Maßnahmen im Einklang mit grundlegenden Menschen- und Arbeitsrechten sowie den demokratischen Werten stehen müssen. </w:t>
            </w:r>
            <w:r>
              <w:rPr>
                <w:rFonts w:ascii="Aptos" w:hAnsi="Aptos"/>
                <w:b/>
                <w:bCs/>
                <w:sz w:val="22"/>
                <w:szCs w:val="22"/>
              </w:rPr>
              <w:t>Wie beabsichtigen Sie, die Grund-, Menschen- und Arbeitsrechte sowie die demokratischen Grundwerte in die Planung zur Reduzierung der Abhängigkeit von Drittstaaten in der Energieversorgung zu integrieren?</w:t>
            </w:r>
          </w:p>
        </w:tc>
      </w:tr>
      <w:tr w:rsidR="00623AF8" w14:paraId="09930D3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4659F0A"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34F8537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96DD103"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35A76509"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18192265" w14:textId="77777777" w:rsidTr="00875DD0">
        <w:tc>
          <w:tcPr>
            <w:tcW w:w="9060" w:type="dxa"/>
            <w:shd w:val="clear" w:color="auto" w:fill="D9D9D9" w:themeFill="background1" w:themeFillShade="D9"/>
            <w:hideMark/>
          </w:tcPr>
          <w:p w14:paraId="71DBCB74"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7493CE8" w14:textId="77777777" w:rsidR="00623AF8" w:rsidRDefault="00623AF8" w:rsidP="00623AF8">
      <w:pPr>
        <w:jc w:val="both"/>
        <w:rPr>
          <w:rFonts w:ascii="Aptos" w:hAnsi="Aptos"/>
          <w:sz w:val="22"/>
          <w:szCs w:val="22"/>
        </w:rPr>
      </w:pPr>
      <w:r>
        <w:rPr>
          <w:rFonts w:ascii="Aptos" w:hAnsi="Aptos"/>
          <w:sz w:val="22"/>
          <w:szCs w:val="22"/>
        </w:rPr>
        <w:t>Viele Länder sind im Bereich Energieversorgung von Drittstaaten abhängig, was zu einer Diversifizierung der Energiequellen und der Reduzierung der Abhängigkeit aufruft. Ein Schwerpunkt muss dabei auf der Sicherstellung von Stabilität und Nachhaltigkeit der Energieversorgung liegen, ohne dass dies auf Kosten grundlegender Menschenrechte, Arbeitsrechte und demokratischer Werte geht. Die Europäische Union (EU) verfolgt das Ziel, ihre Energiequellen zu diversifizieren, indem sie sowohl auf erneuerbare Energien als auch auf sicherere und verlässliche Partner setzt, die die gleichen Werte in Bezug auf Demokratie und Menschenrechte teilen. Dies bedeutet auch, dass zukünftige Energieabkommen und -partnerschaften erweitert und geprüft werden sollen, um sicherzustellen, dass sie mit den ethischen Standards und den Werten der EU in Einklang stehen.</w:t>
      </w:r>
    </w:p>
    <w:p w14:paraId="6FB25D4E" w14:textId="77777777" w:rsidR="00623AF8" w:rsidRDefault="00623AF8" w:rsidP="00623AF8">
      <w:pPr>
        <w:pStyle w:val="StandardWeb"/>
        <w:jc w:val="both"/>
        <w:rPr>
          <w:rFonts w:ascii="Aptos" w:hAnsi="Aptos"/>
          <w:sz w:val="22"/>
          <w:szCs w:val="22"/>
        </w:rPr>
      </w:pPr>
      <w:r>
        <w:rPr>
          <w:rFonts w:ascii="Aptos" w:hAnsi="Aptos"/>
          <w:sz w:val="22"/>
          <w:szCs w:val="22"/>
        </w:rPr>
        <w:t xml:space="preserve">Gleichzeitig ist es wichtig, die Arbeitsrechte und sozialen Standards innerhalb der Lieferketten zu schützen und zu fördern. Die EU wird sicherstellen, dass alle Vereinbarungen zur Reduzierung der Energieabhängigkeit menschenwürdige Arbeitsbedingungen garantieren und den internationalen Arbeitsnormen entsprechen. Somit ist eine internationale Zusammenarbeit wichtig, um Energiequellen zu diversifizieren und Abhängigkeitsstrukturen zu reduzieren. </w:t>
      </w:r>
    </w:p>
    <w:p w14:paraId="28B26F0D" w14:textId="77777777" w:rsidR="00623AF8" w:rsidRDefault="00623AF8" w:rsidP="00623AF8">
      <w:pPr>
        <w:rPr>
          <w:rFonts w:ascii="Aptos" w:hAnsi="Aptos"/>
          <w:sz w:val="22"/>
          <w:szCs w:val="22"/>
        </w:rPr>
      </w:pPr>
    </w:p>
    <w:p w14:paraId="605B06FC" w14:textId="77777777" w:rsidR="00623AF8" w:rsidRDefault="00623AF8" w:rsidP="00623AF8">
      <w:pPr>
        <w:rPr>
          <w:rFonts w:ascii="Aptos" w:hAnsi="Aptos"/>
          <w:bCs/>
          <w:sz w:val="22"/>
          <w:szCs w:val="22"/>
        </w:rPr>
      </w:pPr>
      <w:r>
        <w:rPr>
          <w:rFonts w:ascii="Aptos" w:hAnsi="Aptos"/>
          <w:bCs/>
          <w:sz w:val="22"/>
          <w:szCs w:val="22"/>
        </w:rPr>
        <w:br w:type="page"/>
      </w:r>
    </w:p>
    <w:p w14:paraId="1F27D368" w14:textId="77777777" w:rsidR="00623AF8" w:rsidRDefault="00623AF8" w:rsidP="00623AF8">
      <w:pPr>
        <w:pStyle w:val="berschrift1"/>
        <w:rPr>
          <w:rFonts w:ascii="Aptos" w:hAnsi="Aptos"/>
        </w:rPr>
      </w:pPr>
    </w:p>
    <w:p w14:paraId="55E5F8CC" w14:textId="77777777" w:rsidR="00623AF8" w:rsidRDefault="00623AF8" w:rsidP="00623AF8">
      <w:pPr>
        <w:pStyle w:val="berschrift1"/>
        <w:rPr>
          <w:rFonts w:ascii="Aptos" w:hAnsi="Aptos"/>
        </w:rPr>
      </w:pPr>
      <w:bookmarkStart w:id="146" w:name="_Toc165540441"/>
      <w:bookmarkStart w:id="147" w:name="_Toc170294910"/>
      <w:bookmarkStart w:id="148" w:name="_Toc170983688"/>
      <w:r>
        <w:rPr>
          <w:rFonts w:ascii="Aptos" w:hAnsi="Aptos"/>
        </w:rPr>
        <w:t>Versorgungsverpflichtung kleiner Energieversorger</w:t>
      </w:r>
      <w:bookmarkEnd w:id="146"/>
      <w:bookmarkEnd w:id="147"/>
      <w:bookmarkEnd w:id="148"/>
    </w:p>
    <w:p w14:paraId="728696E7"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DC03414"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58123B"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7A580F54"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119ACA85"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den letzten Jahren hat der Verbraucherschutz in der EU eine zunehmende Bedeutung erlangt, insbesondere im Bereich der Energieversorgung. Vor diesem Hintergrund steht die EU-Kommission vor der Herausforderung, die Rechte und Interessen der Verbraucher zu stärken, während sie gleichzeitig den Wettbewerb auf dem Energiemarkt fördert. Angesichts der Dominanz großer Energieversorger ist es jedoch auch wichtig, kleinere Akteure in die Pflicht zu nehmen, um eine gerechtere und vielfältigere Versorgung zu gewährleisten. </w:t>
            </w:r>
            <w:r>
              <w:rPr>
                <w:rFonts w:ascii="Aptos" w:hAnsi="Aptos"/>
                <w:b/>
                <w:bCs/>
                <w:sz w:val="22"/>
                <w:szCs w:val="22"/>
              </w:rPr>
              <w:t>Welche Maßnahmen planen Sie, um den Verbraucherschutz zu stärken und auch kleinere Energieversorger zur Verpflichtung der Versorgung heranzuziehen?</w:t>
            </w:r>
          </w:p>
        </w:tc>
      </w:tr>
      <w:tr w:rsidR="00623AF8" w14:paraId="018D196D"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F510081"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4F57A341"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1D1525CB"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701ED707"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3B7936A6" w14:textId="77777777" w:rsidTr="00875DD0">
        <w:tc>
          <w:tcPr>
            <w:tcW w:w="9060" w:type="dxa"/>
            <w:shd w:val="clear" w:color="auto" w:fill="D9D9D9" w:themeFill="background1" w:themeFillShade="D9"/>
            <w:hideMark/>
          </w:tcPr>
          <w:p w14:paraId="6A2C2AF7"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34324DE1" w14:textId="77777777" w:rsidR="00623AF8" w:rsidRDefault="00623AF8" w:rsidP="00623AF8">
      <w:pPr>
        <w:spacing w:after="100" w:afterAutospacing="1"/>
        <w:jc w:val="both"/>
        <w:rPr>
          <w:rFonts w:ascii="Aptos" w:eastAsia="Times New Roman" w:hAnsi="Aptos" w:cs="Times New Roman"/>
          <w:color w:val="000000"/>
          <w:sz w:val="22"/>
          <w:szCs w:val="22"/>
          <w:lang w:eastAsia="de-DE"/>
        </w:rPr>
      </w:pPr>
      <w:r>
        <w:rPr>
          <w:rFonts w:ascii="Aptos" w:eastAsia="Times New Roman" w:hAnsi="Aptos" w:cs="Times New Roman"/>
          <w:color w:val="000000"/>
          <w:sz w:val="22"/>
          <w:szCs w:val="22"/>
          <w:lang w:eastAsia="de-DE"/>
        </w:rPr>
        <w:t>Die EU-Kommission hat erkannt, dass Verbraucher vor unfairen Praktiken geschützt und ihre Rechte gestärkt werden müssen, insbesondere angesichts steigender Energiepreise und des Wettbewerbs zwischen kleinen und großen Energieversorgern. Eine zentrale Herausforderung besteht darin, einen ausgewogenen Ansatz zu finden, der die Interessen der Verbraucher schützt und gleichzeitig den Wettbewerb auf dem Energiemarkt fördert. Es ist von entscheidender Bedeutung, dass auch kleinere Energieversorger sich verpflichten, eine gerechte und vielfältige Versorgung sicherzustellen.</w:t>
      </w:r>
    </w:p>
    <w:p w14:paraId="08E286D6" w14:textId="77777777" w:rsidR="00623AF8" w:rsidRDefault="00623AF8" w:rsidP="00623AF8">
      <w:pPr>
        <w:spacing w:before="100" w:beforeAutospacing="1" w:after="100" w:afterAutospacing="1"/>
        <w:jc w:val="both"/>
        <w:rPr>
          <w:rFonts w:ascii="Aptos" w:eastAsia="Times New Roman" w:hAnsi="Aptos" w:cs="Times New Roman"/>
          <w:color w:val="000000"/>
          <w:sz w:val="22"/>
          <w:szCs w:val="22"/>
          <w:lang w:eastAsia="de-DE"/>
        </w:rPr>
      </w:pPr>
      <w:r>
        <w:rPr>
          <w:rFonts w:ascii="Aptos" w:eastAsia="Times New Roman" w:hAnsi="Aptos" w:cs="Times New Roman"/>
          <w:color w:val="000000"/>
          <w:sz w:val="22"/>
          <w:szCs w:val="22"/>
          <w:lang w:eastAsia="de-DE"/>
        </w:rPr>
        <w:t>Während der Energiekrise 2022 konnten viele kleinere Versorger die zuvor angegebenen Preise nicht halten. Die Folge war, dass zahlreiche dieser Versorger insolvent wurden und ihre Kunden nicht mehr zuverlässig beliefern konnten. Dies führte zu erheblichen Unsicherheiten und Belastungen für die Verbraucher. Das Grundproblem kleinerer Versorger liegt häufig in ihrem begrenzten Kapital, das als Rücklage für Krisenzeiten dient. Wenn diese finanziellen Puffer fehlen, können wirtschaftliche Probleme kleinerer Versorger direkt zur Belastung für die Endverbraucher werden.</w:t>
      </w:r>
    </w:p>
    <w:p w14:paraId="755B67E7" w14:textId="77777777" w:rsidR="00623AF8" w:rsidRDefault="00623AF8" w:rsidP="00623AF8">
      <w:pPr>
        <w:spacing w:before="100" w:beforeAutospacing="1" w:after="100" w:afterAutospacing="1"/>
        <w:jc w:val="both"/>
        <w:rPr>
          <w:rFonts w:ascii="Aptos" w:eastAsia="Times New Roman" w:hAnsi="Aptos" w:cs="Times New Roman"/>
          <w:color w:val="000000"/>
          <w:sz w:val="22"/>
          <w:szCs w:val="22"/>
          <w:lang w:eastAsia="de-DE"/>
        </w:rPr>
      </w:pPr>
      <w:r>
        <w:rPr>
          <w:rFonts w:ascii="Aptos" w:eastAsia="Times New Roman" w:hAnsi="Aptos" w:cs="Times New Roman"/>
          <w:color w:val="000000"/>
          <w:sz w:val="22"/>
          <w:szCs w:val="22"/>
          <w:lang w:eastAsia="de-DE"/>
        </w:rPr>
        <w:t>Die Einbindung kleinerer Energieversorger in die Verpflichtung zur Versorgung kann die Versorgungssicherheit der Verbraucher erheblich verbessern. Durch die Verpflichtung zur Versorgung wird sichergestellt, dass auch bei Marktvolatilitäten eine stabile und kontinuierliche Energieversorgung gewährleistet ist. Dies stärkt das Vertrauen der Verbraucher und schützt sie vor den Auswirkungen von Insolvenzen und unzuverlässigen Lieferungen. Insgesamt führt dies zu einer robusteren und sichereren Energieinfrastruktur.</w:t>
      </w:r>
    </w:p>
    <w:p w14:paraId="4EADF08B" w14:textId="77777777" w:rsidR="00623AF8" w:rsidRDefault="00623AF8" w:rsidP="00623AF8">
      <w:pPr>
        <w:jc w:val="both"/>
        <w:rPr>
          <w:rFonts w:ascii="Aptos" w:hAnsi="Aptos"/>
          <w:bCs/>
          <w:sz w:val="22"/>
          <w:szCs w:val="22"/>
        </w:rPr>
      </w:pPr>
      <w:r>
        <w:rPr>
          <w:rFonts w:ascii="Aptos" w:hAnsi="Aptos"/>
          <w:bCs/>
          <w:sz w:val="22"/>
          <w:szCs w:val="22"/>
        </w:rPr>
        <w:br w:type="page"/>
      </w:r>
    </w:p>
    <w:p w14:paraId="01F1E66E" w14:textId="77777777" w:rsidR="00623AF8" w:rsidRDefault="00623AF8" w:rsidP="00623AF8">
      <w:pPr>
        <w:spacing w:after="120"/>
        <w:jc w:val="both"/>
        <w:rPr>
          <w:rFonts w:ascii="Aptos" w:hAnsi="Aptos"/>
          <w:bCs/>
          <w:iCs/>
          <w:sz w:val="22"/>
          <w:szCs w:val="22"/>
        </w:rPr>
      </w:pPr>
    </w:p>
    <w:p w14:paraId="3821CCF3" w14:textId="77777777" w:rsidR="00623AF8" w:rsidRDefault="00623AF8" w:rsidP="00623AF8">
      <w:pPr>
        <w:pStyle w:val="berschrift1"/>
        <w:rPr>
          <w:rFonts w:ascii="Aptos" w:hAnsi="Aptos"/>
        </w:rPr>
      </w:pPr>
    </w:p>
    <w:p w14:paraId="03C04898" w14:textId="77777777" w:rsidR="00623AF8" w:rsidRDefault="00623AF8" w:rsidP="00623AF8">
      <w:pPr>
        <w:pStyle w:val="berschrift1"/>
        <w:rPr>
          <w:rFonts w:ascii="Aptos" w:hAnsi="Aptos"/>
        </w:rPr>
      </w:pPr>
      <w:bookmarkStart w:id="149" w:name="_Toc165540442"/>
      <w:bookmarkStart w:id="150" w:name="_Toc170294911"/>
      <w:bookmarkStart w:id="151" w:name="_Toc170983689"/>
      <w:r>
        <w:rPr>
          <w:rFonts w:ascii="Aptos" w:hAnsi="Aptos"/>
        </w:rPr>
        <w:t>Maßnahmen zur Vermeidung von Spekulationen gegen den europäischen Energiehandel</w:t>
      </w:r>
      <w:bookmarkEnd w:id="149"/>
      <w:bookmarkEnd w:id="150"/>
      <w:bookmarkEnd w:id="151"/>
    </w:p>
    <w:p w14:paraId="02ADB030"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79728F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C4CC10E"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3855A6BC"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D0AF494"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Spekulationen gegen den Energiehandel führen zu Preisschwankungen auf dem Energiemarkt, was die Stabilität beeinträchtigt und potenziell zu Engpässen führt. Die Investitionsbereitschaft und die Möglichkeit zur langfristigen Planung leiden unter den volatilen Preisen. Darüber hinaus könnten sie Investitionen in weniger nachhaltige Energiequellen lenken und politische Reaktionen wie Preisregulierungen auslösen, die langfristig die Effizienz des Marktes beeinträchtigen könnten. Vor dem Hintergrund der jüngsten Entwicklungen auf den Energiemärkten und der zunehmenden Volatilität der Preise stellt dies ein zentrales Anliegen dar. </w:t>
            </w:r>
            <w:r>
              <w:rPr>
                <w:rFonts w:ascii="Aptos" w:hAnsi="Aptos"/>
                <w:b/>
                <w:bCs/>
                <w:sz w:val="22"/>
                <w:szCs w:val="22"/>
              </w:rPr>
              <w:t>Welche Maßnahmen planen Sie, um Spekulationen gegen den europäischen Energiehandel zu unterbinden und die Versorgungssicherheit zu gewährleisten?</w:t>
            </w:r>
          </w:p>
        </w:tc>
      </w:tr>
      <w:tr w:rsidR="00623AF8" w14:paraId="608DD5AE"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8EA5363"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305A1642"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C4B5073"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0B14AA96" w14:textId="77777777" w:rsidR="00623AF8" w:rsidRDefault="00623AF8" w:rsidP="00623AF8">
      <w:pPr>
        <w:spacing w:after="120"/>
        <w:jc w:val="both"/>
        <w:rPr>
          <w:rFonts w:ascii="Aptos" w:hAnsi="Aptos"/>
          <w:i/>
          <w:iCs/>
          <w:sz w:val="22"/>
          <w:szCs w:val="22"/>
          <w:u w:val="single"/>
        </w:rPr>
      </w:pPr>
    </w:p>
    <w:p w14:paraId="32E0F058"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303200B" w14:textId="77777777" w:rsidTr="00875DD0">
        <w:tc>
          <w:tcPr>
            <w:tcW w:w="9060" w:type="dxa"/>
            <w:shd w:val="clear" w:color="auto" w:fill="D9D9D9" w:themeFill="background1" w:themeFillShade="D9"/>
            <w:hideMark/>
          </w:tcPr>
          <w:p w14:paraId="7A712E1E"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09F13C9C" w14:textId="77777777" w:rsidR="00623AF8" w:rsidRDefault="00623AF8" w:rsidP="00623AF8">
      <w:pPr>
        <w:spacing w:after="100" w:afterAutospacing="1"/>
        <w:jc w:val="both"/>
        <w:rPr>
          <w:rFonts w:ascii="Aptos" w:eastAsia="Times New Roman" w:hAnsi="Aptos" w:cs="Times New Roman"/>
          <w:color w:val="000000"/>
          <w:sz w:val="22"/>
          <w:szCs w:val="22"/>
          <w:lang w:eastAsia="de-DE"/>
        </w:rPr>
      </w:pPr>
      <w:r>
        <w:rPr>
          <w:rFonts w:ascii="Aptos" w:eastAsia="Times New Roman" w:hAnsi="Aptos" w:cs="Times New Roman"/>
          <w:color w:val="000000"/>
          <w:sz w:val="22"/>
          <w:szCs w:val="22"/>
          <w:lang w:eastAsia="de-DE"/>
        </w:rPr>
        <w:t>Es ist von großer Bedeutung, Spekulationen gegen den europäischen Energiehandel zu unterbinden, um die Stabilität und Zuverlässigkeit der Energieversorgung zu gewährleisten. Spekulationen können zu extremen Preisschwankungen führen, die sowohl Verbraucher als auch Unternehmen stark belasten. Während der Energiekrise in den Jahren 2022 und 2023 wurde deutlich, wie empfindlich der Energiemarkt auf spekulative Aktivitäten reagieren kann. Diese Krise führte zu drastisch steigenden Energiepreisen, die zahlreiche Haushalte und Unternehmen finanziell in Bedrängnis brachten.</w:t>
      </w:r>
    </w:p>
    <w:p w14:paraId="06AEF4C2" w14:textId="77777777" w:rsidR="00623AF8" w:rsidRDefault="00623AF8" w:rsidP="00623AF8">
      <w:pPr>
        <w:spacing w:before="100" w:beforeAutospacing="1" w:after="100" w:afterAutospacing="1"/>
        <w:jc w:val="both"/>
        <w:rPr>
          <w:rFonts w:ascii="Aptos" w:eastAsia="Times New Roman" w:hAnsi="Aptos" w:cs="Times New Roman"/>
          <w:color w:val="000000"/>
          <w:sz w:val="22"/>
          <w:szCs w:val="22"/>
          <w:lang w:eastAsia="de-DE"/>
        </w:rPr>
      </w:pPr>
      <w:r>
        <w:rPr>
          <w:rFonts w:ascii="Aptos" w:eastAsia="Times New Roman" w:hAnsi="Aptos" w:cs="Times New Roman"/>
          <w:color w:val="000000"/>
          <w:sz w:val="22"/>
          <w:szCs w:val="22"/>
          <w:lang w:eastAsia="de-DE"/>
        </w:rPr>
        <w:t>Die Energiekrise zeigte auch, dass übermäßige Spekulationen das Vertrauen in den Energiemarkt untergraben können. Wenn Energiepreise durch spekulative Aktivitäten künstlich in die Höhe getrieben werden, können die tatsächlichen Marktbedingungen verzerrt werden, was zu Fehlentscheidungen bei Investitionen und Planung führt. Dies erschwert die langfristige Sicherstellung einer stabilen Energieversorgung und kann die Umsetzung der Energiewende behindern.</w:t>
      </w:r>
    </w:p>
    <w:p w14:paraId="00F05FEB" w14:textId="77777777" w:rsidR="00623AF8" w:rsidRDefault="00623AF8" w:rsidP="00623AF8">
      <w:pPr>
        <w:spacing w:before="100" w:beforeAutospacing="1" w:after="100" w:afterAutospacing="1"/>
        <w:jc w:val="both"/>
        <w:rPr>
          <w:rFonts w:ascii="Aptos" w:hAnsi="Aptos"/>
          <w:bCs/>
          <w:sz w:val="22"/>
          <w:szCs w:val="22"/>
        </w:rPr>
      </w:pPr>
      <w:r>
        <w:rPr>
          <w:rFonts w:ascii="Aptos" w:eastAsia="Times New Roman" w:hAnsi="Aptos" w:cs="Times New Roman"/>
          <w:color w:val="000000"/>
          <w:sz w:val="22"/>
          <w:szCs w:val="22"/>
          <w:lang w:eastAsia="de-DE"/>
        </w:rPr>
        <w:t>Durch die Unterbindung von Spekulationen wird der Markt transparenter und vorhersehbarer, was sowohl Investoren als auch Verbraucher schützt. Regulatorische Maßnahmen, die auf die Begrenzung spekulativer Aktivitäten abzielen, können dazu beitragen, die Marktstabilität zu erhöhen und das Risiko extremer Preisschwankungen zu verringern. Dies ist besonders wichtig, um die wirtschaftlichen Auswirkungen auf einkommensschwache Haushalte zu minimieren, die Wettbewerbsfähigkeit der europäischen Wirtschaft zu erhalten und die Versorgungssicherheit zu gewährleisten.</w:t>
      </w:r>
      <w:r>
        <w:rPr>
          <w:rFonts w:ascii="Aptos" w:hAnsi="Aptos"/>
          <w:bCs/>
          <w:sz w:val="22"/>
          <w:szCs w:val="22"/>
        </w:rPr>
        <w:br w:type="page"/>
      </w:r>
    </w:p>
    <w:p w14:paraId="209C58A5" w14:textId="77777777" w:rsidR="00623AF8" w:rsidRDefault="00623AF8" w:rsidP="00623AF8">
      <w:pPr>
        <w:spacing w:before="100" w:beforeAutospacing="1" w:after="100" w:afterAutospacing="1"/>
        <w:jc w:val="both"/>
        <w:rPr>
          <w:rFonts w:ascii="Aptos" w:eastAsia="Times New Roman" w:hAnsi="Aptos" w:cs="Times New Roman"/>
          <w:bCs/>
          <w:color w:val="000000"/>
          <w:sz w:val="22"/>
          <w:szCs w:val="22"/>
          <w:lang w:eastAsia="de-DE"/>
        </w:rPr>
      </w:pPr>
    </w:p>
    <w:p w14:paraId="2901741B" w14:textId="77777777" w:rsidR="00623AF8" w:rsidRDefault="00623AF8" w:rsidP="00623AF8">
      <w:pPr>
        <w:pStyle w:val="berschrift1"/>
        <w:rPr>
          <w:rFonts w:ascii="Aptos" w:hAnsi="Aptos"/>
        </w:rPr>
      </w:pPr>
      <w:bookmarkStart w:id="152" w:name="_Toc165540443"/>
      <w:bookmarkStart w:id="153" w:name="_Toc170294912"/>
      <w:bookmarkStart w:id="154" w:name="_Toc170983690"/>
      <w:r>
        <w:rPr>
          <w:rFonts w:ascii="Aptos" w:hAnsi="Aptos"/>
        </w:rPr>
        <w:t>Maßnahmen gegen spekulatives Verhalten auf Demand-Response-Märkten</w:t>
      </w:r>
      <w:bookmarkEnd w:id="152"/>
      <w:bookmarkEnd w:id="153"/>
      <w:bookmarkEnd w:id="154"/>
    </w:p>
    <w:p w14:paraId="37CFFDB3"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7B46B4AF"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1447B9B"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12BAFEE4"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28E936F"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einer Welt, in der die Nachfrage nach Energie zunehmend von Technologie und Daten beeinflusst wird, stehen wir vor der Herausforderung, sicherzustellen, dass diese Veränderungen nicht zu künstlichen Verbrauchsprofilen führen. Solche Profile könnten potenziell die Effizienz und Fairness auf den Märkten für Demand Response beeinträchtigen. Angesichts dieser Bedenken ist es entscheidend, Maßnahmen zu ergreifen, die spekulatives Verhalten auf diesen Märkten eindämmen und eine gerechte und effiziente Nutzung der Energieressourcen fördern. </w:t>
            </w:r>
            <w:r>
              <w:rPr>
                <w:rFonts w:ascii="Aptos" w:hAnsi="Aptos"/>
                <w:b/>
                <w:bCs/>
                <w:sz w:val="22"/>
                <w:szCs w:val="22"/>
              </w:rPr>
              <w:t>Welche Maßnahmen planen Sie, um spekulativem Verhalten auf Demand-Response-Märkten entgegenzuwirken?</w:t>
            </w:r>
            <w:r>
              <w:rPr>
                <w:rFonts w:ascii="Aptos" w:hAnsi="Aptos"/>
                <w:sz w:val="22"/>
                <w:szCs w:val="22"/>
              </w:rPr>
              <w:t xml:space="preserve"> </w:t>
            </w:r>
          </w:p>
        </w:tc>
      </w:tr>
      <w:tr w:rsidR="00623AF8" w14:paraId="3461F666"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AD12415"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1B04F08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D366672"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Welche Maßnahmen sollen gesetzt werden, damit die Abwicklung von Flexibilitätsservices auch systemdienlich erfolgt?</w:t>
            </w:r>
          </w:p>
        </w:tc>
      </w:tr>
    </w:tbl>
    <w:p w14:paraId="278BCE46"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5B06B366" w14:textId="77777777" w:rsidTr="00875DD0">
        <w:tc>
          <w:tcPr>
            <w:tcW w:w="9060" w:type="dxa"/>
            <w:shd w:val="clear" w:color="auto" w:fill="D9D9D9" w:themeFill="background1" w:themeFillShade="D9"/>
            <w:hideMark/>
          </w:tcPr>
          <w:p w14:paraId="3975107F"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2B1D3309" w14:textId="77777777" w:rsidR="00623AF8" w:rsidRDefault="00623AF8" w:rsidP="00623AF8">
      <w:pPr>
        <w:spacing w:after="100" w:afterAutospacing="1"/>
        <w:jc w:val="both"/>
        <w:rPr>
          <w:rFonts w:ascii="Aptos" w:eastAsia="Times New Roman" w:hAnsi="Aptos" w:cs="Times New Roman"/>
          <w:color w:val="000000"/>
          <w:sz w:val="22"/>
          <w:szCs w:val="22"/>
          <w:lang w:eastAsia="de-DE"/>
        </w:rPr>
      </w:pPr>
      <w:r>
        <w:rPr>
          <w:rFonts w:ascii="Aptos" w:eastAsia="Times New Roman" w:hAnsi="Aptos" w:cs="Times New Roman"/>
          <w:color w:val="000000"/>
          <w:sz w:val="22"/>
          <w:szCs w:val="22"/>
          <w:lang w:eastAsia="de-DE"/>
        </w:rPr>
        <w:t>Es ist von großer Bedeutung, spekulativem Verhalten auf Demand-Response-Märkten entgegenzuwirken, um die Stabilität und Effizienz des Energiesystems zu gewährleisten. Demand-Response-Märkte passen den Energieverbrauch an die Verfügbarkeit von erneuerbaren Energien an und tragen zur Netzstabilität bei. Spekulatives Verhalten kann jedoch zu Verzerrungen, künstlichen Knappheiten und Preisspitzen führen, was die Zuverlässigkeit des Energiesystems beeinträchtigt und die Kosten für Verbraucher und Unternehmen erhöht. Dies war besonders während der Energiekrise 2022 und 2023 spürbar.</w:t>
      </w:r>
    </w:p>
    <w:p w14:paraId="1A3BB817" w14:textId="77777777" w:rsidR="00623AF8" w:rsidRDefault="00623AF8" w:rsidP="00623AF8">
      <w:pPr>
        <w:spacing w:before="100" w:beforeAutospacing="1" w:after="100" w:afterAutospacing="1"/>
        <w:jc w:val="both"/>
        <w:rPr>
          <w:rFonts w:ascii="Aptos" w:eastAsia="Times New Roman" w:hAnsi="Aptos" w:cs="Times New Roman"/>
          <w:color w:val="000000"/>
          <w:sz w:val="22"/>
          <w:szCs w:val="22"/>
          <w:lang w:eastAsia="de-DE"/>
        </w:rPr>
      </w:pPr>
      <w:r>
        <w:rPr>
          <w:rFonts w:ascii="Aptos" w:eastAsia="Times New Roman" w:hAnsi="Aptos" w:cs="Times New Roman"/>
          <w:color w:val="000000"/>
          <w:sz w:val="22"/>
          <w:szCs w:val="22"/>
          <w:lang w:eastAsia="de-DE"/>
        </w:rPr>
        <w:t>Deswegen sind regulatorische Maßnahmen erforderlich, um spekulatives Verhalten einzuschränken und sicherzustellen, dass Demand-Response-Märkte ihre eigentliche Funktion erfüllen. Transparenzanforderungen und die Überwachung von Handelsaktivitäten sind entscheidend, um marktmissbräuchliches Verhalten zu verhindern. Zudem ist es wichtig, dass die Abwicklung von Flexibilitätsservices systemdienlich erfolgt. Das bedeutet, dass Lastverschiebungen und Flexibilitätsangebote so gestaltet sein müssen, dass sie zur Netzstabilität beitragen und nicht nur kurzfristige finanzielle Gewinne erzielen. Eine systemdienliche Abwicklung stellt sicher, dass die Flexibilitätsservices tatsächlich zur besseren Integration erneuerbarer Energien und zur Vermeidung von Netzengpässen beitragen.</w:t>
      </w:r>
    </w:p>
    <w:p w14:paraId="0011F957" w14:textId="77777777" w:rsidR="00623AF8" w:rsidRDefault="00623AF8" w:rsidP="00623AF8">
      <w:pPr>
        <w:spacing w:before="100" w:beforeAutospacing="1" w:after="100" w:afterAutospacing="1"/>
        <w:jc w:val="both"/>
        <w:rPr>
          <w:rFonts w:ascii="Aptos" w:hAnsi="Aptos"/>
          <w:bCs/>
          <w:sz w:val="22"/>
          <w:szCs w:val="22"/>
        </w:rPr>
      </w:pPr>
      <w:r>
        <w:rPr>
          <w:rFonts w:ascii="Aptos" w:eastAsia="Times New Roman" w:hAnsi="Aptos" w:cs="Times New Roman"/>
          <w:color w:val="000000"/>
          <w:sz w:val="22"/>
          <w:szCs w:val="22"/>
          <w:lang w:eastAsia="de-DE"/>
        </w:rPr>
        <w:t>Ein weiterer kritischer Aspekt ist die Verhinderung der Nutzung künstlicher Verbrauchsprofile. Diese künstlich erzeugten Lastmuster können dazu verwendet werden, den Energieverbrauch zu manipulieren, um finanzielle Vorteile zu erzielen, ohne einen echten Bedarf zu repräsentieren. Solche Praktiken können die Marktpreise verfälschen und die Effektivität der Demand-Response-Maßnahmen untergraben. Durch die Implementierung von strengen Kontrollen und Überwachungsmechanismen können solche künstlichen Verbrauchsprofile identifiziert und unterbunden werden</w:t>
      </w:r>
      <w:r>
        <w:rPr>
          <w:rFonts w:ascii="Aptos" w:hAnsi="Aptos"/>
          <w:sz w:val="22"/>
          <w:szCs w:val="22"/>
        </w:rPr>
        <w:t>.</w:t>
      </w:r>
      <w:r>
        <w:rPr>
          <w:rFonts w:ascii="Aptos" w:hAnsi="Aptos"/>
          <w:bCs/>
          <w:sz w:val="22"/>
          <w:szCs w:val="22"/>
        </w:rPr>
        <w:br w:type="page"/>
      </w:r>
    </w:p>
    <w:p w14:paraId="4C972DCF" w14:textId="77777777" w:rsidR="00623AF8" w:rsidRDefault="00623AF8" w:rsidP="00623AF8">
      <w:pPr>
        <w:pStyle w:val="berschrift1"/>
        <w:rPr>
          <w:rFonts w:ascii="Aptos" w:hAnsi="Aptos"/>
        </w:rPr>
      </w:pPr>
    </w:p>
    <w:p w14:paraId="5EC548AC" w14:textId="77777777" w:rsidR="00623AF8" w:rsidRDefault="00623AF8" w:rsidP="00623AF8">
      <w:pPr>
        <w:pStyle w:val="berschrift1"/>
        <w:rPr>
          <w:rFonts w:ascii="Aptos" w:hAnsi="Aptos"/>
        </w:rPr>
      </w:pPr>
      <w:bookmarkStart w:id="155" w:name="_Toc165540444"/>
      <w:bookmarkStart w:id="156" w:name="_Toc170294913"/>
    </w:p>
    <w:p w14:paraId="5181DA3B" w14:textId="77777777" w:rsidR="00623AF8" w:rsidRDefault="00623AF8" w:rsidP="00623AF8">
      <w:pPr>
        <w:pStyle w:val="berschrift1"/>
        <w:rPr>
          <w:rFonts w:ascii="Aptos" w:hAnsi="Aptos"/>
        </w:rPr>
      </w:pPr>
      <w:bookmarkStart w:id="157" w:name="_Toc170983691"/>
      <w:r>
        <w:rPr>
          <w:rFonts w:ascii="Aptos" w:hAnsi="Aptos"/>
        </w:rPr>
        <w:t>Etablierung eines europäischen Schutzschirms zur Sicherung des Energiehandels</w:t>
      </w:r>
      <w:bookmarkEnd w:id="155"/>
      <w:bookmarkEnd w:id="156"/>
      <w:bookmarkEnd w:id="157"/>
      <w:r>
        <w:rPr>
          <w:rFonts w:ascii="Aptos" w:hAnsi="Aptos"/>
        </w:rPr>
        <w:t xml:space="preserve"> </w:t>
      </w:r>
    </w:p>
    <w:p w14:paraId="7D9DEAE9"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6DEDDAE"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E49F8E9"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7481D47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EEB50A7" w14:textId="77777777" w:rsidR="00623AF8" w:rsidRDefault="00623AF8" w:rsidP="00875DD0">
            <w:pPr>
              <w:spacing w:before="120" w:after="120"/>
              <w:jc w:val="both"/>
              <w:rPr>
                <w:rFonts w:ascii="Aptos" w:hAnsi="Aptos"/>
                <w:sz w:val="22"/>
                <w:szCs w:val="22"/>
              </w:rPr>
            </w:pPr>
            <w:r>
              <w:rPr>
                <w:rFonts w:ascii="Aptos" w:hAnsi="Aptos"/>
                <w:sz w:val="22"/>
                <w:szCs w:val="22"/>
              </w:rPr>
              <w:t xml:space="preserve">Europa steht angesichts zunehmender Energieabhängigkeit und geopolitischer Unsicherheiten vor einer herausfordernden Zeit. Die jüngsten Ereignisse haben die Dringlichkeit unterstrichen, robuste Mechanismen zum Schutz des Energiehandels zu etablieren. Angesichts dieser Bedrohungen könnte die Einführung eines europäischen, staatlichen Schutzschirms zur Absicherung des Energiehandels eine mögliche Lösung sein. </w:t>
            </w:r>
            <w:r>
              <w:rPr>
                <w:rFonts w:ascii="Aptos" w:hAnsi="Aptos"/>
                <w:b/>
                <w:bCs/>
                <w:sz w:val="22"/>
                <w:szCs w:val="22"/>
              </w:rPr>
              <w:t>Überlegen Sie einen solchen europäischen, staatlichen Schutzschirm zur Sicherung des Energiehandels zu etablieren?</w:t>
            </w:r>
          </w:p>
        </w:tc>
      </w:tr>
      <w:tr w:rsidR="00623AF8" w14:paraId="1E89A9D7"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3C16D44"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587352D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245524F"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Sollten die Mitgliedstaaten verpflichtet werden, diesem Schutzschirm beizutreten?</w:t>
            </w:r>
          </w:p>
        </w:tc>
      </w:tr>
    </w:tbl>
    <w:p w14:paraId="5B3D5659"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BEA64D4" w14:textId="77777777" w:rsidTr="00875DD0">
        <w:tc>
          <w:tcPr>
            <w:tcW w:w="9060" w:type="dxa"/>
            <w:shd w:val="clear" w:color="auto" w:fill="D9D9D9" w:themeFill="background1" w:themeFillShade="D9"/>
            <w:hideMark/>
          </w:tcPr>
          <w:p w14:paraId="5B266B2C"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A2AFDCC" w14:textId="77777777" w:rsidR="00623AF8" w:rsidRDefault="00623AF8" w:rsidP="00623AF8">
      <w:pPr>
        <w:spacing w:after="120"/>
        <w:jc w:val="both"/>
        <w:rPr>
          <w:rFonts w:ascii="Aptos" w:hAnsi="Aptos"/>
          <w:b/>
          <w:iCs/>
          <w:sz w:val="22"/>
          <w:szCs w:val="22"/>
        </w:rPr>
      </w:pPr>
      <w:r>
        <w:rPr>
          <w:rFonts w:ascii="Aptos" w:hAnsi="Aptos"/>
          <w:color w:val="000000"/>
          <w:sz w:val="22"/>
          <w:szCs w:val="22"/>
        </w:rPr>
        <w:t>Europäisch politische Spannungen wirken sich oft und regelmäßig auf den Energiehandel aus. Diese Bedrohungen betreffen nicht nur die Energieversorgungssicherheit, sondern auch die Stabilität und Vorhersehbarkeit der Energiepreise. Eine mögliche Lösung, um diesen Herausforderungen zu begegnen, könnte die Einführung eines europäischen Schutzschirms zur Absicherung des Energiehandels sein. Ein solcher Schutzschirm würde dazu dienen, Risiken und Schwankungen auf dem Energiemarkt zu minimieren, indem er staatliche Garantien und finanzielle Unterstützung bereitstellt, um Engpässe und Preisspitzen abzufedern.</w:t>
      </w:r>
    </w:p>
    <w:p w14:paraId="7E573A6C" w14:textId="77777777" w:rsidR="00623AF8" w:rsidRDefault="00623AF8" w:rsidP="00623AF8">
      <w:pPr>
        <w:pStyle w:val="StandardWeb"/>
        <w:jc w:val="both"/>
        <w:rPr>
          <w:rFonts w:ascii="Aptos" w:hAnsi="Aptos"/>
          <w:color w:val="000000"/>
          <w:sz w:val="22"/>
          <w:szCs w:val="22"/>
        </w:rPr>
      </w:pPr>
      <w:r>
        <w:rPr>
          <w:rFonts w:ascii="Aptos" w:hAnsi="Aptos"/>
          <w:color w:val="000000"/>
          <w:sz w:val="22"/>
          <w:szCs w:val="22"/>
        </w:rPr>
        <w:t xml:space="preserve">Die Einführung eines europäischen, staatlichen Schutzschirms zur Sicherung des Energiehandels würde die europäische Zusammenarbeit stärken und den Energiehandel sichererer machen. Die könnte sicherstellen, dass alle Mitgliedstaaten gleichmäßig von den Schutzmaßnahmen profitieren und ein stabiler Energiemarkt in der EU geschaffen wird. Der Schutzschirm könnte als Teil eines umfassenderen europäischen Energiesicherheitsrahmens dienen, der auch Maßnahmen zur Diversifizierung der Energiequellen, zur Förderung erneuerbarer Energien und zur Verbesserung der Energieeffizienz umfasst. Der Vorteil für Verbraucher und Marktakteure wäre, dass es aktiv vermieden wird, einen zu stark schwankenden Energiemarkt zu haben. Dies schützt wiederum Energiehändler, was ihnen ermöglicht Ressourcen effizient für eine Nachhaltige Entwicklung zu nutzen. </w:t>
      </w:r>
    </w:p>
    <w:p w14:paraId="73692DBA" w14:textId="77777777" w:rsidR="00623AF8" w:rsidRDefault="00623AF8" w:rsidP="00623AF8">
      <w:pPr>
        <w:rPr>
          <w:rFonts w:ascii="Aptos" w:hAnsi="Aptos"/>
          <w:bCs/>
          <w:sz w:val="22"/>
          <w:szCs w:val="22"/>
        </w:rPr>
      </w:pPr>
      <w:r>
        <w:rPr>
          <w:rFonts w:ascii="Aptos" w:hAnsi="Aptos"/>
          <w:bCs/>
          <w:sz w:val="22"/>
          <w:szCs w:val="22"/>
        </w:rPr>
        <w:br w:type="page"/>
      </w:r>
    </w:p>
    <w:p w14:paraId="250C3960" w14:textId="77777777" w:rsidR="00623AF8" w:rsidRDefault="00623AF8" w:rsidP="00623AF8">
      <w:pPr>
        <w:pStyle w:val="berschrift1"/>
        <w:rPr>
          <w:rFonts w:ascii="Aptos" w:hAnsi="Aptos"/>
        </w:rPr>
      </w:pPr>
    </w:p>
    <w:p w14:paraId="6101D4A4" w14:textId="77777777" w:rsidR="00623AF8" w:rsidRDefault="00623AF8" w:rsidP="00623AF8">
      <w:pPr>
        <w:pStyle w:val="berschrift1"/>
        <w:rPr>
          <w:rFonts w:ascii="Aptos" w:hAnsi="Aptos"/>
        </w:rPr>
      </w:pPr>
      <w:bookmarkStart w:id="158" w:name="_Toc165540445"/>
      <w:bookmarkStart w:id="159" w:name="_Toc170294914"/>
      <w:bookmarkStart w:id="160" w:name="_Toc170983692"/>
      <w:r>
        <w:rPr>
          <w:rFonts w:ascii="Aptos" w:hAnsi="Aptos"/>
        </w:rPr>
        <w:t>Reform des OTC-Handels</w:t>
      </w:r>
      <w:bookmarkEnd w:id="158"/>
      <w:bookmarkEnd w:id="159"/>
      <w:bookmarkEnd w:id="160"/>
      <w:r>
        <w:rPr>
          <w:rFonts w:ascii="Aptos" w:hAnsi="Aptos"/>
        </w:rPr>
        <w:t xml:space="preserve"> </w:t>
      </w:r>
    </w:p>
    <w:p w14:paraId="1E477D55"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E395D8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79FF2FB"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200FB7BA"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9C4DAEE"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Anbetracht der ständigen Weiterentwicklung der Finanzmärkte ist die Frage nach der Reform des außerbörslichen Handels (OTC) von entscheidender Bedeutung. Der OTC-Handel, der Transaktionen direkt zwischen zwei Parteien ermöglicht, hat in den letzten Jahren sowohl Lob als auch Kritik erfahren. Während er Flexibilität und Geschwindigkeit bietet, wurden auch Bedenken hinsichtlich Transparenz und Risikomanagement laut. </w:t>
            </w:r>
            <w:r>
              <w:rPr>
                <w:rFonts w:ascii="Aptos" w:hAnsi="Aptos"/>
                <w:b/>
                <w:bCs/>
                <w:sz w:val="22"/>
                <w:szCs w:val="22"/>
              </w:rPr>
              <w:t>Streben Sie eine Reform des OTC-Handels an?</w:t>
            </w:r>
          </w:p>
        </w:tc>
      </w:tr>
      <w:tr w:rsidR="00623AF8" w14:paraId="4F6E644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6081731"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45911A92"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908E6F5"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Könnte es realistisch sein, dass der Handel an der Strompreisbörse während starker Preisschwankungen ausgesetzt wird?</w:t>
            </w:r>
          </w:p>
        </w:tc>
      </w:tr>
    </w:tbl>
    <w:p w14:paraId="6AB53D83"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225BA42" w14:textId="77777777" w:rsidTr="00875DD0">
        <w:tc>
          <w:tcPr>
            <w:tcW w:w="9060" w:type="dxa"/>
            <w:shd w:val="clear" w:color="auto" w:fill="D9D9D9" w:themeFill="background1" w:themeFillShade="D9"/>
            <w:hideMark/>
          </w:tcPr>
          <w:p w14:paraId="4605A8B3"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5C677102" w14:textId="77777777" w:rsidR="00623AF8" w:rsidRDefault="00623AF8" w:rsidP="00623AF8">
      <w:pPr>
        <w:pStyle w:val="StandardWeb"/>
        <w:spacing w:before="0" w:beforeAutospacing="0"/>
        <w:jc w:val="both"/>
        <w:rPr>
          <w:rFonts w:ascii="Aptos" w:hAnsi="Aptos"/>
          <w:color w:val="000000"/>
          <w:sz w:val="22"/>
          <w:szCs w:val="22"/>
        </w:rPr>
      </w:pPr>
      <w:r>
        <w:rPr>
          <w:rFonts w:ascii="Aptos" w:hAnsi="Aptos"/>
          <w:color w:val="000000"/>
          <w:sz w:val="22"/>
          <w:szCs w:val="22"/>
        </w:rPr>
        <w:t>Die Vorteile des OTC-Handels (Over-the-Counter) sind neben den flexiblen Zeiten auch die geringeren Preise und der Handelsmechanismus, welcher maßgeschneiderte Vereinbarungen ermöglicht und oft effizientere Transaktionen fördert. Kritiker hingegen haben Bedenken hinsichtlich der mangelnden Transparenz und des Risikomanagements, da die fehlende Regulierungsaufsicht potenziell zu Marktmanipulationen und systemischen Risiken führen kann. Die zunehmende Bedeutung des OTC-Handels im Energiemarkt verstärkt die Notwendigkeit auf einem europäischen Level, sicherzustellen, dass er sicher und transparent bleibt, um das Vertrauen in die Finanzmärkte und die Stabilität des Energiemarktes zu gewährleisten.</w:t>
      </w:r>
    </w:p>
    <w:p w14:paraId="07673D4F" w14:textId="77777777" w:rsidR="00623AF8" w:rsidRDefault="00623AF8" w:rsidP="00623AF8">
      <w:pPr>
        <w:pStyle w:val="StandardWeb"/>
        <w:jc w:val="both"/>
        <w:rPr>
          <w:rFonts w:ascii="Aptos" w:hAnsi="Aptos"/>
          <w:color w:val="000000"/>
          <w:sz w:val="22"/>
          <w:szCs w:val="22"/>
        </w:rPr>
      </w:pPr>
      <w:r>
        <w:rPr>
          <w:rFonts w:ascii="Aptos" w:hAnsi="Aptos"/>
          <w:color w:val="000000"/>
          <w:sz w:val="22"/>
          <w:szCs w:val="22"/>
        </w:rPr>
        <w:t xml:space="preserve">So sollte eine mögliche Reform des OTC-Handels in Betracht gezogen werden, um diese Bedenken anzugehen. Dafür könnten eine erhöhte Transparenzanforderung, strengere Meldepflichten und verbesserte Risikomanagementpraktiken hilfreich sein. Es wäre von hohem Nutzen, die Vorteile des OTC-Handels zu bewahren, während potenzielle Risiken minimiert werden. </w:t>
      </w:r>
    </w:p>
    <w:p w14:paraId="1EA7C28A" w14:textId="77777777" w:rsidR="00623AF8" w:rsidRDefault="00623AF8" w:rsidP="00623AF8">
      <w:pPr>
        <w:pStyle w:val="StandardWeb"/>
        <w:jc w:val="both"/>
        <w:rPr>
          <w:rFonts w:ascii="Aptos" w:hAnsi="Aptos"/>
          <w:color w:val="000000"/>
          <w:sz w:val="22"/>
          <w:szCs w:val="22"/>
        </w:rPr>
      </w:pPr>
      <w:r>
        <w:rPr>
          <w:rFonts w:ascii="Aptos" w:hAnsi="Aptos"/>
          <w:color w:val="000000"/>
          <w:sz w:val="22"/>
          <w:szCs w:val="22"/>
        </w:rPr>
        <w:t>Wichtig wäre aber, den OTC-Handel an der Strompreisbörse während starker Preisschwankungen auszusetzen, um Marktstabilität und Transparenz zu gewährleisten. Der OTC-Handel, der oft weniger reguliert und weniger transparent ist als der Börsenhandel, kann in Zeiten extremer Preisschwankungen zu zusätzlicher Volatilität und Unsicherheit führen. Dies kann das Risiko spekulativer Aktivitäten erhöhen, die Preise weiter in die Höhe treiben und die Marktteilnehmer belasten. Durch die Aussetzung des OTC-Handels in solchen Zeiten wird die Markttransparenz erhöht, das Vertrauen gestärkt und ein stabilerer und fairer Preisbildungsprozess gefördert, was letztlich sowohl Verbrauchern als auch Unternehmen zugutekommt.</w:t>
      </w:r>
    </w:p>
    <w:p w14:paraId="24DEDC82" w14:textId="77777777" w:rsidR="00623AF8" w:rsidRDefault="00623AF8" w:rsidP="00623AF8">
      <w:pPr>
        <w:rPr>
          <w:rFonts w:ascii="Aptos" w:hAnsi="Aptos"/>
          <w:bCs/>
          <w:sz w:val="22"/>
          <w:szCs w:val="22"/>
        </w:rPr>
      </w:pPr>
      <w:r>
        <w:rPr>
          <w:rFonts w:ascii="Aptos" w:hAnsi="Aptos"/>
          <w:bCs/>
          <w:sz w:val="22"/>
          <w:szCs w:val="22"/>
        </w:rPr>
        <w:br w:type="page"/>
      </w:r>
    </w:p>
    <w:p w14:paraId="14BE3FCB" w14:textId="77777777" w:rsidR="00623AF8" w:rsidRDefault="00623AF8" w:rsidP="00623AF8">
      <w:pPr>
        <w:pStyle w:val="berschrift1"/>
        <w:rPr>
          <w:rFonts w:ascii="Aptos" w:hAnsi="Aptos"/>
        </w:rPr>
      </w:pPr>
    </w:p>
    <w:p w14:paraId="61A21D0B" w14:textId="77777777" w:rsidR="00623AF8" w:rsidRDefault="00623AF8" w:rsidP="00623AF8">
      <w:pPr>
        <w:pStyle w:val="berschrift1"/>
        <w:rPr>
          <w:rFonts w:ascii="Aptos" w:hAnsi="Aptos"/>
        </w:rPr>
      </w:pPr>
      <w:bookmarkStart w:id="161" w:name="_Toc165540446"/>
      <w:bookmarkStart w:id="162" w:name="_Toc170294915"/>
    </w:p>
    <w:p w14:paraId="23412815" w14:textId="77777777" w:rsidR="00623AF8" w:rsidRDefault="00623AF8" w:rsidP="00623AF8">
      <w:pPr>
        <w:pStyle w:val="berschrift1"/>
        <w:rPr>
          <w:rFonts w:ascii="Aptos" w:hAnsi="Aptos"/>
        </w:rPr>
      </w:pPr>
      <w:bookmarkStart w:id="163" w:name="_Toc170983693"/>
      <w:r>
        <w:rPr>
          <w:rFonts w:ascii="Aptos" w:hAnsi="Aptos"/>
        </w:rPr>
        <w:t>Erleichterungen am Kapazitätsmarkt</w:t>
      </w:r>
      <w:bookmarkEnd w:id="161"/>
      <w:bookmarkEnd w:id="162"/>
      <w:bookmarkEnd w:id="163"/>
      <w:r>
        <w:rPr>
          <w:rFonts w:ascii="Aptos" w:hAnsi="Aptos"/>
        </w:rPr>
        <w:t xml:space="preserve"> </w:t>
      </w:r>
    </w:p>
    <w:p w14:paraId="15AB757D"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50A3C56"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DC6F74D"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091826F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4B9705A"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Förderung erneuerbarer Energien hat in den letzten Jahren eine bedeutende Rolle bei der Umstellung auf eine nachhaltige Energieversorgung gespielt. Doch neben der Flexibilität der erneuerbaren Quellen rückt auch ihre zuverlässige Erzeugung vermehrt in den Fokus. Es gilt, Strategien zu entwickeln, die nicht nur die Schwankungen im Angebot ausgleichen, sondern auch die Sicherheit der Versorgung gewährleisten. </w:t>
            </w:r>
            <w:r>
              <w:rPr>
                <w:rFonts w:ascii="Aptos" w:hAnsi="Aptos"/>
                <w:b/>
                <w:bCs/>
                <w:sz w:val="22"/>
                <w:szCs w:val="22"/>
              </w:rPr>
              <w:t>Wie beabsichtigen Sie, neben dem 4. Strombinnenmarktpaket, Maßnahmen zur Stärkung der nachhaltigen Versorgungssicherheit durch Erleichterungen im Kapazitätsmarkt zu fördern?</w:t>
            </w:r>
          </w:p>
        </w:tc>
      </w:tr>
      <w:tr w:rsidR="00623AF8" w14:paraId="48D4EE19"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9C2F71"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5B44CA10"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BBF0C3A"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79089C1B"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3B322816" w14:textId="77777777" w:rsidTr="00875DD0">
        <w:tc>
          <w:tcPr>
            <w:tcW w:w="9060" w:type="dxa"/>
            <w:shd w:val="clear" w:color="auto" w:fill="D9D9D9" w:themeFill="background1" w:themeFillShade="D9"/>
            <w:hideMark/>
          </w:tcPr>
          <w:p w14:paraId="5A599EE9"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0E38ACDC" w14:textId="77777777" w:rsidR="00623AF8" w:rsidRDefault="00623AF8" w:rsidP="00623AF8">
      <w:pPr>
        <w:spacing w:after="100" w:afterAutospacing="1"/>
        <w:jc w:val="both"/>
        <w:rPr>
          <w:rFonts w:ascii="Aptos" w:hAnsi="Aptos"/>
          <w:sz w:val="22"/>
          <w:szCs w:val="22"/>
        </w:rPr>
      </w:pPr>
      <w:r>
        <w:rPr>
          <w:rFonts w:ascii="Aptos" w:hAnsi="Aptos"/>
          <w:sz w:val="22"/>
          <w:szCs w:val="22"/>
        </w:rPr>
        <w:t>Die nachhaltige Versorgungssicherheit im Energiesektor ist ein zentrales Anliegen für die Europäische Union, insbesondere im Rahmen des vierten Strombinnenmarktpakets. Neben den darin enthaltenen Maßnahmen ist es essenziell, zusätzliche Strategien zu verfolgen, um eine stabile und nachhaltige Energieversorgung zu gewährleisten. Eine solche Strategie ist die Förderung von Erleichterungen im Kapazitätsmarkt.</w:t>
      </w:r>
    </w:p>
    <w:p w14:paraId="2F4C37BC"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Ein Kapazitätsmarkt ermöglicht es, Stromerzeuger für die Bereitstellung von Kapazitäten zu vergüten, unabhängig davon, ob diese tatsächlich genutzt werden. Dies ist besonders relevant, um die Versorgungssicherheit zu stärken, da es Anreize schafft, genügend Reservekapazitäten vorzuhalten. Dies ist entscheidend in Zeiten hoher Nachfrage oder bei Ausfällen erneuerbarer Energien, die wetterabhängig sind.</w:t>
      </w:r>
    </w:p>
    <w:p w14:paraId="1A02E989" w14:textId="77777777" w:rsidR="00623AF8" w:rsidRDefault="00623AF8" w:rsidP="00623AF8">
      <w:pPr>
        <w:spacing w:before="100" w:beforeAutospacing="1" w:after="100" w:afterAutospacing="1"/>
        <w:jc w:val="both"/>
        <w:rPr>
          <w:rFonts w:ascii="Aptos" w:hAnsi="Aptos"/>
          <w:bCs/>
          <w:sz w:val="22"/>
          <w:szCs w:val="22"/>
        </w:rPr>
      </w:pPr>
      <w:r>
        <w:rPr>
          <w:rFonts w:ascii="Aptos" w:hAnsi="Aptos"/>
          <w:sz w:val="22"/>
          <w:szCs w:val="22"/>
        </w:rPr>
        <w:t>Die Bereitstellung gesichert verfügbarer Kapazitäten im Strommarkt muss angemessen berücksichtigt und vergütet werden, um eine optimale Nutzung der Flexibilitätsoptionen und Versorgungssicherheit zu gewährleisten. Eine Überarbeitung der Anwendung von Kapazitätsmechanismen ist durch die neulich veröffentlichte Strommarktverordnung vorgesehen. Die Kommission sollte Vorschläge zur Vereinfachung und Beschleunigung der Genehmigung von Kapazitätsmechanismen vorlegen. Eine rasche Ausarbeitung eines Vorschlags sowie Umsetzung ist wichtig, da Kapazitätsmechanismen einen wesentlichen Bestandteil der Versorgungssicherheit darstellen.</w:t>
      </w:r>
      <w:r>
        <w:rPr>
          <w:rFonts w:ascii="Aptos" w:hAnsi="Aptos"/>
          <w:bCs/>
          <w:sz w:val="22"/>
          <w:szCs w:val="22"/>
        </w:rPr>
        <w:br w:type="page"/>
      </w:r>
    </w:p>
    <w:p w14:paraId="7CC5F61F" w14:textId="77777777" w:rsidR="00623AF8" w:rsidRDefault="00623AF8" w:rsidP="00623AF8">
      <w:pPr>
        <w:spacing w:after="120"/>
        <w:jc w:val="both"/>
        <w:rPr>
          <w:rFonts w:ascii="Aptos" w:hAnsi="Aptos"/>
          <w:bCs/>
          <w:sz w:val="22"/>
          <w:szCs w:val="22"/>
        </w:rPr>
      </w:pPr>
    </w:p>
    <w:p w14:paraId="517FFCCB" w14:textId="77777777" w:rsidR="00623AF8" w:rsidRDefault="00623AF8" w:rsidP="00623AF8">
      <w:pPr>
        <w:pStyle w:val="berschrift1"/>
        <w:rPr>
          <w:rFonts w:ascii="Aptos" w:hAnsi="Aptos"/>
          <w:bCs/>
          <w:sz w:val="22"/>
          <w:szCs w:val="22"/>
        </w:rPr>
      </w:pPr>
    </w:p>
    <w:p w14:paraId="3611E990" w14:textId="77777777" w:rsidR="00623AF8" w:rsidRDefault="00623AF8" w:rsidP="00623AF8">
      <w:pPr>
        <w:pStyle w:val="berschrift1"/>
        <w:rPr>
          <w:rFonts w:ascii="Aptos" w:hAnsi="Aptos"/>
        </w:rPr>
      </w:pPr>
      <w:bookmarkStart w:id="164" w:name="_Toc165540447"/>
      <w:bookmarkStart w:id="165" w:name="_Toc170294916"/>
      <w:bookmarkStart w:id="166" w:name="_Toc170983694"/>
      <w:r>
        <w:rPr>
          <w:rFonts w:ascii="Aptos" w:hAnsi="Aptos"/>
        </w:rPr>
        <w:t>Notwendigkeit eines neuen Preismodells für den Stromtransit</w:t>
      </w:r>
      <w:bookmarkEnd w:id="164"/>
      <w:bookmarkEnd w:id="165"/>
      <w:bookmarkEnd w:id="166"/>
    </w:p>
    <w:p w14:paraId="683A0FC7"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649C46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67C36AA"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0B8CC6F0"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700FA3D" w14:textId="77777777" w:rsidR="00623AF8" w:rsidRDefault="00623AF8" w:rsidP="00875DD0">
            <w:pPr>
              <w:spacing w:before="120" w:after="120"/>
              <w:jc w:val="both"/>
              <w:rPr>
                <w:rFonts w:ascii="Aptos" w:hAnsi="Aptos"/>
                <w:b/>
                <w:bCs/>
                <w:sz w:val="22"/>
                <w:szCs w:val="22"/>
              </w:rPr>
            </w:pPr>
            <w:r>
              <w:rPr>
                <w:rFonts w:ascii="Aptos" w:hAnsi="Aptos"/>
                <w:b/>
                <w:bCs/>
                <w:sz w:val="22"/>
                <w:szCs w:val="22"/>
              </w:rPr>
              <w:t>Werden Sie sich dafür einsetzen, dass für den Stromtransit ein neues Preismodell zur Anwendung kommt, damit sichergestellt ist, dass in den Mitgliedstaaten, die in hohem Ausmaß vom 70% Transitziel betroffen sind, ein vollständiger Kostenersatz durch Transiteinnahmen erfolgt?</w:t>
            </w:r>
          </w:p>
        </w:tc>
      </w:tr>
      <w:tr w:rsidR="00623AF8" w14:paraId="6DABD01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B89152"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13F45321"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35B6310"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1F25C546"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37D73BCE" w14:textId="77777777" w:rsidTr="00875DD0">
        <w:tc>
          <w:tcPr>
            <w:tcW w:w="9060" w:type="dxa"/>
            <w:shd w:val="clear" w:color="auto" w:fill="D9D9D9" w:themeFill="background1" w:themeFillShade="D9"/>
            <w:hideMark/>
          </w:tcPr>
          <w:p w14:paraId="070DCF52"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571E1E75" w14:textId="77777777" w:rsidR="00623AF8" w:rsidRDefault="00623AF8" w:rsidP="00623AF8">
      <w:pPr>
        <w:spacing w:after="100" w:afterAutospacing="1"/>
        <w:jc w:val="both"/>
        <w:rPr>
          <w:rFonts w:ascii="Aptos" w:hAnsi="Aptos"/>
          <w:sz w:val="22"/>
          <w:szCs w:val="22"/>
        </w:rPr>
      </w:pPr>
      <w:r>
        <w:rPr>
          <w:rFonts w:ascii="Aptos" w:hAnsi="Aptos"/>
          <w:sz w:val="22"/>
          <w:szCs w:val="22"/>
        </w:rPr>
        <w:t>Ein neues Preismodell für den Stromtransit ist unerlässlich, um sicherzustellen, dass Mitgliedstaaten, die stark vom 70%-Transitziel betroffen sind, einen vollständigen Kostenersatz durch Transiteinnahmen erhalten. Diese Maßnahme zielt darauf ab, wettbewerbsverzerrende Effekte zu vermeiden, die insbesondere österreichische Endkunden belasten könnten.</w:t>
      </w:r>
    </w:p>
    <w:p w14:paraId="3983596D"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Österreich befindet sich aufgrund seiner geographischen Zentrallage in Europa in einer einzigartigen Position. Es fungiert als wichtiger Transitknotenpunkt für den Stromfluss zwischen verschiedenen Ländern. Die Einhaltung des 70%-Transitziels, das sicherstellen soll, dass mindestens 70% der grenzüberschreitenden Übertragungskapazität für den Handel zur Verfügung stehen, bedeutet für Österreich erhebliche Investitionen in die Infrastruktur und laufende Kosten für die Wartung und den Betrieb des Stromnetzes.</w:t>
      </w:r>
    </w:p>
    <w:p w14:paraId="7F0A8C27"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Ohne ein angepasstes Preismodell besteht die Gefahr, dass österreichische Endkunden unverhältnismäßig hohe Leitungskosten tragen müssen. Diese Kosten ergeben sich nicht aus dem nationalen Stromverbrauch, sondern aus der Transitfunktion, die Österreich für ganz Europa erfüllt. Ein neues Preismodell würde sicherstellen, dass die Kosten gerecht verteilt und durch die Einnahmen aus dem Stromtransit vollständig kompensiert werden.</w:t>
      </w:r>
    </w:p>
    <w:p w14:paraId="52AFA10A" w14:textId="77777777" w:rsidR="00623AF8" w:rsidRDefault="00623AF8" w:rsidP="00623AF8">
      <w:pPr>
        <w:spacing w:before="100" w:beforeAutospacing="1" w:after="100" w:afterAutospacing="1"/>
        <w:jc w:val="both"/>
        <w:rPr>
          <w:rFonts w:ascii="Aptos" w:hAnsi="Aptos"/>
          <w:bCs/>
          <w:sz w:val="22"/>
          <w:szCs w:val="22"/>
        </w:rPr>
      </w:pPr>
      <w:r>
        <w:rPr>
          <w:rFonts w:ascii="Aptos" w:hAnsi="Aptos"/>
          <w:sz w:val="22"/>
          <w:szCs w:val="22"/>
        </w:rPr>
        <w:t>Durch eine faire Verteilung der Transitkosten wird die Wettbewerbsfähigkeit der österreichischen Endkunden gestärkt und verhindert, dass sie ungleich höhere Strompreise zahlen müssen. Dies fördert auch die Akzeptanz und Unterstützung für eine integrierte europäische Energiewende, da alle Mitgliedstaaten gleichermaßen von den Vorteilen und Kosten profitieren.</w:t>
      </w:r>
    </w:p>
    <w:p w14:paraId="36C1D3A0" w14:textId="77777777" w:rsidR="00623AF8" w:rsidRDefault="00623AF8" w:rsidP="00623AF8">
      <w:pPr>
        <w:rPr>
          <w:rFonts w:ascii="Aptos" w:hAnsi="Aptos"/>
          <w:bCs/>
          <w:sz w:val="22"/>
          <w:szCs w:val="22"/>
        </w:rPr>
      </w:pPr>
      <w:r>
        <w:rPr>
          <w:rFonts w:ascii="Aptos" w:hAnsi="Aptos"/>
          <w:bCs/>
          <w:sz w:val="22"/>
          <w:szCs w:val="22"/>
        </w:rPr>
        <w:br w:type="page"/>
      </w:r>
    </w:p>
    <w:p w14:paraId="44E0768B" w14:textId="77777777" w:rsidR="00623AF8" w:rsidRDefault="00623AF8" w:rsidP="00623AF8">
      <w:pPr>
        <w:pStyle w:val="berschrift1"/>
        <w:rPr>
          <w:rFonts w:ascii="Aptos" w:hAnsi="Aptos"/>
        </w:rPr>
      </w:pPr>
    </w:p>
    <w:p w14:paraId="72308F08" w14:textId="77777777" w:rsidR="00623AF8" w:rsidRDefault="00623AF8" w:rsidP="00623AF8">
      <w:pPr>
        <w:pStyle w:val="berschrift1"/>
        <w:rPr>
          <w:rFonts w:ascii="Aptos" w:hAnsi="Aptos"/>
        </w:rPr>
      </w:pPr>
      <w:bookmarkStart w:id="167" w:name="_Toc165540448"/>
      <w:bookmarkStart w:id="168" w:name="_Toc170294917"/>
      <w:bookmarkStart w:id="169" w:name="_Toc170983695"/>
      <w:r>
        <w:rPr>
          <w:rFonts w:ascii="Aptos" w:hAnsi="Aptos"/>
        </w:rPr>
        <w:t>Regulatorische Integrierung von Versorgungssicherheit, Leistbarkeit und Ökologie</w:t>
      </w:r>
      <w:bookmarkEnd w:id="167"/>
      <w:bookmarkEnd w:id="168"/>
      <w:bookmarkEnd w:id="169"/>
    </w:p>
    <w:p w14:paraId="4BEC0C42"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8663053"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99F1E9D"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28CB11A9"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35897F9" w14:textId="77777777" w:rsidR="00623AF8" w:rsidRDefault="00623AF8" w:rsidP="00875DD0">
            <w:pPr>
              <w:spacing w:before="120" w:after="120"/>
              <w:jc w:val="both"/>
              <w:rPr>
                <w:rFonts w:ascii="Aptos" w:hAnsi="Aptos"/>
                <w:sz w:val="22"/>
                <w:szCs w:val="22"/>
              </w:rPr>
            </w:pPr>
            <w:r>
              <w:rPr>
                <w:rFonts w:ascii="Aptos" w:hAnsi="Aptos"/>
                <w:sz w:val="22"/>
                <w:szCs w:val="22"/>
              </w:rPr>
              <w:t xml:space="preserve">Im Zuge der Entwicklung des künftigen 5. Strombinnenmarkt-Pakets ist es entscheidend zu erkennen, dass der Preis nicht der alleinige Indikator für ein ausgewogenes Marktdesign ist. Vielmehr bedarf es einer ganzheitlichen Betrachtung, die die Versorgungssicherheit, die Leistbarkeit und ökologische Aspekte gleichermaßen berücksichtigt. Ein solches Marktdesign muss sicherstellen, dass die Energieversorgung langfristig stabil ist, für Verbraucher erschwinglich bleibt und gleichzeitig den ökologischen Anforderungen gerecht wird. </w:t>
            </w:r>
            <w:r>
              <w:rPr>
                <w:rFonts w:ascii="Aptos" w:hAnsi="Aptos"/>
                <w:b/>
                <w:bCs/>
                <w:sz w:val="22"/>
                <w:szCs w:val="22"/>
              </w:rPr>
              <w:t>Wie planen Sie, das Dreieck aus Versorgungssicherheit, Leistbarkeit und Ökologie regulatorisch in das zukünftige Marktdesign zu integrieren?</w:t>
            </w:r>
          </w:p>
        </w:tc>
      </w:tr>
      <w:tr w:rsidR="00623AF8" w14:paraId="433B118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7150F2"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526005A1"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C1B678A"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48C4CBED"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0C5484F5" w14:textId="77777777" w:rsidTr="00875DD0">
        <w:tc>
          <w:tcPr>
            <w:tcW w:w="9060" w:type="dxa"/>
            <w:shd w:val="clear" w:color="auto" w:fill="D9D9D9" w:themeFill="background1" w:themeFillShade="D9"/>
            <w:hideMark/>
          </w:tcPr>
          <w:p w14:paraId="40D02627"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217D55DD" w14:textId="77777777" w:rsidR="00623AF8" w:rsidRDefault="00623AF8" w:rsidP="00623AF8">
      <w:pPr>
        <w:spacing w:after="100" w:afterAutospacing="1"/>
        <w:jc w:val="both"/>
        <w:rPr>
          <w:rFonts w:ascii="Aptos" w:hAnsi="Aptos"/>
          <w:sz w:val="22"/>
          <w:szCs w:val="22"/>
        </w:rPr>
      </w:pPr>
      <w:r>
        <w:rPr>
          <w:rFonts w:ascii="Aptos" w:hAnsi="Aptos"/>
          <w:sz w:val="22"/>
          <w:szCs w:val="22"/>
        </w:rPr>
        <w:t>Die Entwicklung eines ausgewogenen Marktdesigns für den Strombinnenmarkt erfordert eine umfassende Strategie, die weit über die reine Preisgestaltung hinausgeht. Erstens, die Versorgungssicherheit ist essenziell, um eine kontinuierliche und zuverlässige Energieversorgung sicherzustellen. Ohne stabile und sichere Energiequellen können Haushalte und Unternehmen erheblichen wirtschaftlichen und sozialen Belastungen ausgesetzt sein. Eine regulatorische Verankerung der Versorgungssicherheit stellt sicher, dass notwendige Infrastrukturinvestitionen und Backup-Lösungen priorisiert werden.</w:t>
      </w:r>
    </w:p>
    <w:p w14:paraId="6053D53A"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Zweitens ist die Leistbarkeit der Energie ein zentraler Aspekt sozialer Gerechtigkeit. Energie muss für alle Bevölkerungsgruppen, insbesondere für einkommensschwache Haushalte, erschwinglich bleiben. Hohe Energiepreise können zu Energiearmut führen und die Lebensqualität erheblich beeinträchtigen. Durch regulatorische Maßnahmen kann sichergestellt werden, dass Preissteigerungen abgefedert werden und Subventionen oder Preisdeckel eingeführt werden, um die Energie für alle bezahlbar zu halten.</w:t>
      </w:r>
    </w:p>
    <w:p w14:paraId="0B27F906"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Drittens spielt die Ökologie eine entscheidende Rolle im Kampf gegen den Klimawandel. Die Reduktion von CO2-Emissionen und der Übergang zu erneuerbaren Energiequellen sind unerlässlich, um die globalen Klimaziele zu erreichen. Eine regulatorische Integration der ökologischen Ziele in das Marktdesign fördert die Entwicklung und Nutzung umweltfreundlicher Technologien und Energiequellen.</w:t>
      </w:r>
    </w:p>
    <w:p w14:paraId="178924B0"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Durch die regulatorische Integration dieser drei Aspekte – Versorgungssicherheit, Leistbarkeit und Ökologie – wird ein ausgewogenes Energiesystem geschaffen, das nicht nur ökonomisch und ökologisch nachhaltig ist, sondern auch soziale Gerechtigkeit gewährleistet.</w:t>
      </w:r>
      <w:r>
        <w:rPr>
          <w:rFonts w:ascii="Aptos" w:hAnsi="Aptos"/>
          <w:bCs/>
          <w:sz w:val="22"/>
          <w:szCs w:val="22"/>
        </w:rPr>
        <w:br w:type="page"/>
      </w:r>
    </w:p>
    <w:p w14:paraId="03512EAF" w14:textId="77777777" w:rsidR="00623AF8" w:rsidRDefault="00623AF8" w:rsidP="00623AF8">
      <w:pPr>
        <w:spacing w:after="120"/>
        <w:jc w:val="both"/>
        <w:rPr>
          <w:rFonts w:ascii="Aptos" w:hAnsi="Aptos"/>
          <w:bCs/>
          <w:iCs/>
          <w:sz w:val="22"/>
          <w:szCs w:val="22"/>
        </w:rPr>
      </w:pPr>
    </w:p>
    <w:p w14:paraId="5C78B2A2" w14:textId="77777777" w:rsidR="00623AF8" w:rsidRDefault="00623AF8" w:rsidP="00623AF8">
      <w:pPr>
        <w:pStyle w:val="berschrift1"/>
        <w:rPr>
          <w:rFonts w:ascii="Aptos" w:hAnsi="Aptos"/>
        </w:rPr>
      </w:pPr>
    </w:p>
    <w:p w14:paraId="1D69E080" w14:textId="77777777" w:rsidR="00623AF8" w:rsidRDefault="00623AF8" w:rsidP="00623AF8">
      <w:pPr>
        <w:pStyle w:val="berschrift1"/>
        <w:rPr>
          <w:rFonts w:ascii="Aptos" w:hAnsi="Aptos"/>
        </w:rPr>
      </w:pPr>
      <w:bookmarkStart w:id="170" w:name="_Toc165540449"/>
      <w:bookmarkStart w:id="171" w:name="_Toc170294918"/>
    </w:p>
    <w:p w14:paraId="01D64B59" w14:textId="77777777" w:rsidR="00623AF8" w:rsidRDefault="00623AF8" w:rsidP="00623AF8">
      <w:pPr>
        <w:pStyle w:val="berschrift1"/>
        <w:rPr>
          <w:rFonts w:ascii="Aptos" w:hAnsi="Aptos"/>
        </w:rPr>
      </w:pPr>
      <w:bookmarkStart w:id="172" w:name="_Toc170983696"/>
      <w:r>
        <w:rPr>
          <w:rFonts w:ascii="Aptos" w:hAnsi="Aptos"/>
        </w:rPr>
        <w:t>Überprüfung des EU-Strommarktdesigns hinsichtlich Bezahlbarkeit</w:t>
      </w:r>
      <w:bookmarkEnd w:id="170"/>
      <w:bookmarkEnd w:id="171"/>
      <w:bookmarkEnd w:id="172"/>
      <w:r>
        <w:rPr>
          <w:rFonts w:ascii="Aptos" w:hAnsi="Aptos"/>
        </w:rPr>
        <w:t xml:space="preserve"> </w:t>
      </w:r>
    </w:p>
    <w:p w14:paraId="15153554"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783915D4"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9ABA07F"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5376494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1076339"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Gestaltung des Strommarktes steht im Zentrum energiepolitischer Diskussionen, insbesondere im Hinblick auf die Herausforderungen der Energiewende und des Klimawandels. In den letzten Jahren hat die EU-Kommission verschiedene Maßnahmen ergriffen, um den europäischen Strommarkt zu reformieren und auf die zunehmende Integration erneuerbarer Energien vorzubereiten. Dabei wurden Aspekte wie Effizienz, Nachhaltigkeit und Versorgungssicherheit in den Fokus gerückt. </w:t>
            </w:r>
            <w:r>
              <w:rPr>
                <w:rFonts w:ascii="Aptos" w:hAnsi="Aptos"/>
                <w:b/>
                <w:bCs/>
                <w:sz w:val="22"/>
                <w:szCs w:val="22"/>
              </w:rPr>
              <w:t>Beabsichtigen Sie, das Strommarktdesign in der nächsten Legislaturperiode erneut auf die zentralen Aspekte der Bezahlbarkeit zu überprüfen und gegebenenfalls neue Vorschläge einzubringen?</w:t>
            </w:r>
          </w:p>
        </w:tc>
      </w:tr>
      <w:tr w:rsidR="00623AF8" w14:paraId="2DAFDC7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BE57B15"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68FFF9D4"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EA9F3EF"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3F202A55"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695EA05" w14:textId="77777777" w:rsidTr="00875DD0">
        <w:tc>
          <w:tcPr>
            <w:tcW w:w="9060" w:type="dxa"/>
            <w:shd w:val="clear" w:color="auto" w:fill="D9D9D9" w:themeFill="background1" w:themeFillShade="D9"/>
            <w:hideMark/>
          </w:tcPr>
          <w:p w14:paraId="5004E36F"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203FB3B6" w14:textId="77777777" w:rsidR="00623AF8" w:rsidRDefault="00623AF8" w:rsidP="00623AF8">
      <w:pPr>
        <w:jc w:val="both"/>
        <w:rPr>
          <w:rFonts w:ascii="Aptos" w:hAnsi="Aptos"/>
          <w:sz w:val="22"/>
          <w:szCs w:val="22"/>
        </w:rPr>
      </w:pPr>
      <w:r>
        <w:rPr>
          <w:rFonts w:ascii="Aptos" w:hAnsi="Aptos"/>
          <w:sz w:val="22"/>
          <w:szCs w:val="22"/>
        </w:rPr>
        <w:t>In der nächsten Legislaturperiode ist es unerlässlich, das Strommarktdesign erneut auf die zentrale Frage der Bezahlbarkeit zu überprüfen. Die steigenden Energiekosten belasten Haushalte und Unternehmen zunehmend, was soziale und wirtschaftliche Spannungen verstärken kann. Eine Überprüfung muss sicherstellen, dass die Energiepreise für alle Verbraucher erschwinglich bleiben, ohne die Investitionen in erneuerbare Energien und die Netzstabilität zu gefährden.</w:t>
      </w:r>
    </w:p>
    <w:p w14:paraId="46DE0430" w14:textId="77777777" w:rsidR="00623AF8" w:rsidRDefault="00623AF8" w:rsidP="00623AF8">
      <w:pPr>
        <w:jc w:val="both"/>
        <w:rPr>
          <w:rFonts w:ascii="Aptos" w:hAnsi="Aptos"/>
          <w:sz w:val="22"/>
          <w:szCs w:val="22"/>
        </w:rPr>
      </w:pPr>
    </w:p>
    <w:p w14:paraId="4E5392AF" w14:textId="77777777" w:rsidR="00623AF8" w:rsidRDefault="00623AF8" w:rsidP="00623AF8">
      <w:pPr>
        <w:jc w:val="both"/>
        <w:rPr>
          <w:rFonts w:ascii="Aptos" w:hAnsi="Aptos"/>
          <w:sz w:val="22"/>
          <w:szCs w:val="22"/>
        </w:rPr>
      </w:pPr>
      <w:r>
        <w:rPr>
          <w:rFonts w:ascii="Aptos" w:hAnsi="Aptos"/>
          <w:sz w:val="22"/>
          <w:szCs w:val="22"/>
        </w:rPr>
        <w:t>Das Strommarktdesign muss sicherstellen, dass niedrigere Erzeugungskosten erneuerbarer Energien stärker bei den Endverbraucher:innen ankommen. Derzeit gelingt es nicht, sinkende Energiepreise auf dem Großhandelsmarkt an den Einzelhandelsmarkt weiterzugeben. Dies ist jedoch entscheidend, um die Akzeptanz der Energiewende zu gewährleisten. Nur wenn die Verbraucher:innen die Kostenvorteile direkt spüren, können sie die notwendige Unterstützung für die Umstellung auf erneuerbare Energien aufbringen. Ein effektiveres Weitergeben von Preissenkungen ist daher unerlässlich für den Erfolg der Energiewende und die breite gesellschaftliche Unterstützung für nachhaltige Energiequellen.</w:t>
      </w:r>
    </w:p>
    <w:p w14:paraId="772F16F7" w14:textId="77777777" w:rsidR="00623AF8" w:rsidRDefault="00623AF8" w:rsidP="00623AF8">
      <w:pPr>
        <w:jc w:val="both"/>
        <w:rPr>
          <w:rFonts w:ascii="Aptos" w:hAnsi="Aptos"/>
          <w:sz w:val="22"/>
          <w:szCs w:val="22"/>
        </w:rPr>
      </w:pPr>
    </w:p>
    <w:p w14:paraId="6491084D" w14:textId="77777777" w:rsidR="00623AF8" w:rsidRDefault="00623AF8" w:rsidP="00623AF8">
      <w:pPr>
        <w:jc w:val="both"/>
        <w:rPr>
          <w:rFonts w:ascii="Aptos" w:hAnsi="Aptos"/>
          <w:bCs/>
          <w:sz w:val="22"/>
          <w:szCs w:val="22"/>
        </w:rPr>
      </w:pPr>
      <w:r>
        <w:rPr>
          <w:rFonts w:ascii="Aptos" w:hAnsi="Aptos"/>
          <w:bCs/>
          <w:sz w:val="22"/>
          <w:szCs w:val="22"/>
        </w:rPr>
        <w:br w:type="page"/>
      </w:r>
    </w:p>
    <w:p w14:paraId="2AF85481" w14:textId="77777777" w:rsidR="00623AF8" w:rsidRDefault="00623AF8" w:rsidP="00623AF8">
      <w:pPr>
        <w:spacing w:after="120"/>
        <w:jc w:val="both"/>
        <w:rPr>
          <w:rFonts w:ascii="Aptos" w:hAnsi="Aptos"/>
          <w:bCs/>
          <w:iCs/>
          <w:sz w:val="22"/>
          <w:szCs w:val="22"/>
        </w:rPr>
      </w:pPr>
    </w:p>
    <w:p w14:paraId="13CEAD3C" w14:textId="77777777" w:rsidR="00623AF8" w:rsidRDefault="00623AF8" w:rsidP="00623AF8">
      <w:pPr>
        <w:pStyle w:val="berschrift1"/>
        <w:rPr>
          <w:rFonts w:ascii="Aptos" w:hAnsi="Aptos"/>
        </w:rPr>
      </w:pPr>
    </w:p>
    <w:p w14:paraId="7AD89E80" w14:textId="77777777" w:rsidR="00623AF8" w:rsidRDefault="00623AF8" w:rsidP="00623AF8">
      <w:pPr>
        <w:pStyle w:val="berschrift1"/>
        <w:rPr>
          <w:rFonts w:ascii="Aptos" w:hAnsi="Aptos"/>
        </w:rPr>
      </w:pPr>
      <w:bookmarkStart w:id="173" w:name="_Toc165540450"/>
      <w:bookmarkStart w:id="174" w:name="_Toc170294919"/>
      <w:bookmarkStart w:id="175" w:name="_Toc170983697"/>
      <w:r>
        <w:rPr>
          <w:rFonts w:ascii="Aptos" w:hAnsi="Aptos"/>
        </w:rPr>
        <w:t>Ersatz für die Merit-Order</w:t>
      </w:r>
      <w:bookmarkEnd w:id="173"/>
      <w:bookmarkEnd w:id="174"/>
      <w:bookmarkEnd w:id="175"/>
    </w:p>
    <w:p w14:paraId="63458E2F"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29D35B7"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6C7A4F"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3AD3B04A"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42281A1"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der sich ständig weiterentwickelnden Energiewirtschaft wird die Effizienz der Stromerzeugung zunehmend zu einem zentralen Anliegen. Die traditionelle Merit-Order, die die Reihenfolge der Stromerzeugung nach Kosten bestimmt, steht jedoch vor Herausforderungen. Die Integration erneuerbarer Energien und die Dynamik des Marktes erfordern möglicherweise eine Neugestaltung dieses Ansatzes. </w:t>
            </w:r>
            <w:r>
              <w:rPr>
                <w:rFonts w:ascii="Aptos" w:hAnsi="Aptos"/>
                <w:b/>
                <w:bCs/>
                <w:sz w:val="22"/>
                <w:szCs w:val="22"/>
              </w:rPr>
              <w:t>Planen Sie einen Ersatz für die Merit-Order und wenn ja, wie soll dieser konkret aussehen?</w:t>
            </w:r>
          </w:p>
        </w:tc>
      </w:tr>
      <w:tr w:rsidR="00623AF8" w14:paraId="4A8020CB"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61EE690"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5A139707"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076D69A"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Ist in diesem Zusammenhang die Einführung eines Strompreismodells geplant, das die Gestehungskosten stärker berücksichtigt?</w:t>
            </w:r>
          </w:p>
        </w:tc>
      </w:tr>
    </w:tbl>
    <w:p w14:paraId="3C95D384"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7DCD65C" w14:textId="77777777" w:rsidTr="00875DD0">
        <w:tc>
          <w:tcPr>
            <w:tcW w:w="9060" w:type="dxa"/>
            <w:shd w:val="clear" w:color="auto" w:fill="D9D9D9" w:themeFill="background1" w:themeFillShade="D9"/>
            <w:hideMark/>
          </w:tcPr>
          <w:p w14:paraId="5AE03EFA"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E186396" w14:textId="77777777" w:rsidR="00623AF8" w:rsidRDefault="00623AF8" w:rsidP="00623AF8">
      <w:pPr>
        <w:jc w:val="both"/>
        <w:rPr>
          <w:rFonts w:ascii="Aptos" w:hAnsi="Aptos"/>
          <w:sz w:val="22"/>
          <w:szCs w:val="22"/>
        </w:rPr>
      </w:pPr>
      <w:r>
        <w:rPr>
          <w:rFonts w:ascii="Aptos" w:hAnsi="Aptos"/>
          <w:sz w:val="22"/>
          <w:szCs w:val="22"/>
        </w:rPr>
        <w:t>Ein Ersatz für das derzeitige Preissystem ist sinnvoll, da es mehrere Schwächen aufweist, die die Energiewende und die Marktstabilität beeinträchtigen. Das bestehende System führt oft zu hohen Preisspitzen, wenn die teuersten Erzeugungseinheiten zur Deckung der Nachfrage eingesetzt werden müssen. Dies belastet Verbraucher und Unternehmen und schafft Unsicherheiten auf dem Markt.</w:t>
      </w:r>
    </w:p>
    <w:p w14:paraId="28B13501" w14:textId="77777777" w:rsidR="00623AF8" w:rsidRDefault="00623AF8" w:rsidP="00623AF8">
      <w:pPr>
        <w:jc w:val="both"/>
        <w:rPr>
          <w:rFonts w:ascii="Aptos" w:hAnsi="Aptos"/>
          <w:sz w:val="22"/>
          <w:szCs w:val="22"/>
        </w:rPr>
      </w:pPr>
    </w:p>
    <w:p w14:paraId="314B3417" w14:textId="77777777" w:rsidR="00623AF8" w:rsidRDefault="00623AF8" w:rsidP="00623AF8">
      <w:pPr>
        <w:jc w:val="both"/>
        <w:rPr>
          <w:rFonts w:ascii="Aptos" w:hAnsi="Aptos"/>
          <w:sz w:val="22"/>
          <w:szCs w:val="22"/>
        </w:rPr>
      </w:pPr>
      <w:r>
        <w:rPr>
          <w:rFonts w:ascii="Aptos" w:hAnsi="Aptos"/>
          <w:sz w:val="22"/>
          <w:szCs w:val="22"/>
        </w:rPr>
        <w:t>Ein alternatives Strompreismodell, das die Gestehungskosten stärker berücksichtigt, könnte diese Probleme mildern. Durch die Berücksichtigung der tatsächlichen Erzeugungskosten aller Energiequellen würde ein solches Modell faire und stabile Preise fördern, die die wahren Kosten der Energieproduktion widerspiegeln. Dies würde nicht nur die Preisschwankungen verringern, sondern auch den Ausbau erneuerbarer Energien unterstützen, indem es saubere Energiequellen konkurrenzfähiger macht.</w:t>
      </w:r>
    </w:p>
    <w:p w14:paraId="2D1A3032" w14:textId="77777777" w:rsidR="00623AF8" w:rsidRDefault="00623AF8" w:rsidP="00623AF8">
      <w:pPr>
        <w:jc w:val="both"/>
        <w:rPr>
          <w:rFonts w:ascii="Aptos" w:hAnsi="Aptos"/>
          <w:sz w:val="22"/>
          <w:szCs w:val="22"/>
        </w:rPr>
      </w:pPr>
    </w:p>
    <w:p w14:paraId="60B7BFD6" w14:textId="77777777" w:rsidR="00623AF8" w:rsidRDefault="00623AF8" w:rsidP="00623AF8">
      <w:pPr>
        <w:jc w:val="both"/>
        <w:rPr>
          <w:rFonts w:ascii="Aptos" w:hAnsi="Aptos"/>
          <w:bCs/>
          <w:sz w:val="22"/>
          <w:szCs w:val="22"/>
        </w:rPr>
      </w:pPr>
      <w:r>
        <w:rPr>
          <w:rFonts w:ascii="Aptos" w:hAnsi="Aptos"/>
          <w:sz w:val="22"/>
          <w:szCs w:val="22"/>
        </w:rPr>
        <w:t>Darüber hinaus könnte ein solches Preismodell die Investitionen in nachhaltige Technologien anregen, da es die finanziellen Anreize für effiziente und umweltfreundliche Erzeugungskapazitäten stärkt. Insgesamt würde dies zu einer stabileren, gerechteren und ökologisch nachhaltigeren Energieversorgung führen, die sowohl den Bedürfnissen der Verbraucher als auch den Zielen der Energiewende gerecht wird.</w:t>
      </w:r>
      <w:r>
        <w:rPr>
          <w:rFonts w:ascii="Aptos" w:hAnsi="Aptos"/>
          <w:bCs/>
          <w:sz w:val="22"/>
          <w:szCs w:val="22"/>
        </w:rPr>
        <w:t xml:space="preserve"> </w:t>
      </w:r>
    </w:p>
    <w:p w14:paraId="04474E23" w14:textId="77777777" w:rsidR="00623AF8" w:rsidRDefault="00623AF8" w:rsidP="00623AF8">
      <w:pPr>
        <w:rPr>
          <w:rFonts w:ascii="Aptos" w:hAnsi="Aptos"/>
          <w:bCs/>
          <w:sz w:val="22"/>
          <w:szCs w:val="22"/>
        </w:rPr>
      </w:pPr>
      <w:r>
        <w:rPr>
          <w:rFonts w:ascii="Aptos" w:hAnsi="Aptos"/>
          <w:bCs/>
          <w:sz w:val="22"/>
          <w:szCs w:val="22"/>
        </w:rPr>
        <w:br w:type="page"/>
      </w:r>
    </w:p>
    <w:p w14:paraId="3E8D3C94" w14:textId="77777777" w:rsidR="00623AF8" w:rsidRDefault="00623AF8" w:rsidP="00623AF8">
      <w:pPr>
        <w:spacing w:after="120"/>
        <w:jc w:val="both"/>
        <w:rPr>
          <w:rFonts w:ascii="Aptos" w:hAnsi="Aptos"/>
          <w:bCs/>
          <w:iCs/>
          <w:sz w:val="22"/>
          <w:szCs w:val="22"/>
        </w:rPr>
      </w:pPr>
    </w:p>
    <w:p w14:paraId="4B59C585" w14:textId="77777777" w:rsidR="00623AF8" w:rsidRDefault="00623AF8" w:rsidP="00623AF8">
      <w:pPr>
        <w:pStyle w:val="berschrift1"/>
        <w:rPr>
          <w:rFonts w:ascii="Aptos" w:hAnsi="Aptos"/>
        </w:rPr>
      </w:pPr>
    </w:p>
    <w:p w14:paraId="4DFB4B4B" w14:textId="77777777" w:rsidR="00623AF8" w:rsidRDefault="00623AF8" w:rsidP="00623AF8">
      <w:pPr>
        <w:pStyle w:val="berschrift1"/>
        <w:rPr>
          <w:rFonts w:ascii="Aptos" w:hAnsi="Aptos"/>
        </w:rPr>
      </w:pPr>
      <w:bookmarkStart w:id="176" w:name="_Toc165540451"/>
      <w:bookmarkStart w:id="177" w:name="_Toc170294920"/>
    </w:p>
    <w:p w14:paraId="3C845D21" w14:textId="77777777" w:rsidR="00623AF8" w:rsidRDefault="00623AF8" w:rsidP="00623AF8">
      <w:pPr>
        <w:pStyle w:val="berschrift1"/>
        <w:rPr>
          <w:rFonts w:ascii="Aptos" w:hAnsi="Aptos"/>
        </w:rPr>
      </w:pPr>
      <w:bookmarkStart w:id="178" w:name="_Toc170983698"/>
      <w:r>
        <w:rPr>
          <w:rFonts w:ascii="Aptos" w:hAnsi="Aptos"/>
        </w:rPr>
        <w:t>Ausweitung der Sektoren in ETS</w:t>
      </w:r>
      <w:bookmarkEnd w:id="176"/>
      <w:bookmarkEnd w:id="177"/>
      <w:bookmarkEnd w:id="178"/>
    </w:p>
    <w:p w14:paraId="3CF58F82"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1A2B8D18"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38F43DF"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41986094"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13D08559"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Einführung des Emissionshandelssystems (ETS) war ein wichtiger Schritt im Kampf gegen den Klimawandel. Seit seiner Einführung wurden verschiedene Sektoren in das System einbezogen, darunter Energieerzeugung, Industrie und Luftverkehr. Das für 2027 geplante ETS II soll künftig auch Gebäude und Straßenverkehr umfassen. </w:t>
            </w:r>
            <w:r>
              <w:rPr>
                <w:rFonts w:ascii="Aptos" w:hAnsi="Aptos"/>
                <w:b/>
                <w:bCs/>
                <w:sz w:val="22"/>
                <w:szCs w:val="22"/>
              </w:rPr>
              <w:t>Ist von Ihnen eine Ausweitung des ETS auf weitere Sektoren geplant?</w:t>
            </w:r>
          </w:p>
        </w:tc>
      </w:tr>
      <w:tr w:rsidR="00623AF8" w14:paraId="481D85FB"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DBDDEEB"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2200821C"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FA9D942"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Ziehen Sie in ETS II ein Nachschärfen des Preisstabilitätsmechanismus im Sinne des Klimaschutzes in Betracht?</w:t>
            </w:r>
          </w:p>
        </w:tc>
      </w:tr>
    </w:tbl>
    <w:p w14:paraId="088C2A71"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1AC8477" w14:textId="77777777" w:rsidTr="00875DD0">
        <w:tc>
          <w:tcPr>
            <w:tcW w:w="9060" w:type="dxa"/>
            <w:shd w:val="clear" w:color="auto" w:fill="D9D9D9" w:themeFill="background1" w:themeFillShade="D9"/>
            <w:hideMark/>
          </w:tcPr>
          <w:p w14:paraId="0444E25C"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3262A70B" w14:textId="77777777" w:rsidR="00623AF8" w:rsidRDefault="00623AF8" w:rsidP="00623AF8">
      <w:pPr>
        <w:spacing w:after="100" w:afterAutospacing="1"/>
        <w:jc w:val="both"/>
        <w:rPr>
          <w:rFonts w:ascii="Aptos" w:hAnsi="Aptos"/>
          <w:sz w:val="22"/>
          <w:szCs w:val="22"/>
        </w:rPr>
      </w:pPr>
      <w:r>
        <w:rPr>
          <w:rFonts w:ascii="Aptos" w:hAnsi="Aptos"/>
          <w:sz w:val="22"/>
          <w:szCs w:val="22"/>
        </w:rPr>
        <w:t>Die Einführung und Weiterentwicklung des Emissionshandelssystems (ETS) war ein bedeutender Schritt im Kampf gegen den Klimawandel. Seit seiner Einführung hat das ETS als marktbasiertes Instrument dazu beigetragen, die CO2-Emissionen in der EU zu reduzieren, indem es einen Preis auf Kohlenstoff setzt und somit finanzielle Anreize für emissionsärmere Technologien schafft. Verschiedene Sektoren, darunter Energieerzeugung, Industrie und Luftverkehr, wurden bereits in das System einbezogen und haben dadurch ihre Emissionen deutlich gesenkt.</w:t>
      </w:r>
    </w:p>
    <w:p w14:paraId="0DAF145C"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Das für 2027 geplante ETS II zielt darauf ab, auch Gebäude und Straßenverkehr zu umfassen, was die Reichweite und Wirkung des Systems erheblich erweitern wird. Diese Ausweitung ist entscheidend, da Gebäude und der Verkehrssektor bedeutende Quellen von Treibhausgasemissionen sind. Eine umfassendere Anwendung des ETS wird die Dekarbonisierung dieser Sektoren beschleunigen und zur Erreichung der Klimaziele beitragen. Durch die kontinuierliche Anpassung und Erweiterung des ETS könnte die EU sicherstellen, durchgehend starke Anreize für Emissionsreduktionen zu bieten und die langfristige Planungssicherheit für Investitionen in klimafreundliche Technologien zu gewährleisten.</w:t>
      </w:r>
    </w:p>
    <w:p w14:paraId="10ACCC37" w14:textId="77777777" w:rsidR="00623AF8" w:rsidRDefault="00623AF8" w:rsidP="00623AF8">
      <w:pPr>
        <w:rPr>
          <w:rFonts w:ascii="Aptos" w:hAnsi="Aptos"/>
          <w:bCs/>
          <w:sz w:val="22"/>
          <w:szCs w:val="22"/>
        </w:rPr>
      </w:pPr>
      <w:r>
        <w:rPr>
          <w:rFonts w:ascii="Aptos" w:hAnsi="Aptos"/>
          <w:bCs/>
          <w:sz w:val="22"/>
          <w:szCs w:val="22"/>
        </w:rPr>
        <w:br w:type="page"/>
      </w:r>
    </w:p>
    <w:p w14:paraId="502315B3" w14:textId="77777777" w:rsidR="00623AF8" w:rsidRDefault="00623AF8" w:rsidP="00623AF8">
      <w:pPr>
        <w:pStyle w:val="berschrift1"/>
        <w:rPr>
          <w:rFonts w:ascii="Aptos" w:hAnsi="Aptos"/>
        </w:rPr>
      </w:pPr>
    </w:p>
    <w:p w14:paraId="6D0444F3" w14:textId="77777777" w:rsidR="00623AF8" w:rsidRDefault="00623AF8" w:rsidP="00623AF8">
      <w:pPr>
        <w:pStyle w:val="berschrift1"/>
        <w:rPr>
          <w:rFonts w:ascii="Aptos" w:hAnsi="Aptos"/>
        </w:rPr>
      </w:pPr>
      <w:bookmarkStart w:id="179" w:name="_Toc165540452"/>
      <w:bookmarkStart w:id="180" w:name="_Toc170294921"/>
      <w:bookmarkStart w:id="181" w:name="_Toc170983699"/>
      <w:r>
        <w:rPr>
          <w:rFonts w:ascii="Aptos" w:hAnsi="Aptos"/>
        </w:rPr>
        <w:t>Integrierung von CCUS in das ETS</w:t>
      </w:r>
      <w:bookmarkEnd w:id="179"/>
      <w:bookmarkEnd w:id="180"/>
      <w:bookmarkEnd w:id="181"/>
    </w:p>
    <w:p w14:paraId="57D5FEB5"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19BC8AD"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7995D44"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1A2E49DE"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06E7FEC" w14:textId="77777777" w:rsidR="00623AF8" w:rsidRDefault="00623AF8" w:rsidP="00875DD0">
            <w:pPr>
              <w:spacing w:before="120" w:after="120"/>
              <w:jc w:val="both"/>
              <w:rPr>
                <w:rFonts w:ascii="Aptos" w:hAnsi="Aptos"/>
                <w:sz w:val="22"/>
                <w:szCs w:val="22"/>
              </w:rPr>
            </w:pPr>
            <w:r>
              <w:rPr>
                <w:rFonts w:ascii="Aptos" w:hAnsi="Aptos"/>
                <w:sz w:val="22"/>
                <w:szCs w:val="22"/>
              </w:rPr>
              <w:t>Carbon Capture Utilization (CCU) und Carbon Capture Storage (CCS) könnten eine entscheidende Rolle bei der Reduzierung der CO</w:t>
            </w:r>
            <w:r>
              <w:rPr>
                <w:rFonts w:ascii="Aptos" w:hAnsi="Aptos"/>
                <w:sz w:val="22"/>
                <w:szCs w:val="22"/>
                <w:vertAlign w:val="subscript"/>
              </w:rPr>
              <w:t>2</w:t>
            </w:r>
            <w:r>
              <w:rPr>
                <w:rFonts w:ascii="Aptos" w:hAnsi="Aptos"/>
                <w:sz w:val="22"/>
                <w:szCs w:val="22"/>
              </w:rPr>
              <w:t>-Emissionen spielen, indem es Industrien ermöglicht, ihren Kohlenstoffausstoß zu erfassen, zu reduzieren und zu speichern. Angesichts der Notwendigkeit, Kohlendioxid aus der Atmosphäre zu entfernen, wird die Technologie der CO</w:t>
            </w:r>
            <w:r>
              <w:rPr>
                <w:rFonts w:ascii="Aptos" w:hAnsi="Aptos"/>
                <w:sz w:val="22"/>
                <w:szCs w:val="22"/>
                <w:vertAlign w:val="subscript"/>
              </w:rPr>
              <w:t>2</w:t>
            </w:r>
            <w:r>
              <w:rPr>
                <w:rFonts w:ascii="Aptos" w:hAnsi="Aptos"/>
                <w:sz w:val="22"/>
                <w:szCs w:val="22"/>
              </w:rPr>
              <w:t xml:space="preserve">-Abscheidung und -speicherung als potenzieller Schlüssel zur Erreichung der Klimaziele betrachtet. </w:t>
            </w:r>
            <w:r>
              <w:rPr>
                <w:rFonts w:ascii="Aptos" w:hAnsi="Aptos"/>
                <w:b/>
                <w:bCs/>
                <w:sz w:val="22"/>
                <w:szCs w:val="22"/>
              </w:rPr>
              <w:t>Inwiefern planen Sie, CCUS in das ETS-System zu integrieren, um Anreize für Unternehmen zu schaffen, in diese Technologie zu investieren und den CO</w:t>
            </w:r>
            <w:r>
              <w:rPr>
                <w:rFonts w:ascii="Aptos" w:hAnsi="Aptos"/>
                <w:b/>
                <w:bCs/>
                <w:sz w:val="22"/>
                <w:szCs w:val="22"/>
                <w:vertAlign w:val="subscript"/>
              </w:rPr>
              <w:t>2</w:t>
            </w:r>
            <w:r>
              <w:rPr>
                <w:rFonts w:ascii="Aptos" w:hAnsi="Aptos"/>
                <w:b/>
                <w:bCs/>
                <w:sz w:val="22"/>
                <w:szCs w:val="22"/>
              </w:rPr>
              <w:t>-Ausstoß weiter zu reduzieren und wenn ja, wie?</w:t>
            </w:r>
          </w:p>
        </w:tc>
      </w:tr>
      <w:tr w:rsidR="00623AF8" w14:paraId="006EF3AE"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CD487E9"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44678A2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B86FB68"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Welche Rolle spielt insbesondere Bioenergie mit CO</w:t>
            </w:r>
            <w:r>
              <w:rPr>
                <w:rFonts w:ascii="Aptos" w:hAnsi="Aptos"/>
                <w:sz w:val="22"/>
                <w:szCs w:val="22"/>
                <w:vertAlign w:val="subscript"/>
              </w:rPr>
              <w:t>2</w:t>
            </w:r>
            <w:r>
              <w:rPr>
                <w:rFonts w:ascii="Aptos" w:hAnsi="Aptos"/>
                <w:sz w:val="22"/>
                <w:szCs w:val="22"/>
              </w:rPr>
              <w:t>-Abscheidung und -Speicherung (BECCS) bzw. -Nutzung (BECCU)?</w:t>
            </w:r>
          </w:p>
        </w:tc>
      </w:tr>
    </w:tbl>
    <w:p w14:paraId="532C5A34"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34E04E9F" w14:textId="77777777" w:rsidTr="00875DD0">
        <w:tc>
          <w:tcPr>
            <w:tcW w:w="9060" w:type="dxa"/>
            <w:shd w:val="clear" w:color="auto" w:fill="D9D9D9" w:themeFill="background1" w:themeFillShade="D9"/>
            <w:hideMark/>
          </w:tcPr>
          <w:p w14:paraId="678D5AC6"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C350ACC" w14:textId="77777777" w:rsidR="00623AF8" w:rsidRDefault="00623AF8" w:rsidP="00623AF8">
      <w:pPr>
        <w:spacing w:after="100" w:afterAutospacing="1"/>
        <w:jc w:val="both"/>
        <w:rPr>
          <w:rFonts w:ascii="Aptos" w:hAnsi="Aptos"/>
          <w:sz w:val="22"/>
          <w:szCs w:val="22"/>
        </w:rPr>
      </w:pPr>
      <w:r>
        <w:rPr>
          <w:rFonts w:ascii="Aptos" w:hAnsi="Aptos"/>
          <w:sz w:val="22"/>
          <w:szCs w:val="22"/>
        </w:rPr>
        <w:t>Die Integration von Carbon Capture, Utilization, and Storage (CCUS) in das Emissionshandelssystem (ETS) wäre ein wichtiger Schritt, um die Dekarbonisierung voranzutreiben und den CO2-Ausstoß signifikant zu reduzieren. CCUS-Technologien bieten die Möglichkeit, CO2-Emissionen direkt an der Quelle abzufangen, zu nutzen oder dauerhaft zu speichern, was einen bedeutenden Beitrag zum Klimaschutz leisten kann.</w:t>
      </w:r>
    </w:p>
    <w:p w14:paraId="39EBF034"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Durch die Einbindung von CCUS in das ETS-System würden Unternehmen finanzielle Anreize erhalten, in diese fortschrittlichen Technologien zu investieren. Dies könnte durch die Vergabe zusätzlicher Emissionszertifikate oder durch spezielle Förderprogramme geschehen, die die Kosten für die Implementierung und den Betrieb von CCUS-Anlagen abmildern. Solche Anreize würden die wirtschaftliche Attraktivität von CCUS erhöhen und die Akzeptanz und Verbreitung dieser Technologien beschleunigen.</w:t>
      </w:r>
    </w:p>
    <w:p w14:paraId="2B6AC84B"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Ein spezieller Aspekt von CCUS ist die Bioenergie mit CO2-Abscheidung und -Speicherung (BECCS) bzw. -Nutzung (BECCU). BECCS kombiniert die Verbrennung von Biomasse zur Energieerzeugung mit der Abscheidung und Speicherung des dabei entstehenden CO2. Dadurch kann ein negativer CO2-Ausstoß erzielt werden, was bedeutet, dass mehr CO2 aus der Atmosphäre entfernt wird, als freigesetzt wird. BECCU hingegen fokussiert sich auf die Nutzung des abgeschiedenen CO2, etwa in industriellen Prozessen oder als Rohstoff für die Herstellung von Produkten.</w:t>
      </w:r>
    </w:p>
    <w:p w14:paraId="3A92B113" w14:textId="77777777" w:rsidR="00623AF8" w:rsidRDefault="00623AF8" w:rsidP="00623AF8">
      <w:pPr>
        <w:spacing w:before="100" w:beforeAutospacing="1" w:after="100" w:afterAutospacing="1"/>
        <w:jc w:val="both"/>
        <w:rPr>
          <w:rFonts w:ascii="Aptos" w:hAnsi="Aptos"/>
          <w:bCs/>
          <w:sz w:val="22"/>
          <w:szCs w:val="22"/>
        </w:rPr>
      </w:pPr>
      <w:r>
        <w:rPr>
          <w:rFonts w:ascii="Aptos" w:hAnsi="Aptos"/>
          <w:sz w:val="22"/>
          <w:szCs w:val="22"/>
        </w:rPr>
        <w:t>Die Integration von BECCS und BECCU in das ETS-System würde die Reduktion von Treibhausgasemissionen weiter verstärken und gleichzeitig die Entwicklung nachhaltiger Technologien fördern. Dies trägt erheblich zur Erreichung der Klimaziele bei und unterstützt den Übergang zu einer kohlenstoffarmen Wirtschaft.</w:t>
      </w:r>
      <w:r>
        <w:rPr>
          <w:rFonts w:ascii="Aptos" w:hAnsi="Aptos"/>
          <w:bCs/>
          <w:sz w:val="22"/>
          <w:szCs w:val="22"/>
        </w:rPr>
        <w:br w:type="page"/>
      </w:r>
    </w:p>
    <w:p w14:paraId="289FF8DA" w14:textId="77777777" w:rsidR="00623AF8" w:rsidRDefault="00623AF8" w:rsidP="00623AF8">
      <w:pPr>
        <w:pStyle w:val="berschrift1"/>
        <w:rPr>
          <w:rFonts w:ascii="Aptos" w:hAnsi="Aptos"/>
        </w:rPr>
      </w:pPr>
    </w:p>
    <w:p w14:paraId="1C1A7999" w14:textId="77777777" w:rsidR="00623AF8" w:rsidRDefault="00623AF8" w:rsidP="00623AF8">
      <w:pPr>
        <w:pStyle w:val="berschrift1"/>
        <w:rPr>
          <w:rFonts w:ascii="Aptos" w:hAnsi="Aptos"/>
        </w:rPr>
      </w:pPr>
    </w:p>
    <w:p w14:paraId="3EB7911D" w14:textId="77777777" w:rsidR="00623AF8" w:rsidRDefault="00623AF8" w:rsidP="00623AF8">
      <w:pPr>
        <w:pStyle w:val="berschrift1"/>
        <w:rPr>
          <w:rFonts w:ascii="Aptos" w:hAnsi="Aptos"/>
        </w:rPr>
      </w:pPr>
      <w:bookmarkStart w:id="182" w:name="_Toc165540453"/>
      <w:bookmarkStart w:id="183" w:name="_Toc170294922"/>
      <w:bookmarkStart w:id="184" w:name="_Toc170983700"/>
      <w:r>
        <w:rPr>
          <w:rFonts w:ascii="Aptos" w:hAnsi="Aptos"/>
        </w:rPr>
        <w:t>Relevanz von CCUS im Kontext von hard-to-abate-Prozessen</w:t>
      </w:r>
      <w:bookmarkEnd w:id="182"/>
      <w:bookmarkEnd w:id="183"/>
      <w:bookmarkEnd w:id="184"/>
      <w:r>
        <w:rPr>
          <w:rFonts w:ascii="Aptos" w:hAnsi="Aptos"/>
        </w:rPr>
        <w:t xml:space="preserve"> </w:t>
      </w:r>
    </w:p>
    <w:p w14:paraId="2346D7A9"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5AF3484"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FCC24DD"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625F64CE"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D7E53BE" w14:textId="77777777" w:rsidR="00623AF8" w:rsidRDefault="00623AF8" w:rsidP="00875DD0">
            <w:pPr>
              <w:spacing w:before="120" w:after="120"/>
              <w:jc w:val="both"/>
              <w:rPr>
                <w:rFonts w:ascii="Aptos" w:hAnsi="Aptos"/>
                <w:sz w:val="22"/>
                <w:szCs w:val="22"/>
              </w:rPr>
            </w:pPr>
            <w:r>
              <w:rPr>
                <w:rFonts w:ascii="Aptos" w:hAnsi="Aptos"/>
                <w:sz w:val="22"/>
                <w:szCs w:val="22"/>
              </w:rPr>
              <w:t>Angesichts der Dringlichkeit, den Klimawandel einzudämmen, hat die Diskussion über Kohlenstoffabscheidung, -nutzung und -speicherung (CCUS) weltweit an Bedeutung gewonnen. CCUS bietet zwar eine Möglichkeit, CO</w:t>
            </w:r>
            <w:r>
              <w:rPr>
                <w:rFonts w:ascii="Aptos" w:hAnsi="Aptos"/>
                <w:sz w:val="22"/>
                <w:szCs w:val="22"/>
                <w:vertAlign w:val="subscript"/>
              </w:rPr>
              <w:t>2</w:t>
            </w:r>
            <w:r>
              <w:rPr>
                <w:rFonts w:ascii="Aptos" w:hAnsi="Aptos"/>
                <w:sz w:val="22"/>
                <w:szCs w:val="22"/>
              </w:rPr>
              <w:t>-Emissionen zu reduzieren, indem es ermöglicht, Kohlenstoff aus industriellen Prozessen und Stromerzeugung zu erfassen und zu speichern. Allerdings sind damit auch diverse Risiken verbunden, insbesondere hinsichtlich möglicher Leckagen und den damit verbundenen Schadstoffeinträgen in Grundwasser und Böden sowie wiederum erhöhten CO</w:t>
            </w:r>
            <w:r>
              <w:rPr>
                <w:rFonts w:ascii="Aptos" w:hAnsi="Aptos"/>
                <w:sz w:val="22"/>
                <w:szCs w:val="22"/>
                <w:vertAlign w:val="subscript"/>
              </w:rPr>
              <w:t>2</w:t>
            </w:r>
            <w:r>
              <w:rPr>
                <w:rFonts w:ascii="Aptos" w:hAnsi="Aptos"/>
                <w:sz w:val="22"/>
                <w:szCs w:val="22"/>
              </w:rPr>
              <w:t xml:space="preserve">-Werten. </w:t>
            </w:r>
            <w:r>
              <w:rPr>
                <w:rFonts w:ascii="Aptos" w:hAnsi="Aptos"/>
                <w:b/>
                <w:bCs/>
                <w:sz w:val="22"/>
                <w:szCs w:val="22"/>
              </w:rPr>
              <w:t>Inwiefern ist vor diesem Hintergrund CCUS tatsächlich als zukunftsfähiges und nachhaltiges Verfahren zu betrachten?</w:t>
            </w:r>
          </w:p>
        </w:tc>
      </w:tr>
      <w:tr w:rsidR="00623AF8" w14:paraId="415C291E"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0AB294D"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75E25BE6"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7A23BF2"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 xml:space="preserve">Insbesondere bei schwer zu dekarbonisierenden Prozessen wie der Stahl- und Zementherstellung könnte CCUS eine entscheidende Rolle spielen. </w:t>
            </w:r>
            <w:r>
              <w:rPr>
                <w:rFonts w:ascii="Aptos" w:hAnsi="Aptos"/>
                <w:b/>
                <w:bCs/>
                <w:sz w:val="22"/>
                <w:szCs w:val="22"/>
              </w:rPr>
              <w:t>In welchem Ausmaß planen Sie mit CCUS und als wie sinnvoll erachten Sie diese Methode in Verbindung mit hard-to-abate Prozessen?</w:t>
            </w:r>
          </w:p>
        </w:tc>
      </w:tr>
    </w:tbl>
    <w:p w14:paraId="07EC6E1C"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4A4D3EE8" w14:textId="77777777" w:rsidTr="00875DD0">
        <w:tc>
          <w:tcPr>
            <w:tcW w:w="9060" w:type="dxa"/>
            <w:shd w:val="clear" w:color="auto" w:fill="D9D9D9" w:themeFill="background1" w:themeFillShade="D9"/>
            <w:hideMark/>
          </w:tcPr>
          <w:p w14:paraId="1448DCD9"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0732E77" w14:textId="77777777" w:rsidR="00623AF8" w:rsidRDefault="00623AF8" w:rsidP="00623AF8">
      <w:pPr>
        <w:spacing w:after="100" w:afterAutospacing="1"/>
        <w:jc w:val="both"/>
        <w:rPr>
          <w:rFonts w:ascii="Aptos" w:hAnsi="Aptos"/>
          <w:sz w:val="22"/>
          <w:szCs w:val="22"/>
        </w:rPr>
      </w:pPr>
      <w:r>
        <w:rPr>
          <w:rFonts w:ascii="Aptos" w:hAnsi="Aptos"/>
          <w:sz w:val="22"/>
          <w:szCs w:val="22"/>
        </w:rPr>
        <w:t>Angesichts der Dringlichkeit, den Klimawandel einzudämmen, hat die Diskussion über Kohlenstoffabscheidung, -nutzung und -speicherung (CCUS) weltweit an Bedeutung gewonnen. CCUS bietet eine Möglichkeit, CO2-Emissionen zu reduzieren, indem es Kohlenstoff aus industriellen Prozessen und der Stromerzeugung erfasst und speichert.</w:t>
      </w:r>
    </w:p>
    <w:p w14:paraId="2DCA3917"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CCUS könnte insbesondere bei schwer zu dekarbonisierenden Prozessen wie der Stahl- und Zementherstellung eine entscheidende Rolle spielen. Diese Prozesse sind schwer zu dekarbonisieren, da sie hohe Temperaturen und chemische Reaktionen erfordern, die CO2 freisetzen. Durch CCUS des erzeugten CO2 kann ein großer Teil dieser Emissionen vermieden werden. Darüber hinaus ermöglicht die Nutzung des abgeschiedenen CO2 in industriellen Anwendungen, wie der Herstellung von synthetischen Kraftstoffen und Baumaterialien, eine weitere Reduktion des CO2-Fußabdrucks und fördert eine nachhaltige Kreislaufwirtschaft.</w:t>
      </w:r>
    </w:p>
    <w:p w14:paraId="41FCE120"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Allerdings sind mit CCUS auch diverse Risiken verbunden. Es besteht die Gefahr möglicher Leckagen, die Schadstoffe in das Grundwasser und die Böden eintragen und zu erhöhten CO2-Werten führen könnten. Die Sicherheit und Langzeitstabilität der Speicherung stellen weiterhin große Herausforderungen dar. Darüber hinaus gibt es auch Bedenken, dass die Abhängigkeit von CCUS die Bemühungen zur Reduzierung der CO2-Emissionen an der Quelle verringern könnte, indem sie als Lösung für die fortgesetzte Nutzung fossiler Brennstoffe angesehen wird.</w:t>
      </w:r>
    </w:p>
    <w:p w14:paraId="1D556431" w14:textId="77777777" w:rsidR="00623AF8" w:rsidRDefault="00623AF8" w:rsidP="00623AF8">
      <w:pPr>
        <w:rPr>
          <w:rFonts w:ascii="Aptos" w:hAnsi="Aptos"/>
          <w:bCs/>
          <w:sz w:val="22"/>
          <w:szCs w:val="22"/>
        </w:rPr>
      </w:pPr>
      <w:r>
        <w:rPr>
          <w:rFonts w:ascii="Aptos" w:hAnsi="Aptos"/>
          <w:bCs/>
          <w:sz w:val="22"/>
          <w:szCs w:val="22"/>
        </w:rPr>
        <w:br w:type="page"/>
      </w:r>
    </w:p>
    <w:p w14:paraId="6FF15DED" w14:textId="77777777" w:rsidR="00623AF8" w:rsidRDefault="00623AF8" w:rsidP="00623AF8">
      <w:pPr>
        <w:spacing w:after="120"/>
        <w:jc w:val="both"/>
        <w:rPr>
          <w:rFonts w:ascii="Aptos" w:hAnsi="Aptos"/>
          <w:bCs/>
          <w:iCs/>
          <w:sz w:val="22"/>
          <w:szCs w:val="22"/>
        </w:rPr>
      </w:pPr>
    </w:p>
    <w:p w14:paraId="19AD3ACC" w14:textId="77777777" w:rsidR="00623AF8" w:rsidRDefault="00623AF8" w:rsidP="00623AF8">
      <w:pPr>
        <w:pStyle w:val="berschrift1"/>
        <w:rPr>
          <w:rFonts w:ascii="Aptos" w:hAnsi="Aptos"/>
        </w:rPr>
      </w:pPr>
    </w:p>
    <w:p w14:paraId="25B55497" w14:textId="77777777" w:rsidR="00623AF8" w:rsidRDefault="00623AF8" w:rsidP="00623AF8">
      <w:pPr>
        <w:pStyle w:val="berschrift1"/>
        <w:rPr>
          <w:rFonts w:ascii="Aptos" w:hAnsi="Aptos"/>
        </w:rPr>
      </w:pPr>
      <w:bookmarkStart w:id="185" w:name="_Toc165540454"/>
      <w:bookmarkStart w:id="186" w:name="_Toc170294923"/>
    </w:p>
    <w:p w14:paraId="387AEC56" w14:textId="77777777" w:rsidR="00623AF8" w:rsidRDefault="00623AF8" w:rsidP="00623AF8">
      <w:pPr>
        <w:pStyle w:val="berschrift1"/>
        <w:rPr>
          <w:rFonts w:ascii="Aptos" w:hAnsi="Aptos"/>
        </w:rPr>
      </w:pPr>
      <w:bookmarkStart w:id="187" w:name="_Toc170983701"/>
      <w:r>
        <w:rPr>
          <w:rFonts w:ascii="Aptos" w:hAnsi="Aptos"/>
        </w:rPr>
        <w:t>Maßnahmen zur Eingrenzung von Schwankungen des CO</w:t>
      </w:r>
      <w:r>
        <w:rPr>
          <w:rFonts w:ascii="Aptos" w:hAnsi="Aptos"/>
          <w:vertAlign w:val="subscript"/>
        </w:rPr>
        <w:t>2</w:t>
      </w:r>
      <w:r>
        <w:rPr>
          <w:rFonts w:ascii="Aptos" w:hAnsi="Aptos"/>
        </w:rPr>
        <w:t>-Preises</w:t>
      </w:r>
      <w:bookmarkEnd w:id="185"/>
      <w:bookmarkEnd w:id="186"/>
      <w:bookmarkEnd w:id="187"/>
    </w:p>
    <w:p w14:paraId="5EC98405"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43C8367"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3DA996B"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7F654F9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089BEB0" w14:textId="77777777" w:rsidR="00623AF8" w:rsidRDefault="00623AF8" w:rsidP="00875DD0">
            <w:pPr>
              <w:spacing w:before="120" w:after="120"/>
              <w:jc w:val="both"/>
              <w:rPr>
                <w:rFonts w:ascii="Aptos" w:hAnsi="Aptos"/>
                <w:sz w:val="22"/>
                <w:szCs w:val="22"/>
              </w:rPr>
            </w:pPr>
            <w:r>
              <w:rPr>
                <w:rFonts w:ascii="Aptos" w:hAnsi="Aptos"/>
                <w:sz w:val="22"/>
                <w:szCs w:val="22"/>
              </w:rPr>
              <w:t>Die Volatilität in den CO</w:t>
            </w:r>
            <w:r>
              <w:rPr>
                <w:rFonts w:ascii="Aptos" w:hAnsi="Aptos"/>
                <w:sz w:val="22"/>
                <w:szCs w:val="22"/>
                <w:vertAlign w:val="subscript"/>
              </w:rPr>
              <w:t>2</w:t>
            </w:r>
            <w:r>
              <w:rPr>
                <w:rFonts w:ascii="Aptos" w:hAnsi="Aptos"/>
                <w:sz w:val="22"/>
                <w:szCs w:val="22"/>
              </w:rPr>
              <w:t xml:space="preserve">-Märkten kann erhebliche Auswirkungen auf verschiedene Sektoren haben und die Effektivität klimapolitischer Maßnahmen beeinträchtigen. Daher ist es von entscheidender Bedeutung, Maßnahmen zu ergreifen, um diese Schwankungen einzudämmen und ein Maß an Vorhersehbarkeit und Sicherheit für Unternehmen und Investoren zu schaffen. </w:t>
            </w:r>
            <w:r>
              <w:rPr>
                <w:rFonts w:ascii="Aptos" w:hAnsi="Aptos"/>
                <w:b/>
                <w:bCs/>
                <w:sz w:val="22"/>
                <w:szCs w:val="22"/>
              </w:rPr>
              <w:t>Welche Maßnahmen planen Sie, um die Schwankungen beim CO</w:t>
            </w:r>
            <w:r>
              <w:rPr>
                <w:rFonts w:ascii="Aptos" w:hAnsi="Aptos"/>
                <w:b/>
                <w:bCs/>
                <w:sz w:val="22"/>
                <w:szCs w:val="22"/>
                <w:vertAlign w:val="subscript"/>
              </w:rPr>
              <w:t>2</w:t>
            </w:r>
            <w:r>
              <w:rPr>
                <w:rFonts w:ascii="Aptos" w:hAnsi="Aptos"/>
                <w:b/>
                <w:bCs/>
                <w:sz w:val="22"/>
                <w:szCs w:val="22"/>
              </w:rPr>
              <w:t>-Preis einzugrenzen und somit Stabilität zu gewährleisten?</w:t>
            </w:r>
          </w:p>
        </w:tc>
      </w:tr>
      <w:tr w:rsidR="00623AF8" w14:paraId="78EBD21F"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AB0BAD"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47E13DD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9E8ED38"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270EE376"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7EABC2FB" w14:textId="77777777" w:rsidTr="00875DD0">
        <w:tc>
          <w:tcPr>
            <w:tcW w:w="9060" w:type="dxa"/>
            <w:shd w:val="clear" w:color="auto" w:fill="D9D9D9" w:themeFill="background1" w:themeFillShade="D9"/>
            <w:hideMark/>
          </w:tcPr>
          <w:p w14:paraId="0138E4BC"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E640A5A" w14:textId="77777777" w:rsidR="00623AF8" w:rsidRDefault="00623AF8" w:rsidP="00623AF8">
      <w:pPr>
        <w:spacing w:after="100" w:afterAutospacing="1"/>
        <w:jc w:val="both"/>
        <w:rPr>
          <w:rFonts w:ascii="Aptos" w:hAnsi="Aptos"/>
          <w:sz w:val="22"/>
          <w:szCs w:val="22"/>
        </w:rPr>
      </w:pPr>
      <w:r>
        <w:rPr>
          <w:rFonts w:ascii="Aptos" w:hAnsi="Aptos"/>
          <w:sz w:val="22"/>
          <w:szCs w:val="22"/>
        </w:rPr>
        <w:t>Die Begrenzung der Schwankungen beim CO2-Preis ist entscheidend, um Stabilität und Vorhersehbarkeit im Markt zu gewährleisten. Ein stabiler CO2-Preis bietet Unternehmen und Investoren die nötige Sicherheit für langfristige Planungen und Investitionen in emissionsarme Technologien wie Carbon Capture, Utilization, and Storage (CCUS) und erneuerbare Energien.</w:t>
      </w:r>
    </w:p>
    <w:p w14:paraId="7EEDE4C0"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Schwankende CO2-Preise führen zu Unsicherheit und können die Investitionsbereitschaft mindern. Stabilität fördert hingegen die Innovationskraft und die Entwicklung nachhaltiger Technologien. Auch für die Wettbewerbsfähigkeit der Industrie sind stabile CO2-Preise wichtig, da sie energieintensiven Branchen ermöglichen, Produktionskosten besser zu kalkulieren und wettbewerbsfähig zu bleiben.</w:t>
      </w:r>
    </w:p>
    <w:p w14:paraId="076D9396" w14:textId="77777777" w:rsidR="00623AF8" w:rsidRDefault="00623AF8" w:rsidP="00623AF8">
      <w:pPr>
        <w:spacing w:before="100" w:beforeAutospacing="1" w:after="100" w:afterAutospacing="1"/>
        <w:jc w:val="both"/>
        <w:rPr>
          <w:rFonts w:ascii="Aptos" w:hAnsi="Aptos"/>
          <w:bCs/>
          <w:sz w:val="22"/>
          <w:szCs w:val="22"/>
        </w:rPr>
      </w:pPr>
      <w:r>
        <w:rPr>
          <w:rFonts w:ascii="Aptos" w:hAnsi="Aptos"/>
          <w:sz w:val="22"/>
          <w:szCs w:val="22"/>
        </w:rPr>
        <w:t>Politisch gesehen erleichtert die Begrenzung der CO2-Preisschwankungen die Umsetzung von Klimaschutzmaßnahmen und stärkt das Vertrauen der Öffentlichkeit in die Klimapolitik. Ein verlässlicher CO2-Preis signalisiert ernsthafte und konsistente Anstrengungen zur Erreichung der Klimaziele. Insgesamt trägt die Begrenzung der CO2-Preisschwankungen zur Stabilität und Berechenbarkeit des Marktes bei, fördert grüne Investitionen und stärkt die Wettbewerbsfähigkeit der Industrie.</w:t>
      </w:r>
      <w:r>
        <w:rPr>
          <w:rFonts w:ascii="Aptos" w:hAnsi="Aptos"/>
          <w:bCs/>
          <w:sz w:val="22"/>
          <w:szCs w:val="22"/>
        </w:rPr>
        <w:t xml:space="preserve"> </w:t>
      </w:r>
    </w:p>
    <w:p w14:paraId="11C3A275" w14:textId="77777777" w:rsidR="00623AF8" w:rsidRDefault="00623AF8" w:rsidP="00623AF8">
      <w:pPr>
        <w:rPr>
          <w:rFonts w:ascii="Aptos" w:hAnsi="Aptos"/>
          <w:bCs/>
          <w:sz w:val="22"/>
          <w:szCs w:val="22"/>
        </w:rPr>
      </w:pPr>
      <w:r>
        <w:rPr>
          <w:rFonts w:ascii="Aptos" w:hAnsi="Aptos"/>
          <w:bCs/>
          <w:sz w:val="22"/>
          <w:szCs w:val="22"/>
        </w:rPr>
        <w:br w:type="page"/>
      </w:r>
    </w:p>
    <w:p w14:paraId="193C287D" w14:textId="77777777" w:rsidR="00623AF8" w:rsidRDefault="00623AF8" w:rsidP="00623AF8">
      <w:pPr>
        <w:spacing w:after="120"/>
        <w:jc w:val="both"/>
        <w:rPr>
          <w:rFonts w:ascii="Aptos" w:hAnsi="Aptos"/>
          <w:bCs/>
          <w:iCs/>
          <w:sz w:val="22"/>
          <w:szCs w:val="22"/>
        </w:rPr>
      </w:pPr>
    </w:p>
    <w:p w14:paraId="33EA0FEA" w14:textId="77777777" w:rsidR="00623AF8" w:rsidRDefault="00623AF8" w:rsidP="00623AF8">
      <w:pPr>
        <w:pStyle w:val="berschrift1"/>
        <w:rPr>
          <w:rFonts w:ascii="Aptos" w:hAnsi="Aptos"/>
        </w:rPr>
      </w:pPr>
    </w:p>
    <w:p w14:paraId="357148F1" w14:textId="77777777" w:rsidR="00623AF8" w:rsidRDefault="00623AF8" w:rsidP="00623AF8">
      <w:pPr>
        <w:pStyle w:val="berschrift1"/>
        <w:rPr>
          <w:rFonts w:ascii="Aptos" w:hAnsi="Aptos"/>
        </w:rPr>
      </w:pPr>
      <w:bookmarkStart w:id="188" w:name="_Toc165540455"/>
      <w:bookmarkStart w:id="189" w:name="_Toc170294924"/>
      <w:bookmarkStart w:id="190" w:name="_Toc170983702"/>
      <w:r>
        <w:rPr>
          <w:rFonts w:ascii="Aptos" w:hAnsi="Aptos"/>
        </w:rPr>
        <w:t>Innerstaatliche Strompreiszonen</w:t>
      </w:r>
      <w:bookmarkEnd w:id="188"/>
      <w:bookmarkEnd w:id="189"/>
      <w:bookmarkEnd w:id="190"/>
    </w:p>
    <w:p w14:paraId="56082396"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0653044"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14A09C3"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13464801"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4F983E9"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Anbetracht der aktuellen Energiedebatte und den ständig wachsenden Herausforderungen im Stromsektor steht die Frage nach der Wirksamkeit innerstaatlicher Strompreiszonen im Fokus. Diese Zonen wurden eingeführt, um die Effizienz des Strommarktes zu verbessern und die Netzstabilität zu gewährleisten. Jedoch gibt es kontroverse Meinungen darüber, ob diese Maßnahmen weiterhin relevant sind oder ob alternative Ansätze erforderlich sind, um den Bedürfnissen des sich wandelnden Energiesystems gerecht zu werden. </w:t>
            </w:r>
            <w:r>
              <w:rPr>
                <w:rFonts w:ascii="Aptos" w:hAnsi="Aptos"/>
                <w:b/>
                <w:bCs/>
                <w:sz w:val="22"/>
                <w:szCs w:val="22"/>
              </w:rPr>
              <w:t>Gedenken Sie, an den Plänen zu innerstaatlichen Strompreiszonen festzuhalten?</w:t>
            </w:r>
          </w:p>
        </w:tc>
      </w:tr>
      <w:tr w:rsidR="00623AF8" w14:paraId="179D61A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A451759"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3DB926FE"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BB8704E"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Planen Sie auch, entsprechende Maßnahmen in den Mitgliedsstaaten zu fördern?</w:t>
            </w:r>
          </w:p>
        </w:tc>
      </w:tr>
    </w:tbl>
    <w:p w14:paraId="0319C322"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03055294" w14:textId="77777777" w:rsidTr="00875DD0">
        <w:tc>
          <w:tcPr>
            <w:tcW w:w="9060" w:type="dxa"/>
            <w:shd w:val="clear" w:color="auto" w:fill="D9D9D9" w:themeFill="background1" w:themeFillShade="D9"/>
            <w:hideMark/>
          </w:tcPr>
          <w:p w14:paraId="0E5F8F33"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7E3DA0F9" w14:textId="77777777" w:rsidR="00623AF8" w:rsidRDefault="00623AF8" w:rsidP="00623AF8">
      <w:pPr>
        <w:jc w:val="both"/>
        <w:rPr>
          <w:rFonts w:ascii="Aptos" w:hAnsi="Aptos"/>
          <w:sz w:val="22"/>
          <w:szCs w:val="22"/>
        </w:rPr>
      </w:pPr>
      <w:r>
        <w:rPr>
          <w:rFonts w:ascii="Aptos" w:hAnsi="Aptos"/>
          <w:sz w:val="22"/>
          <w:szCs w:val="22"/>
        </w:rPr>
        <w:t>Innerstaatliche Strompreiszonen wurden eingeführt, um die regionalen Unterschiede in der Stromerzeugung und -nachfrage besser zu managen und eine effizientere Nutzung der Strominfrastruktur zu ermöglichen. In vielen Ländern gibt es geografische Ungleichgewichte in der Stromproduktion, etwa durch die Konzentration erneuerbarer Energien wie Windkraft in bestimmten Regionen. Durch die Einführung von Strompreiszonen können diese regionalen Disparitäten ausgeglichen und Netzengpässe reduziert werden.</w:t>
      </w:r>
    </w:p>
    <w:p w14:paraId="1D556CEB" w14:textId="77777777" w:rsidR="00623AF8" w:rsidRDefault="00623AF8" w:rsidP="00623AF8">
      <w:pPr>
        <w:jc w:val="both"/>
        <w:rPr>
          <w:rFonts w:ascii="Aptos" w:hAnsi="Aptos"/>
          <w:sz w:val="22"/>
          <w:szCs w:val="22"/>
        </w:rPr>
      </w:pPr>
    </w:p>
    <w:p w14:paraId="71403288" w14:textId="77777777" w:rsidR="00623AF8" w:rsidRDefault="00623AF8" w:rsidP="00623AF8">
      <w:pPr>
        <w:jc w:val="both"/>
        <w:rPr>
          <w:rFonts w:ascii="Aptos" w:hAnsi="Aptos"/>
          <w:sz w:val="22"/>
          <w:szCs w:val="22"/>
        </w:rPr>
      </w:pPr>
      <w:r>
        <w:rPr>
          <w:rFonts w:ascii="Aptos" w:hAnsi="Aptos"/>
          <w:sz w:val="22"/>
          <w:szCs w:val="22"/>
        </w:rPr>
        <w:t>Diese Maßnahmen sind weiterhin relevant, da sie helfen, die Netzstabilität zu gewährleisten und die Kosten für den Ausbau der Übertragungsnetze zu minimieren. Unterschiedliche Preise in verschiedenen Zonen spiegeln die lokale Angebots- und Nachfragesituation wider, was Investitionen in Regionen mit niedrigeren Preisen und höherem Potenzial für erneuerbare Energien anregt. Dies unterstützt die dezentrale Energieerzeugung und -nutzung und trägt zur Integration erneuerbarer Energien bei.</w:t>
      </w:r>
    </w:p>
    <w:p w14:paraId="46DF9054" w14:textId="77777777" w:rsidR="00623AF8" w:rsidRDefault="00623AF8" w:rsidP="00623AF8">
      <w:pPr>
        <w:jc w:val="both"/>
        <w:rPr>
          <w:rFonts w:ascii="Aptos" w:hAnsi="Aptos"/>
          <w:sz w:val="22"/>
          <w:szCs w:val="22"/>
        </w:rPr>
      </w:pPr>
    </w:p>
    <w:p w14:paraId="09B0C95A" w14:textId="77777777" w:rsidR="00623AF8" w:rsidRDefault="00623AF8" w:rsidP="00623AF8">
      <w:pPr>
        <w:jc w:val="both"/>
        <w:rPr>
          <w:rFonts w:ascii="Aptos" w:hAnsi="Aptos"/>
          <w:bCs/>
          <w:sz w:val="22"/>
          <w:szCs w:val="22"/>
        </w:rPr>
      </w:pPr>
      <w:r>
        <w:rPr>
          <w:rFonts w:ascii="Aptos" w:hAnsi="Aptos"/>
          <w:sz w:val="22"/>
          <w:szCs w:val="22"/>
        </w:rPr>
        <w:t>Jedoch erfordern die sich wandelnden Bedürfnisse des Energiesystems möglicherweise auch alternative Ansätze. Die zunehmende Dezentralisierung der Energieerzeugung, die wachsende Bedeutung von Speichersystemen und die fortschreitende Digitalisierung des Energiesektors stellen neue Herausforderungen für traditionelle Strompreiszonen dar.</w:t>
      </w:r>
    </w:p>
    <w:p w14:paraId="5E292536" w14:textId="77777777" w:rsidR="00623AF8" w:rsidRDefault="00623AF8" w:rsidP="00623AF8">
      <w:pPr>
        <w:jc w:val="both"/>
        <w:rPr>
          <w:rFonts w:ascii="Aptos" w:hAnsi="Aptos"/>
          <w:bCs/>
          <w:sz w:val="22"/>
          <w:szCs w:val="22"/>
        </w:rPr>
      </w:pPr>
    </w:p>
    <w:p w14:paraId="6B856633" w14:textId="77777777" w:rsidR="00623AF8" w:rsidRDefault="00623AF8" w:rsidP="00623AF8">
      <w:pPr>
        <w:jc w:val="both"/>
        <w:rPr>
          <w:rFonts w:ascii="Aptos" w:hAnsi="Aptos"/>
          <w:bCs/>
          <w:sz w:val="22"/>
          <w:szCs w:val="22"/>
        </w:rPr>
      </w:pPr>
      <w:r>
        <w:rPr>
          <w:rFonts w:ascii="Aptos" w:hAnsi="Aptos"/>
          <w:bCs/>
          <w:sz w:val="22"/>
          <w:szCs w:val="22"/>
        </w:rPr>
        <w:t>Trotz dieser Entwicklungen ist es wichtig, eine einheitliche, nationale Strompreiszone in den Mitgliedsstaaten beizubehalten. Dies gewährleistet einen fairen und gleichberechtigten Zugang zu Energie für alle Verbraucher und verhindert, dass bestimmte Regionen unverhältnismäßig hohe Strompreise zahlen müssen. Eine einheitliche nationale Preiszone unterstützt die soziale Gerechtigkeit und stärkt das Vertrauen der Verbraucher in das Energiesystem.</w:t>
      </w:r>
    </w:p>
    <w:p w14:paraId="77AEADB5" w14:textId="77777777" w:rsidR="00623AF8" w:rsidRDefault="00623AF8" w:rsidP="00623AF8">
      <w:pPr>
        <w:rPr>
          <w:rFonts w:ascii="Aptos" w:hAnsi="Aptos"/>
          <w:bCs/>
          <w:sz w:val="22"/>
          <w:szCs w:val="22"/>
        </w:rPr>
      </w:pPr>
      <w:r>
        <w:rPr>
          <w:rFonts w:ascii="Aptos" w:hAnsi="Aptos"/>
          <w:bCs/>
          <w:sz w:val="22"/>
          <w:szCs w:val="22"/>
        </w:rPr>
        <w:br w:type="page"/>
      </w:r>
    </w:p>
    <w:p w14:paraId="034AEA46" w14:textId="77777777" w:rsidR="00623AF8" w:rsidRDefault="00623AF8" w:rsidP="00623AF8">
      <w:pPr>
        <w:spacing w:after="120"/>
        <w:jc w:val="both"/>
        <w:rPr>
          <w:rFonts w:ascii="Aptos" w:hAnsi="Aptos"/>
          <w:bCs/>
          <w:sz w:val="22"/>
          <w:szCs w:val="22"/>
        </w:rPr>
      </w:pPr>
    </w:p>
    <w:p w14:paraId="6C0A3A19" w14:textId="77777777" w:rsidR="00623AF8" w:rsidRDefault="00623AF8" w:rsidP="00623AF8">
      <w:pPr>
        <w:pStyle w:val="berschrift1"/>
        <w:rPr>
          <w:rFonts w:ascii="Aptos" w:hAnsi="Aptos"/>
        </w:rPr>
      </w:pPr>
    </w:p>
    <w:p w14:paraId="5F63B38A" w14:textId="77777777" w:rsidR="00623AF8" w:rsidRDefault="00623AF8" w:rsidP="00623AF8">
      <w:pPr>
        <w:pStyle w:val="berschrift1"/>
        <w:rPr>
          <w:rFonts w:ascii="Aptos" w:hAnsi="Aptos"/>
        </w:rPr>
      </w:pPr>
      <w:bookmarkStart w:id="191" w:name="_Toc165540456"/>
      <w:bookmarkStart w:id="192" w:name="_Toc170294925"/>
      <w:bookmarkStart w:id="193" w:name="_Toc170983703"/>
      <w:r>
        <w:rPr>
          <w:rFonts w:ascii="Aptos" w:hAnsi="Aptos"/>
        </w:rPr>
        <w:t>Ausgestaltung der Energiebesteuerungs-Richtlinie</w:t>
      </w:r>
      <w:bookmarkEnd w:id="191"/>
      <w:bookmarkEnd w:id="192"/>
      <w:bookmarkEnd w:id="193"/>
    </w:p>
    <w:p w14:paraId="0EEB999D"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92B5FDB"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70E5C3"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76048D40"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0090B56" w14:textId="77777777" w:rsidR="00623AF8" w:rsidRDefault="00623AF8" w:rsidP="00875DD0">
            <w:pPr>
              <w:spacing w:before="120" w:after="120"/>
              <w:jc w:val="both"/>
              <w:rPr>
                <w:rFonts w:ascii="Aptos" w:hAnsi="Aptos"/>
                <w:sz w:val="22"/>
                <w:szCs w:val="22"/>
              </w:rPr>
            </w:pPr>
            <w:r>
              <w:rPr>
                <w:rFonts w:ascii="Aptos" w:hAnsi="Aptos"/>
                <w:sz w:val="22"/>
                <w:szCs w:val="22"/>
              </w:rPr>
              <w:t xml:space="preserve">Angesichts der zunehmenden Bedeutung von umweltfreundlichen Energiequellen und der Notwendigkeit, den Klimawandel einzudämmen, steht die Energiebesteuerung im Zentrum vieler politischer Diskussionen. Eine effektive und ausgewogene Besteuerung von Energieprodukten spielt eine entscheidende Rolle bei der Lenkung von Verhalten und der Förderung umweltfreundlicher Alternativen. Angesichts der Komplexität des Themas und der vielfältigen Interessen der beteiligten Akteure ist es entscheidend, einen gut durchdachten und transparenten Planungsprozess zu verfolgen. </w:t>
            </w:r>
            <w:r>
              <w:rPr>
                <w:rFonts w:ascii="Aptos" w:hAnsi="Aptos"/>
                <w:b/>
                <w:bCs/>
                <w:sz w:val="22"/>
                <w:szCs w:val="22"/>
              </w:rPr>
              <w:t>Wann und in welcher konkreten Umsetzung planen Sie die Ausgestaltung der Energiebesteuerungs-Richtlinie?</w:t>
            </w:r>
          </w:p>
        </w:tc>
      </w:tr>
      <w:tr w:rsidR="00623AF8" w14:paraId="012A426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7ABB422"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0CA63337"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D42899D"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Besteht die Absicht, die Endverbrauchssteuer dauerhaft beizubehalten?</w:t>
            </w:r>
          </w:p>
        </w:tc>
      </w:tr>
    </w:tbl>
    <w:p w14:paraId="5F07887D"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4DC80657" w14:textId="77777777" w:rsidTr="00875DD0">
        <w:tc>
          <w:tcPr>
            <w:tcW w:w="9060" w:type="dxa"/>
            <w:shd w:val="clear" w:color="auto" w:fill="D9D9D9" w:themeFill="background1" w:themeFillShade="D9"/>
            <w:hideMark/>
          </w:tcPr>
          <w:p w14:paraId="3F0C1680"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0DA80948" w14:textId="77777777" w:rsidR="00623AF8" w:rsidRDefault="00623AF8" w:rsidP="00623AF8">
      <w:pPr>
        <w:jc w:val="both"/>
        <w:rPr>
          <w:rFonts w:ascii="Aptos" w:hAnsi="Aptos"/>
          <w:sz w:val="22"/>
          <w:szCs w:val="22"/>
        </w:rPr>
      </w:pPr>
      <w:r>
        <w:rPr>
          <w:rFonts w:ascii="Aptos" w:hAnsi="Aptos"/>
          <w:sz w:val="22"/>
          <w:szCs w:val="22"/>
        </w:rPr>
        <w:t>Eine Energiebesteuerungs-Richtlinie ist von zentraler Bedeutung, um die Energiewende voranzutreiben und die Klimaziele der EU zu erreichen. Diese Richtlinie legt die Mindeststeuersätze für Energieprodukte und Elektrizität fest, was dazu beiträgt, einheitliche Rahmenbedingungen in den Mitgliedsstaaten zu schaffen und Wettbewerbsverzerrungen zu vermeiden. Sie unterstützt den Übergang zu einer kohlenstoffarmen Wirtschaft, indem sie den Einsatz fossiler Brennstoffe verteuert und dadurch den Anreiz erhöht, in erneuerbare Energien und Energieeffizienz zu investieren.</w:t>
      </w:r>
    </w:p>
    <w:p w14:paraId="0278C230" w14:textId="77777777" w:rsidR="00623AF8" w:rsidRDefault="00623AF8" w:rsidP="00623AF8">
      <w:pPr>
        <w:jc w:val="both"/>
        <w:rPr>
          <w:rFonts w:ascii="Aptos" w:hAnsi="Aptos"/>
          <w:sz w:val="22"/>
          <w:szCs w:val="22"/>
        </w:rPr>
      </w:pPr>
    </w:p>
    <w:p w14:paraId="6DBE534C" w14:textId="77777777" w:rsidR="00623AF8" w:rsidRDefault="00623AF8" w:rsidP="00623AF8">
      <w:pPr>
        <w:jc w:val="both"/>
        <w:rPr>
          <w:rFonts w:ascii="Aptos" w:hAnsi="Aptos"/>
          <w:sz w:val="22"/>
          <w:szCs w:val="22"/>
        </w:rPr>
      </w:pPr>
      <w:r>
        <w:rPr>
          <w:rFonts w:ascii="Aptos" w:hAnsi="Aptos"/>
          <w:sz w:val="22"/>
          <w:szCs w:val="22"/>
        </w:rPr>
        <w:t>Die Notwendigkeit einer solchen Richtlinie ergibt sich aus der Dringlichkeit, den CO2-Ausstoß zu reduzieren und nachhaltige Energiequellen zu fördern. Durch die Besteuerung von Energie nach ihrem CO2-Gehalt werden umweltfreundlichere Alternativen wirtschaftlich attraktiver, was die Nachfrage nach sauberen Technologien erhöht. Zudem können die Einnahmen aus der Energiebesteuerung genutzt werden, um Investitionen in grüne Infrastruktur und Forschung zu fördern.</w:t>
      </w:r>
    </w:p>
    <w:p w14:paraId="398E7CBA" w14:textId="77777777" w:rsidR="00623AF8" w:rsidRDefault="00623AF8" w:rsidP="00623AF8">
      <w:pPr>
        <w:jc w:val="both"/>
        <w:rPr>
          <w:rFonts w:ascii="Aptos" w:hAnsi="Aptos"/>
          <w:sz w:val="22"/>
          <w:szCs w:val="22"/>
        </w:rPr>
      </w:pPr>
    </w:p>
    <w:p w14:paraId="2A53CE8D" w14:textId="77777777" w:rsidR="00623AF8" w:rsidRDefault="00623AF8" w:rsidP="00623AF8">
      <w:pPr>
        <w:jc w:val="both"/>
        <w:rPr>
          <w:rFonts w:ascii="Aptos" w:hAnsi="Aptos"/>
          <w:sz w:val="22"/>
          <w:szCs w:val="22"/>
        </w:rPr>
      </w:pPr>
      <w:r>
        <w:rPr>
          <w:rFonts w:ascii="Aptos" w:hAnsi="Aptos"/>
          <w:sz w:val="22"/>
          <w:szCs w:val="22"/>
        </w:rPr>
        <w:t>Es ist jedoch entscheidend, darauf zu achten, dass Verbraucher nicht übermäßig von der Steuer belastet werden. Eine faire Verteilung der Steuerlast ist notwendig, um soziale Ungleichheiten zu vermeiden und die Akzeptanz der Maßnahmen zu sichern.</w:t>
      </w:r>
    </w:p>
    <w:p w14:paraId="6C27CF09" w14:textId="77777777" w:rsidR="00623AF8" w:rsidRDefault="00623AF8" w:rsidP="00623AF8">
      <w:pPr>
        <w:rPr>
          <w:rFonts w:ascii="Aptos" w:hAnsi="Aptos"/>
          <w:sz w:val="22"/>
          <w:szCs w:val="22"/>
        </w:rPr>
      </w:pPr>
    </w:p>
    <w:p w14:paraId="4E3E87FA" w14:textId="77777777" w:rsidR="00623AF8" w:rsidRDefault="00623AF8" w:rsidP="00623AF8">
      <w:pPr>
        <w:rPr>
          <w:rFonts w:ascii="Aptos" w:hAnsi="Aptos"/>
          <w:bCs/>
          <w:sz w:val="22"/>
          <w:szCs w:val="22"/>
        </w:rPr>
      </w:pPr>
      <w:r>
        <w:rPr>
          <w:rFonts w:ascii="Aptos" w:hAnsi="Aptos"/>
          <w:bCs/>
          <w:sz w:val="22"/>
          <w:szCs w:val="22"/>
        </w:rPr>
        <w:br w:type="page"/>
      </w:r>
    </w:p>
    <w:p w14:paraId="4FF35776" w14:textId="77777777" w:rsidR="00623AF8" w:rsidRDefault="00623AF8" w:rsidP="00623AF8">
      <w:pPr>
        <w:spacing w:after="120"/>
        <w:jc w:val="both"/>
        <w:rPr>
          <w:rFonts w:ascii="Aptos" w:hAnsi="Aptos"/>
          <w:bCs/>
          <w:iCs/>
          <w:sz w:val="22"/>
          <w:szCs w:val="22"/>
        </w:rPr>
      </w:pPr>
    </w:p>
    <w:p w14:paraId="456F3B4F" w14:textId="77777777" w:rsidR="00623AF8" w:rsidRDefault="00623AF8" w:rsidP="00623AF8">
      <w:pPr>
        <w:pStyle w:val="berschrift1"/>
        <w:rPr>
          <w:rFonts w:ascii="Aptos" w:hAnsi="Aptos"/>
        </w:rPr>
      </w:pPr>
    </w:p>
    <w:p w14:paraId="57431FB0" w14:textId="77777777" w:rsidR="00623AF8" w:rsidRDefault="00623AF8" w:rsidP="00623AF8">
      <w:pPr>
        <w:pStyle w:val="berschrift1"/>
        <w:rPr>
          <w:rFonts w:ascii="Aptos" w:hAnsi="Aptos"/>
        </w:rPr>
      </w:pPr>
      <w:bookmarkStart w:id="194" w:name="_Toc165540457"/>
      <w:bookmarkStart w:id="195" w:name="_Toc170294926"/>
      <w:bookmarkStart w:id="196" w:name="_Toc170983704"/>
      <w:r>
        <w:rPr>
          <w:rFonts w:ascii="Aptos" w:hAnsi="Aptos"/>
        </w:rPr>
        <w:t>Förderungen zur Beschleunigung des Ausbaus der Speicherkapazitäten</w:t>
      </w:r>
      <w:bookmarkEnd w:id="194"/>
      <w:bookmarkEnd w:id="195"/>
      <w:bookmarkEnd w:id="196"/>
    </w:p>
    <w:p w14:paraId="4523828C"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787749B3"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540601"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7C47C56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13534341"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Anbetracht der stetig wachsenden Bedeutung erneuerbarer Energien und der zunehmenden Integration von dezentralen Energiequellen steht die Frage nach der Speicherkapazität im Zentrum der energiepolitischen Diskussion. Die Sicherstellung einer stabilen Energieversorgung erfordert nicht nur eine Erhöhung der Erzeugungskapazitäten, sondern auch eine effektive Möglichkeit, überschüssige Energie zu speichern. Vor diesem Hintergrund ist die Entwicklung und der Ausbau von Speichertechnologien von entscheidender Bedeutung für die Zukunft der Energieinfrastruktur. </w:t>
            </w:r>
            <w:r>
              <w:rPr>
                <w:rFonts w:ascii="Aptos" w:hAnsi="Aptos"/>
                <w:b/>
                <w:bCs/>
                <w:sz w:val="22"/>
                <w:szCs w:val="22"/>
              </w:rPr>
              <w:t>Welche Förderungen planen Sie, um den Ausbau der Speicherkapazitäten voranzutreiben?</w:t>
            </w:r>
          </w:p>
        </w:tc>
      </w:tr>
      <w:tr w:rsidR="00623AF8" w14:paraId="232BBE0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86C70AE"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1CBE74FA"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025947D"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519A4E12"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FAAE4DF" w14:textId="77777777" w:rsidTr="00875DD0">
        <w:tc>
          <w:tcPr>
            <w:tcW w:w="9060" w:type="dxa"/>
            <w:shd w:val="clear" w:color="auto" w:fill="D9D9D9" w:themeFill="background1" w:themeFillShade="D9"/>
            <w:hideMark/>
          </w:tcPr>
          <w:p w14:paraId="27B1EBAC"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0A1B327B" w14:textId="77777777" w:rsidR="00623AF8" w:rsidRDefault="00623AF8" w:rsidP="00623AF8">
      <w:pPr>
        <w:spacing w:after="100" w:afterAutospacing="1"/>
        <w:jc w:val="both"/>
        <w:rPr>
          <w:rFonts w:ascii="Aptos" w:hAnsi="Aptos"/>
          <w:bCs/>
          <w:sz w:val="22"/>
          <w:szCs w:val="22"/>
        </w:rPr>
      </w:pPr>
      <w:r>
        <w:rPr>
          <w:rFonts w:ascii="Aptos" w:hAnsi="Aptos"/>
          <w:bCs/>
          <w:sz w:val="22"/>
          <w:szCs w:val="22"/>
        </w:rPr>
        <w:t>Der Ausbau von Speicherkapazitäten ist von zentraler Bedeutung für die nachhaltige und zuverlässige Energieversorgung der Zukunft. Mit dem zunehmenden Anteil erneuerbarer Energien im Energiemix, insbesondere von fluktuierenden Quellen wie Wind- und Solarenergie, wird die Notwendigkeit effizienter Energiespeicher immer dringender. Diese Speicherlösungen ermöglichen es, überschüssige Energie zu Zeiten hoher Produktion zu speichern und bei geringer Erzeugung oder erhöhtem Bedarf wieder abzurufen. Dies trägt wesentlich zur Stabilisierung des Stromnetzes und zur Sicherstellung einer kontinuierlichen Energieversorgung bei.</w:t>
      </w:r>
    </w:p>
    <w:p w14:paraId="506C48B6" w14:textId="77777777" w:rsidR="00623AF8" w:rsidRDefault="00623AF8" w:rsidP="00623AF8">
      <w:pPr>
        <w:spacing w:before="100" w:beforeAutospacing="1" w:after="100" w:afterAutospacing="1"/>
        <w:jc w:val="both"/>
        <w:rPr>
          <w:rFonts w:ascii="Aptos" w:hAnsi="Aptos"/>
          <w:bCs/>
          <w:sz w:val="22"/>
          <w:szCs w:val="22"/>
        </w:rPr>
      </w:pPr>
      <w:r>
        <w:rPr>
          <w:rFonts w:ascii="Aptos" w:hAnsi="Aptos"/>
          <w:bCs/>
          <w:sz w:val="22"/>
          <w:szCs w:val="22"/>
        </w:rPr>
        <w:t>Darüber hinaus fördern Energiespeicher die Flexibilität des Energiesystems, was eine bessere Integration erneuerbarer Energien ermöglicht und die Abhängigkeit von fossilen Brennstoffen reduziert. Diese Flexibilität ist nicht nur ökologisch vorteilhaft, sondern hat auch eine bedeutende wirtschaftliche Dimension. Durch die bessere Anpassung an Angebot und Nachfrage können Netzengpässe vermieden und Kosten für den Netzausbau reduziert werden. Dies führt zu einer effizienteren Nutzung der bestehenden Infrastruktur und senkt die Gesamtkosten für die Energieversorgung.</w:t>
      </w:r>
    </w:p>
    <w:p w14:paraId="652E5883" w14:textId="77777777" w:rsidR="00623AF8" w:rsidRDefault="00623AF8" w:rsidP="00623AF8">
      <w:pPr>
        <w:spacing w:before="100" w:beforeAutospacing="1" w:after="100" w:afterAutospacing="1"/>
        <w:jc w:val="both"/>
        <w:rPr>
          <w:rFonts w:ascii="Aptos" w:hAnsi="Aptos"/>
          <w:bCs/>
          <w:sz w:val="22"/>
          <w:szCs w:val="22"/>
        </w:rPr>
      </w:pPr>
      <w:r>
        <w:rPr>
          <w:rFonts w:ascii="Aptos" w:hAnsi="Aptos"/>
          <w:bCs/>
          <w:sz w:val="22"/>
          <w:szCs w:val="22"/>
        </w:rPr>
        <w:t>Derzeit sind die vorhandenen Speicherkapazitäten jedoch noch deutlich zu klein, um den Anforderungen eines modernen, auf erneuerbaren Energien basierenden Energiesystems gerecht zu werden. Es ist daher notwendig, größer zu denken und ambitionierte Pläne für den Ausbau der Speicherkapazitäten zu entwickeln und umzusetzen. Nur mit dem parallel stattfindenden Ausbau von Produktion, Leitung und Speicherung kann die Transformation zu einer nachhaltigen und sicheren Energiezukunft erfolgreich gestaltet werden.</w:t>
      </w:r>
    </w:p>
    <w:p w14:paraId="3E069718" w14:textId="77777777" w:rsidR="00623AF8" w:rsidRDefault="00623AF8" w:rsidP="00623AF8">
      <w:pPr>
        <w:jc w:val="both"/>
        <w:rPr>
          <w:rFonts w:ascii="Aptos" w:hAnsi="Aptos"/>
          <w:bCs/>
          <w:sz w:val="22"/>
          <w:szCs w:val="22"/>
        </w:rPr>
      </w:pPr>
      <w:r>
        <w:rPr>
          <w:rFonts w:ascii="Aptos" w:hAnsi="Aptos"/>
          <w:bCs/>
          <w:sz w:val="22"/>
          <w:szCs w:val="22"/>
        </w:rPr>
        <w:br w:type="page"/>
      </w:r>
    </w:p>
    <w:p w14:paraId="1DDF5713" w14:textId="77777777" w:rsidR="00623AF8" w:rsidRDefault="00623AF8" w:rsidP="00623AF8">
      <w:pPr>
        <w:pStyle w:val="berschrift1"/>
        <w:rPr>
          <w:rFonts w:ascii="Aptos" w:hAnsi="Aptos"/>
        </w:rPr>
      </w:pPr>
    </w:p>
    <w:p w14:paraId="1C1C4833" w14:textId="77777777" w:rsidR="00623AF8" w:rsidRDefault="00623AF8" w:rsidP="00623AF8">
      <w:pPr>
        <w:pStyle w:val="berschrift1"/>
        <w:rPr>
          <w:rFonts w:ascii="Aptos" w:hAnsi="Aptos"/>
        </w:rPr>
      </w:pPr>
      <w:bookmarkStart w:id="197" w:name="_Toc165540458"/>
      <w:bookmarkStart w:id="198" w:name="_Toc170294927"/>
      <w:bookmarkStart w:id="199" w:name="_Toc170983705"/>
      <w:r>
        <w:rPr>
          <w:rFonts w:ascii="Aptos" w:hAnsi="Aptos"/>
        </w:rPr>
        <w:t>Rohstoff- und Ressourcensicherheit</w:t>
      </w:r>
      <w:bookmarkEnd w:id="197"/>
      <w:bookmarkEnd w:id="198"/>
      <w:bookmarkEnd w:id="199"/>
    </w:p>
    <w:p w14:paraId="040A8D45"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702014F"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3DA4126"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543C1ED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2F8F782" w14:textId="77777777" w:rsidR="00623AF8" w:rsidRDefault="00623AF8" w:rsidP="00875DD0">
            <w:pPr>
              <w:spacing w:before="120" w:after="120"/>
              <w:jc w:val="both"/>
              <w:rPr>
                <w:rFonts w:ascii="Aptos" w:hAnsi="Aptos"/>
                <w:sz w:val="22"/>
                <w:szCs w:val="22"/>
              </w:rPr>
            </w:pPr>
            <w:r>
              <w:rPr>
                <w:rFonts w:ascii="Aptos" w:hAnsi="Aptos"/>
                <w:sz w:val="22"/>
                <w:szCs w:val="22"/>
              </w:rPr>
              <w:t xml:space="preserve">Angesichts der zunehmenden Globalisierung und geopolitischen Spannungen gewinnt die Sicherstellung der Rohstoff- und Ressourcenversorgung zunehmend an Bedeutung. Insbesondere im Energiesektor, speziell bei der Gasversorgung, können geopolitische Veränderungen schnell zu Herausforderungen führen. Unternehmen und Regierungen müssen daher Strategien entwickeln, um sich gegen potenzielle Risiken zu wappnen und die Kontinuität ihrer Versorgung zu gewährleisten. Vor diesem Hintergrund ist es wichtig, konkrete Pläne zur Rohstoff- und Ressourcensicherheit zu entwickeln, die flexibel genug sind, um auf mögliche geopolitische Veränderungen in der Gasversorgung reagieren zu können. </w:t>
            </w:r>
            <w:r>
              <w:rPr>
                <w:rFonts w:ascii="Aptos" w:hAnsi="Aptos"/>
                <w:b/>
                <w:bCs/>
                <w:sz w:val="22"/>
                <w:szCs w:val="22"/>
              </w:rPr>
              <w:t>Wie sehen Ihre spezifischen Strategien zur Sicherung von Rohstoffen und Ressourcen aus, insbesondere vor dem Hintergrund möglicher geopolitischer Veränderungen in der Gasversorgung?</w:t>
            </w:r>
          </w:p>
        </w:tc>
      </w:tr>
      <w:tr w:rsidR="00623AF8" w14:paraId="7EB833AE"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177745F"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4C39FF58"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BA38BE0"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6805AD41"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41F589BF" w14:textId="77777777" w:rsidTr="00875DD0">
        <w:tc>
          <w:tcPr>
            <w:tcW w:w="9060" w:type="dxa"/>
            <w:shd w:val="clear" w:color="auto" w:fill="D9D9D9" w:themeFill="background1" w:themeFillShade="D9"/>
            <w:hideMark/>
          </w:tcPr>
          <w:p w14:paraId="3CD49218"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03B234DD" w14:textId="77777777" w:rsidR="00623AF8" w:rsidRDefault="00623AF8" w:rsidP="00623AF8">
      <w:pPr>
        <w:spacing w:after="100" w:afterAutospacing="1"/>
        <w:jc w:val="both"/>
        <w:rPr>
          <w:rFonts w:ascii="Aptos" w:hAnsi="Aptos"/>
          <w:sz w:val="22"/>
          <w:szCs w:val="22"/>
        </w:rPr>
      </w:pPr>
      <w:r>
        <w:rPr>
          <w:rFonts w:ascii="Aptos" w:hAnsi="Aptos"/>
          <w:sz w:val="22"/>
          <w:szCs w:val="22"/>
        </w:rPr>
        <w:t>Die Sicherung von Rohstoffen und Ressourcen ist von entscheidender Bedeutung, insbesondere angesichts möglicher geopolitischer Veränderungen in der Gasversorgung. Rohstoffe wie Erdgas spielen eine zentrale Rolle in der Energieversorgung vieler Länder und sind essenziell für die Industrie, Heizung und Stromerzeugung. Eine stabile und verlässliche Versorgung mit diesen Ressourcen ist daher unerlässlich für die wirtschaftliche und gesellschaftliche Stabilität.</w:t>
      </w:r>
    </w:p>
    <w:p w14:paraId="66A2B8E8"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Geopolitische Veränderungen können die Verfügbarkeit von Rohstoffen erheblich beeinflussen. Konflikte, Handelsstreitigkeiten und politische Spannungen können zu Unterbrechungen in der Lieferkette führen, was zu Versorgungsengpässen und Preisschwankungen führt. Dies macht es notwendig, Strategien zu entwickeln, um die Versorgungssicherheit zu gewährleisten. Diversifikation der Lieferanten, der Ausbau erneuerbarer Energien und die Schaffung von strategischen Reserven sind einige der Maßnahmen, die ergriffen werden können, um das Risiko zu minimieren.</w:t>
      </w:r>
    </w:p>
    <w:p w14:paraId="0B9C8615"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Vor dem Hintergrund der aktuellen geopolitischen Entwicklungen ist es wichtiger denn je, die Abhängigkeit von einzelnen Lieferanten zu reduzieren und möglichst flexibel in der Wahl der Partnerländer zu sein. Eine robuste und vielseitige Energieinfrastruktur trägt dazu bei, die Auswirkungen geopolitischer Veränderungen abzufedern und die langfristige Versorgungssicherheit zu gewährleisten. Durch die Zusammenarbeit mit verschiedenen Ländern und Regionen können wir die Risiken besser verteilen und sicherstellen, dass keine einseitige Abhängigkeit entsteht. Diese Flexibilität ermöglicht es uns, auf unvorhergesehene geopolitische Entwicklungen schnell und effizient zu reagieren, wodurch die Stabilität der Energieversorgung und die wirtschaftliche Unabhängigkeit weiter gestärkt werden.</w:t>
      </w:r>
    </w:p>
    <w:p w14:paraId="0ED09964" w14:textId="77777777" w:rsidR="00623AF8" w:rsidRDefault="00623AF8" w:rsidP="00623AF8">
      <w:pPr>
        <w:spacing w:after="120"/>
        <w:jc w:val="both"/>
        <w:rPr>
          <w:rFonts w:ascii="Aptos" w:hAnsi="Aptos"/>
          <w:bCs/>
          <w:iCs/>
          <w:sz w:val="22"/>
          <w:szCs w:val="22"/>
        </w:rPr>
      </w:pPr>
    </w:p>
    <w:p w14:paraId="739948EC" w14:textId="77777777" w:rsidR="00623AF8" w:rsidRDefault="00623AF8" w:rsidP="00623AF8">
      <w:pPr>
        <w:pStyle w:val="berschrift1"/>
        <w:rPr>
          <w:rFonts w:ascii="Aptos" w:hAnsi="Aptos"/>
        </w:rPr>
      </w:pPr>
    </w:p>
    <w:p w14:paraId="5A8F7D65" w14:textId="77777777" w:rsidR="00623AF8" w:rsidRDefault="00623AF8" w:rsidP="00623AF8">
      <w:pPr>
        <w:pStyle w:val="berschrift1"/>
        <w:rPr>
          <w:rFonts w:ascii="Aptos" w:hAnsi="Aptos"/>
        </w:rPr>
      </w:pPr>
      <w:bookmarkStart w:id="200" w:name="_Toc165540459"/>
      <w:bookmarkStart w:id="201" w:name="_Toc170294928"/>
      <w:bookmarkStart w:id="202" w:name="_Toc170983706"/>
      <w:r>
        <w:rPr>
          <w:rFonts w:ascii="Aptos" w:hAnsi="Aptos"/>
        </w:rPr>
        <w:t>Import-Zölle für Gasimport aus Russland</w:t>
      </w:r>
      <w:bookmarkEnd w:id="200"/>
      <w:bookmarkEnd w:id="201"/>
      <w:bookmarkEnd w:id="202"/>
    </w:p>
    <w:p w14:paraId="4DCA68AD"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56B90C10"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91E9EA5" w14:textId="77777777" w:rsidR="00623AF8" w:rsidRDefault="00623AF8" w:rsidP="00875DD0">
            <w:pPr>
              <w:spacing w:before="120" w:after="120"/>
              <w:jc w:val="both"/>
              <w:rPr>
                <w:rFonts w:ascii="Aptos" w:hAnsi="Aptos"/>
                <w:b/>
                <w:iCs/>
                <w:sz w:val="22"/>
                <w:szCs w:val="22"/>
              </w:rPr>
            </w:pPr>
            <w:r>
              <w:rPr>
                <w:rFonts w:ascii="Aptos" w:hAnsi="Aptos"/>
                <w:b/>
                <w:iCs/>
                <w:sz w:val="22"/>
                <w:szCs w:val="22"/>
              </w:rPr>
              <w:t xml:space="preserve">Frage </w:t>
            </w:r>
          </w:p>
        </w:tc>
      </w:tr>
      <w:tr w:rsidR="00623AF8" w14:paraId="5CCE403A"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14109FC7"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den letzten Jahren hat die Europäische Union ihre Energieabhängigkeit von Russland immer wieder diskutiert. Die politischen Spannungen zwischen der EU und Russland sowie die Sicherheit der Energieversorgung haben zu einer intensiven Debatte über die Diversifizierung der Energiequellen geführt. Angesichts der geopolitischen Lage und der Abhängigkeit von russischem Gas stellt sich folgende Frage: </w:t>
            </w:r>
            <w:r>
              <w:rPr>
                <w:rFonts w:ascii="Aptos" w:hAnsi="Aptos"/>
                <w:b/>
                <w:bCs/>
                <w:sz w:val="22"/>
                <w:szCs w:val="22"/>
              </w:rPr>
              <w:t>Planen Sie Importzölle für Gasimporte aus Russland einzuführen, um die EU-Energiepolitik zu stärken und ihre strategische Autonomie zu gewährleisten?</w:t>
            </w:r>
          </w:p>
        </w:tc>
      </w:tr>
      <w:tr w:rsidR="00623AF8" w14:paraId="0824F90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F82CDFB"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6387F25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D71D869"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71689DF0"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2876C6B4" w14:textId="77777777" w:rsidTr="00875DD0">
        <w:tc>
          <w:tcPr>
            <w:tcW w:w="9060" w:type="dxa"/>
            <w:shd w:val="clear" w:color="auto" w:fill="D9D9D9" w:themeFill="background1" w:themeFillShade="D9"/>
            <w:hideMark/>
          </w:tcPr>
          <w:p w14:paraId="557FF214"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6FB1AE45" w14:textId="77777777" w:rsidR="00623AF8" w:rsidRDefault="00623AF8" w:rsidP="00623AF8">
      <w:pPr>
        <w:pStyle w:val="StandardWeb"/>
        <w:spacing w:before="0" w:beforeAutospacing="0"/>
        <w:jc w:val="both"/>
        <w:rPr>
          <w:rFonts w:ascii="Aptos" w:eastAsiaTheme="minorHAnsi" w:hAnsi="Aptos" w:cstheme="minorBidi"/>
          <w:bCs/>
          <w:sz w:val="22"/>
          <w:szCs w:val="22"/>
          <w:lang w:eastAsia="en-US"/>
        </w:rPr>
      </w:pPr>
      <w:r>
        <w:rPr>
          <w:rFonts w:ascii="Aptos" w:eastAsiaTheme="minorHAnsi" w:hAnsi="Aptos" w:cstheme="minorBidi"/>
          <w:bCs/>
          <w:sz w:val="22"/>
          <w:szCs w:val="22"/>
          <w:lang w:eastAsia="en-US"/>
        </w:rPr>
        <w:t>In den letzten Jahren hat die Europäische Union ihre Energieabhängigkeit von Russland immer wieder intensiv diskutiert. Die politischen Spannungen zwischen der Ukraine und Russland sowie die damit verbundenen Sicherheitsbedenken hinsichtlich der Energieversorgung haben eine Debatte über die Diversifizierung der Energiequellen entfacht. Vor dem Hintergrund der geopolitischen Lage und der starken Abhängigkeit von russischem Gas stellt sich die Frage, ob die Einführung von Importzöllen für Gasimporte aus Russland eine geeignete Maßnahme sein könnte, um die EU-Energiepolitik zu stärken und ihre strategische Autonomie zu gewährleisten.</w:t>
      </w:r>
    </w:p>
    <w:p w14:paraId="0E7786D4" w14:textId="77777777" w:rsidR="00623AF8" w:rsidRDefault="00623AF8" w:rsidP="00623AF8">
      <w:pPr>
        <w:pStyle w:val="StandardWeb"/>
        <w:jc w:val="both"/>
        <w:rPr>
          <w:rFonts w:ascii="Aptos" w:eastAsiaTheme="minorHAnsi" w:hAnsi="Aptos" w:cstheme="minorBidi"/>
          <w:bCs/>
          <w:sz w:val="22"/>
          <w:szCs w:val="22"/>
          <w:lang w:eastAsia="en-US"/>
        </w:rPr>
      </w:pPr>
      <w:r>
        <w:rPr>
          <w:rFonts w:ascii="Aptos" w:eastAsiaTheme="minorHAnsi" w:hAnsi="Aptos" w:cstheme="minorBidi"/>
          <w:bCs/>
          <w:sz w:val="22"/>
          <w:szCs w:val="22"/>
          <w:lang w:eastAsia="en-US"/>
        </w:rPr>
        <w:t>Die Einführung von Importzöllen könnte einen doppelten Zweck erfüllen. Erstens würde sie die Kosten für russisches Gas erhöhen und somit Anreize schaffen, alternative Energiequellen innerhalb und außerhalb Europas zu erschließen. Zweitens könnte sie Einnahmen generieren, die in den Ausbau erneuerbarer Energien und die Verbesserung der Energieinfrastruktur investiert werden könnten. Diese Maßnahmen würden die Abhängigkeit von einzelnen Lieferanten reduzieren und die Energieversorgung insgesamt stabiler und sicherer machen.</w:t>
      </w:r>
    </w:p>
    <w:p w14:paraId="1A7C2CF0" w14:textId="77777777" w:rsidR="00623AF8" w:rsidRDefault="00623AF8" w:rsidP="00623AF8">
      <w:pPr>
        <w:pStyle w:val="StandardWeb"/>
        <w:jc w:val="both"/>
        <w:rPr>
          <w:rFonts w:ascii="Aptos" w:eastAsiaTheme="minorHAnsi" w:hAnsi="Aptos" w:cstheme="minorBidi"/>
          <w:bCs/>
          <w:sz w:val="22"/>
          <w:szCs w:val="22"/>
          <w:lang w:eastAsia="en-US"/>
        </w:rPr>
      </w:pPr>
      <w:r>
        <w:rPr>
          <w:rFonts w:ascii="Aptos" w:eastAsiaTheme="minorHAnsi" w:hAnsi="Aptos" w:cstheme="minorBidi"/>
          <w:bCs/>
          <w:sz w:val="22"/>
          <w:szCs w:val="22"/>
          <w:lang w:eastAsia="en-US"/>
        </w:rPr>
        <w:t>Allerdings ist die Umsetzung solcher Zölle nicht ohne Risiken. Höhere Kosten für Gasimporte könnten kurzfristig die Energiepreise in der EU erhöhen und die Wettbewerbsfähigkeit der europäischen Industrie beeinträchtigen. Daher muss sorgfältig abgewogen werden, wie zukünftig Energiepolitik gestaltet wird, um sowohl die Versorgungssicherheit zu gewährleisten als auch wirtschaftliche Nachteile zu minimieren.</w:t>
      </w:r>
    </w:p>
    <w:p w14:paraId="28D4B653" w14:textId="77777777" w:rsidR="00623AF8" w:rsidRDefault="00623AF8" w:rsidP="00623AF8">
      <w:pPr>
        <w:rPr>
          <w:rFonts w:ascii="Aptos" w:hAnsi="Aptos"/>
          <w:bCs/>
          <w:sz w:val="22"/>
          <w:szCs w:val="22"/>
        </w:rPr>
      </w:pPr>
      <w:r>
        <w:rPr>
          <w:rFonts w:ascii="Aptos" w:hAnsi="Aptos"/>
          <w:bCs/>
          <w:sz w:val="22"/>
          <w:szCs w:val="22"/>
        </w:rPr>
        <w:br w:type="page"/>
      </w:r>
    </w:p>
    <w:p w14:paraId="03635E68" w14:textId="77777777" w:rsidR="00623AF8" w:rsidRDefault="00623AF8" w:rsidP="00623AF8">
      <w:pPr>
        <w:spacing w:after="120"/>
        <w:jc w:val="both"/>
        <w:rPr>
          <w:rFonts w:ascii="Aptos" w:hAnsi="Aptos"/>
          <w:bCs/>
          <w:iCs/>
          <w:sz w:val="22"/>
          <w:szCs w:val="22"/>
        </w:rPr>
      </w:pPr>
    </w:p>
    <w:p w14:paraId="16295D80" w14:textId="77777777" w:rsidR="00623AF8" w:rsidRDefault="00623AF8" w:rsidP="00623AF8">
      <w:pPr>
        <w:pStyle w:val="berschrift1"/>
        <w:rPr>
          <w:rFonts w:ascii="Aptos" w:hAnsi="Aptos"/>
        </w:rPr>
      </w:pPr>
    </w:p>
    <w:p w14:paraId="4BF4C74C" w14:textId="77777777" w:rsidR="00623AF8" w:rsidRDefault="00623AF8" w:rsidP="00623AF8">
      <w:pPr>
        <w:pStyle w:val="berschrift1"/>
        <w:rPr>
          <w:rFonts w:ascii="Aptos" w:hAnsi="Aptos"/>
        </w:rPr>
      </w:pPr>
      <w:bookmarkStart w:id="203" w:name="_Toc165540460"/>
      <w:bookmarkStart w:id="204" w:name="_Toc170294929"/>
      <w:bookmarkStart w:id="205" w:name="_Toc170983707"/>
      <w:r>
        <w:rPr>
          <w:rFonts w:ascii="Aptos" w:hAnsi="Aptos"/>
        </w:rPr>
        <w:t>Ressourcensicherheit für künftige Ertüchtigung des Energiesystems</w:t>
      </w:r>
      <w:bookmarkEnd w:id="203"/>
      <w:bookmarkEnd w:id="204"/>
      <w:bookmarkEnd w:id="205"/>
    </w:p>
    <w:p w14:paraId="088E999C"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7A444F20"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1A7B7D5"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7358A128"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99C7C48"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Sicherstellung einer reibungslosen Versorgung mit den benötigten Ressourcen für die Energieinfrastruktur ist ein zentraler Aspekt für die zukünftige Entwicklung. Angesichts der Komplexität globaler Lieferketten und der steigenden Nachfrage nach energiebezogenen Materialien ist es unerlässlich, Mechanismen zu entwickeln, die eine nachhaltige und effiziente Beschaffung gewährleisten. </w:t>
            </w:r>
            <w:r>
              <w:rPr>
                <w:rFonts w:ascii="Aptos" w:hAnsi="Aptos"/>
                <w:b/>
                <w:bCs/>
                <w:sz w:val="22"/>
                <w:szCs w:val="22"/>
              </w:rPr>
              <w:t>Wie werden Sie sicherstellen, dass die zukünftige Ertüchtigung des gesamten Energiesystems durch ausreichende Ressourcen unterstützt wird?</w:t>
            </w:r>
          </w:p>
        </w:tc>
      </w:tr>
      <w:tr w:rsidR="00623AF8" w14:paraId="603118BC"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A2B74EB"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418503D2"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68EDB6F"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Wie wollen Sie sicherstellen, dass notwendige Alternativen trotz bestehender Beschränkungen auch zukünftig verfügbar und zugänglich bleiben?</w:t>
            </w:r>
          </w:p>
        </w:tc>
      </w:tr>
    </w:tbl>
    <w:p w14:paraId="26F0689B"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76E68F8C" w14:textId="77777777" w:rsidTr="00875DD0">
        <w:tc>
          <w:tcPr>
            <w:tcW w:w="9060" w:type="dxa"/>
            <w:shd w:val="clear" w:color="auto" w:fill="D9D9D9" w:themeFill="background1" w:themeFillShade="D9"/>
            <w:hideMark/>
          </w:tcPr>
          <w:p w14:paraId="6FE9C990"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061DDFFB" w14:textId="77777777" w:rsidR="00623AF8" w:rsidRDefault="00623AF8" w:rsidP="00623AF8">
      <w:pPr>
        <w:spacing w:after="100" w:afterAutospacing="1"/>
        <w:jc w:val="both"/>
        <w:rPr>
          <w:rFonts w:ascii="Aptos" w:hAnsi="Aptos"/>
          <w:sz w:val="22"/>
          <w:szCs w:val="22"/>
        </w:rPr>
      </w:pPr>
      <w:r>
        <w:rPr>
          <w:rFonts w:ascii="Aptos" w:hAnsi="Aptos"/>
          <w:sz w:val="22"/>
          <w:szCs w:val="22"/>
        </w:rPr>
        <w:t>Die Sicherstellung einer reibungslosen Versorgung mit den benötigten Ressourcen für die Energieinfrastruktur ist ein zentraler Aspekt für die zukünftige Entwicklung. Angesichts der Komplexität globaler Lieferketten und der steigenden Nachfrage nach energiebezogenen Materialien ist es unerlässlich, Mechanismen zu entwickeln, die eine nachhaltige und effiziente Beschaffung gewährleisten. Es muss sichergestellt werden, dass die zukünftige Ertüchtigung des gesamten Energiesystems durch ausreichende Ressourcen unterstützt wird.</w:t>
      </w:r>
    </w:p>
    <w:p w14:paraId="432645DF"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Die steigende Nachfrage nach Rohstoffen wie seltenen Erden, Lithium und Kobalt, die für Batterien und andere Energiespeichertechnologien benötigt werden, erfordert eine sorgfältige Planung und internationale Zusammenarbeit. Die Abhängigkeit von wenigen Lieferanten und geopolitischen Risiken kann die Versorgungssicherheit gefährden. Daher ist es entscheidend, Alternativen zu bestehenden Lieferquellen zu finden und die Recyclingquoten zu erhöhen, um die Rohstoffbasis zu diversifizieren.</w:t>
      </w:r>
    </w:p>
    <w:p w14:paraId="2E5363DD" w14:textId="77777777" w:rsidR="00623AF8" w:rsidRDefault="00623AF8" w:rsidP="00623AF8">
      <w:pPr>
        <w:spacing w:before="100" w:beforeAutospacing="1" w:after="100" w:afterAutospacing="1"/>
        <w:jc w:val="both"/>
        <w:rPr>
          <w:rFonts w:ascii="Aptos" w:hAnsi="Aptos"/>
          <w:bCs/>
          <w:sz w:val="22"/>
          <w:szCs w:val="22"/>
        </w:rPr>
      </w:pPr>
      <w:r>
        <w:rPr>
          <w:rFonts w:ascii="Aptos" w:hAnsi="Aptos"/>
          <w:bCs/>
          <w:sz w:val="22"/>
          <w:szCs w:val="22"/>
        </w:rPr>
        <w:t>Die Verfügbarkeit von Rohstoffen, die bald verboten werden, bleibt eine zentrale Herausforderung. Rohstoffe wie bestimmte Metalle und seltene Erden sind derzeit essenziell für die Produktion von Technologien, die für die Energiewende notwendig sind. Gleichzeitig stehen wir vor der Aufgabe, diese Rohstoffe durch nachhaltige Alternativen zu ersetzen. Eine Firma muss weiterhin Produkte bauen, die für die Energiewende notwendig sind, auch wenn diese Rohstoffe bald nicht mehr zugänglich sind.</w:t>
      </w:r>
    </w:p>
    <w:p w14:paraId="502AE5AF" w14:textId="77777777" w:rsidR="00623AF8" w:rsidRDefault="00623AF8" w:rsidP="00623AF8">
      <w:pPr>
        <w:spacing w:before="100" w:beforeAutospacing="1" w:after="100" w:afterAutospacing="1"/>
        <w:jc w:val="both"/>
        <w:rPr>
          <w:rFonts w:ascii="Aptos" w:hAnsi="Aptos"/>
          <w:bCs/>
          <w:sz w:val="22"/>
          <w:szCs w:val="22"/>
        </w:rPr>
      </w:pPr>
      <w:r>
        <w:rPr>
          <w:rFonts w:ascii="Aptos" w:hAnsi="Aptos"/>
          <w:bCs/>
          <w:sz w:val="22"/>
          <w:szCs w:val="22"/>
        </w:rPr>
        <w:t>Die Frage, wie notwendige Alternativen trotz bestehender Beschränkungen auch zukünftig verfügbar und zugänglich bleiben, erfordert eine ganzheitliche Strategie. Diese sollte politische, wirtschaftliche und technologische Maßnahmen umfassen, um die Widerstandsfähigkeit und Nachhaltigkeit des Energiesystems zu gewährleisten. Nur so kann die EU ihre Energieversorgung stabil und zukunftssicher gestalten.</w:t>
      </w:r>
    </w:p>
    <w:p w14:paraId="18BA4098" w14:textId="77777777" w:rsidR="00623AF8" w:rsidRDefault="00623AF8" w:rsidP="00623AF8">
      <w:pPr>
        <w:spacing w:after="120"/>
        <w:jc w:val="both"/>
        <w:rPr>
          <w:rFonts w:ascii="Aptos" w:hAnsi="Aptos"/>
          <w:bCs/>
          <w:iCs/>
          <w:sz w:val="22"/>
          <w:szCs w:val="22"/>
        </w:rPr>
      </w:pPr>
    </w:p>
    <w:p w14:paraId="3C4CCEC7" w14:textId="77777777" w:rsidR="00623AF8" w:rsidRDefault="00623AF8" w:rsidP="00623AF8">
      <w:pPr>
        <w:pStyle w:val="berschrift1"/>
        <w:rPr>
          <w:rFonts w:ascii="Aptos" w:hAnsi="Aptos"/>
        </w:rPr>
      </w:pPr>
    </w:p>
    <w:p w14:paraId="69A56DAD" w14:textId="77777777" w:rsidR="00623AF8" w:rsidRDefault="00623AF8" w:rsidP="00623AF8">
      <w:pPr>
        <w:pStyle w:val="berschrift1"/>
        <w:rPr>
          <w:rFonts w:ascii="Aptos" w:hAnsi="Aptos"/>
        </w:rPr>
      </w:pPr>
      <w:bookmarkStart w:id="206" w:name="_Toc165540461"/>
      <w:bookmarkStart w:id="207" w:name="_Toc170294930"/>
      <w:bookmarkStart w:id="208" w:name="_Toc170983708"/>
      <w:r>
        <w:rPr>
          <w:rFonts w:ascii="Aptos" w:hAnsi="Aptos"/>
        </w:rPr>
        <w:t>Refinanzierung des Aufbaus der europäischen Wasserstoffnetze</w:t>
      </w:r>
      <w:bookmarkEnd w:id="206"/>
      <w:bookmarkEnd w:id="207"/>
      <w:bookmarkEnd w:id="208"/>
    </w:p>
    <w:p w14:paraId="0A6D6755"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9B7CEE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221E76C"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17350D07"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B898EB8" w14:textId="77777777" w:rsidR="00623AF8" w:rsidRDefault="00623AF8" w:rsidP="00875DD0">
            <w:pPr>
              <w:spacing w:before="120" w:after="120"/>
              <w:jc w:val="both"/>
              <w:rPr>
                <w:rFonts w:ascii="Aptos" w:hAnsi="Aptos"/>
                <w:sz w:val="22"/>
                <w:szCs w:val="22"/>
              </w:rPr>
            </w:pPr>
            <w:r>
              <w:rPr>
                <w:rFonts w:ascii="Aptos" w:hAnsi="Aptos"/>
                <w:sz w:val="22"/>
                <w:szCs w:val="22"/>
              </w:rPr>
              <w:t xml:space="preserve">Europa steht vor der Herausforderung, seine Energiewende voranzutreiben und gleichzeitig seine Abhängigkeit von fossilen Brennstoffen zu verringern. Eine vielversprechende Lösung, die zunehmend an Bedeutung gewinnt, ist die Integration von Wasserstoff als sauberer Energieträger. Die Errichtung eines europäischen Wasserstoffnetzes birgt enormes Potenzial, um den Kontinent in Richtung einer nachhaltigeren Energieinfrastruktur zu lenken. </w:t>
            </w:r>
            <w:r>
              <w:rPr>
                <w:rFonts w:ascii="Aptos" w:hAnsi="Aptos"/>
                <w:b/>
                <w:bCs/>
                <w:sz w:val="22"/>
                <w:szCs w:val="22"/>
              </w:rPr>
              <w:t>Wie beabsichtigen Sie, die Finanzierung für den Aufbau der europäischen Wasserstoffnetze zu gestalten?</w:t>
            </w:r>
          </w:p>
        </w:tc>
      </w:tr>
      <w:tr w:rsidR="00623AF8" w14:paraId="0EF7D010"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9417379"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121051B2"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3F5A6E4"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Wie planen Sie sicherzustellen, dass die Kosten für den Aufbau der Wasserstoffnetze nicht auf die Privatkund:innen übertragen werden?</w:t>
            </w:r>
          </w:p>
        </w:tc>
      </w:tr>
    </w:tbl>
    <w:p w14:paraId="171ADD7A"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D255E4D" w14:textId="77777777" w:rsidTr="00875DD0">
        <w:tc>
          <w:tcPr>
            <w:tcW w:w="9060" w:type="dxa"/>
            <w:shd w:val="clear" w:color="auto" w:fill="D9D9D9" w:themeFill="background1" w:themeFillShade="D9"/>
            <w:hideMark/>
          </w:tcPr>
          <w:p w14:paraId="7CAF538E"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4D9FA995" w14:textId="77777777" w:rsidR="00623AF8" w:rsidRDefault="00623AF8" w:rsidP="00623AF8">
      <w:pPr>
        <w:spacing w:after="100" w:afterAutospacing="1"/>
        <w:jc w:val="both"/>
        <w:rPr>
          <w:rFonts w:ascii="Aptos" w:hAnsi="Aptos"/>
          <w:sz w:val="22"/>
          <w:szCs w:val="22"/>
        </w:rPr>
      </w:pPr>
      <w:r>
        <w:rPr>
          <w:rFonts w:ascii="Aptos" w:hAnsi="Aptos"/>
          <w:sz w:val="22"/>
          <w:szCs w:val="22"/>
        </w:rPr>
        <w:t>Der Aufbau eines umfassenden europäischen Wasserstoffnetzes ist ein zentraler Baustein für die Energiewende und die Dekarbonisierung der Wirtschaft. Wasserstoff gilt als vielseitiger Energieträger, der in verschiedenen Sektoren, wie Industrie, Verkehr und Energieerzeugung, fossile Brennstoffe ersetzen kann. Um das Potenzial von Wasserstoff voll auszuschöpfen, ist der Aufbau einer robusten Infrastruktur notwendig, die Produktion, Speicherung, Transport und Verteilung von Wasserstoff ermöglicht. Eine attraktive Finanzierung ist hierbei von entscheidender Bedeutung.</w:t>
      </w:r>
    </w:p>
    <w:p w14:paraId="01398B7B"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 xml:space="preserve">Der Hochlauf einer leistungsfähigen Wasserstoffwirtschaft muss umfassend vom Staat unterstützt werden. Staatliche Förderungen, günstige Kredite und gezielte Investitionsanreize sind notwendig, um die hohen Anfangsinvestitionen zu bewältigen und den Aufbau der Wasserstoffnetze zu beschleunigen. Staatliche Unterstützung reduziert das Risiko für Investoren und macht Projekte wirtschaftlich tragfähig. Dies fördert nicht nur die Entwicklung der Wasserstofftechnologie, sondern schafft auch Arbeitsplätze und stärkt die europäische Wettbewerbsfähigkeit im globalen Energiemarkt. </w:t>
      </w:r>
    </w:p>
    <w:p w14:paraId="17A892B3" w14:textId="77777777" w:rsidR="00623AF8" w:rsidRDefault="00623AF8" w:rsidP="00623AF8">
      <w:pPr>
        <w:spacing w:before="100" w:beforeAutospacing="1" w:after="100" w:afterAutospacing="1"/>
        <w:jc w:val="both"/>
        <w:rPr>
          <w:rFonts w:ascii="Aptos" w:hAnsi="Aptos"/>
          <w:bCs/>
          <w:sz w:val="22"/>
          <w:szCs w:val="22"/>
        </w:rPr>
      </w:pPr>
      <w:r>
        <w:rPr>
          <w:rFonts w:ascii="Aptos" w:hAnsi="Aptos"/>
          <w:sz w:val="22"/>
          <w:szCs w:val="22"/>
        </w:rPr>
        <w:t>Es ist außerdem wichtig, dass die Kosten für den Aufbau der Wasserstoffnetze nicht auf die Privatkund:innen übertragen werden. Die Energiewende soll sozial gerecht gestaltet werden, und eine Belastung der Endverbraucher:innen mit hohen Zusatzkosten würde zu Widerstand und sozialer Ungerechtigkeit führen. Stattdessen sollten die Kosten fair verteilt und durch staatliche Unterstützung und Beteiligung der Industrie getragen werden. Dies sichert eine breite Akzeptanz und Unterstützung der Bevölkerung für den Wandel hin zu erneuerbaren Energien. Nur durch eine gerechte Verteilung der Kosten kann die Energiewende erfolgreich und nachhaltig umgesetzt werden, ohne die sozialen und wirtschaftlichen Bedürfnisse der Privatkund:innen zu vernachlässigen.</w:t>
      </w:r>
    </w:p>
    <w:p w14:paraId="3910AC87" w14:textId="77777777" w:rsidR="00623AF8" w:rsidRDefault="00623AF8" w:rsidP="00623AF8">
      <w:pPr>
        <w:spacing w:after="120"/>
        <w:jc w:val="both"/>
        <w:rPr>
          <w:rFonts w:ascii="Aptos" w:hAnsi="Aptos"/>
          <w:bCs/>
          <w:iCs/>
          <w:sz w:val="22"/>
          <w:szCs w:val="22"/>
        </w:rPr>
      </w:pPr>
    </w:p>
    <w:p w14:paraId="4FB791AB" w14:textId="77777777" w:rsidR="00623AF8" w:rsidRDefault="00623AF8" w:rsidP="00623AF8">
      <w:pPr>
        <w:pStyle w:val="berschrift1"/>
        <w:rPr>
          <w:rFonts w:ascii="Aptos" w:hAnsi="Aptos"/>
        </w:rPr>
      </w:pPr>
    </w:p>
    <w:p w14:paraId="505C2E61" w14:textId="77777777" w:rsidR="00623AF8" w:rsidRDefault="00623AF8" w:rsidP="00623AF8">
      <w:pPr>
        <w:pStyle w:val="berschrift1"/>
        <w:rPr>
          <w:rFonts w:ascii="Aptos" w:hAnsi="Aptos"/>
        </w:rPr>
      </w:pPr>
      <w:bookmarkStart w:id="209" w:name="_Toc165540462"/>
      <w:bookmarkStart w:id="210" w:name="_Toc170294931"/>
      <w:bookmarkStart w:id="211" w:name="_Toc170983709"/>
      <w:r>
        <w:rPr>
          <w:rFonts w:ascii="Aptos" w:hAnsi="Aptos"/>
        </w:rPr>
        <w:t>Künftige Verwendungsfelder für Wasserstoff</w:t>
      </w:r>
      <w:bookmarkEnd w:id="209"/>
      <w:bookmarkEnd w:id="210"/>
      <w:bookmarkEnd w:id="211"/>
    </w:p>
    <w:p w14:paraId="7B6C103C"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51AF327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BB7B532"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600B6E5A"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9306124"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den letzten Jahren hat sich Wasserstoff als vielversprechender Energieträger etabliert, der das Potenzial hat, eine Schlüsselrolle in der Dekarbonisierung verschiedener Sektoren zu spielen. Als sauberer und vielseitiger Energiespeicher gewinnt Wasserstoff weltweit an Bedeutung. </w:t>
            </w:r>
            <w:r>
              <w:rPr>
                <w:rFonts w:ascii="Aptos" w:hAnsi="Aptos"/>
                <w:b/>
                <w:bCs/>
                <w:sz w:val="22"/>
                <w:szCs w:val="22"/>
              </w:rPr>
              <w:t>Welche konkreten Verwendungsfelder sehen Sie für Wasserstoff in den kommenden Jahren?</w:t>
            </w:r>
          </w:p>
        </w:tc>
      </w:tr>
      <w:tr w:rsidR="00623AF8" w14:paraId="4CE1792D"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1956F74"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73B7C0C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0F28A7E"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Welche Auswirkungen wird Wasserstoff auf Industrien haben, die schwer zu dekarbonisieren sind, und wie stark wird sich deren Fokus darauf ausrichten?</w:t>
            </w:r>
          </w:p>
        </w:tc>
      </w:tr>
    </w:tbl>
    <w:p w14:paraId="6B6AF37F" w14:textId="77777777" w:rsidR="00623AF8" w:rsidRDefault="00623AF8" w:rsidP="00623AF8">
      <w:pPr>
        <w:spacing w:after="120"/>
        <w:jc w:val="both"/>
        <w:rPr>
          <w:rFonts w:ascii="Aptos" w:hAnsi="Aptos"/>
          <w:i/>
          <w:iCs/>
          <w:sz w:val="22"/>
          <w:szCs w:val="22"/>
          <w:u w:val="single"/>
        </w:rPr>
      </w:pPr>
    </w:p>
    <w:p w14:paraId="010C41DB"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1A7B7EBD" w14:textId="77777777" w:rsidTr="00875DD0">
        <w:tc>
          <w:tcPr>
            <w:tcW w:w="9060" w:type="dxa"/>
            <w:shd w:val="clear" w:color="auto" w:fill="D9D9D9" w:themeFill="background1" w:themeFillShade="D9"/>
            <w:hideMark/>
          </w:tcPr>
          <w:p w14:paraId="4E4725A1"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0EB9D129" w14:textId="77777777" w:rsidR="00623AF8" w:rsidRDefault="00623AF8" w:rsidP="00623AF8">
      <w:pPr>
        <w:spacing w:after="100" w:afterAutospacing="1"/>
        <w:jc w:val="both"/>
        <w:rPr>
          <w:rFonts w:ascii="Aptos" w:hAnsi="Aptos"/>
          <w:sz w:val="22"/>
          <w:szCs w:val="22"/>
        </w:rPr>
      </w:pPr>
      <w:r>
        <w:rPr>
          <w:rFonts w:ascii="Aptos" w:hAnsi="Aptos"/>
          <w:sz w:val="22"/>
          <w:szCs w:val="22"/>
        </w:rPr>
        <w:t xml:space="preserve">Wasserstoff spielt eine wichtige Rolle im Bereich erneuerbarer Energien spielt eine wichtige Rolle in der Energiewende. Dies liegt vor allem daran, dass Wasserstoff bei der Nutzung in Brennstoffzellen nur Wasser und keine schädlichen Emissionen freisetzt, was ihn zu einer attraktiven Alternative zu fossilen Brennstoffen macht. Darüber hinaus kann Wasserstoff aus erneuerbaren Energiequellen wie Wind- und Solarenergie hergestellt werden, was zu einer weiteren Reduzierung von Treibhausgasemissionen beiträgt und die Energiesicherheit erhöht. Somit scheint Wasserstoff in mehreren Bereichen einen großen Nutzen zu haben. Vor allem in dem Verkehrs- und- Industriesektor gibt es ein potenziell vielfältiges Nutzen von Wasserstoff im Bereich Brennstoff und Energiespeicher. </w:t>
      </w:r>
    </w:p>
    <w:p w14:paraId="0999C3BA"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Insbesondere Stahl-, Zement- und Chemieindustrie sind traditionell stark von fossilen Brennstoffen abhängig und haben hohe CO2-Emissionen, was die Minderung ihrer Klimabelastung besonders herausfordernd und kostbar macht. Wasserstoff könnte als Ersatz für kohlenstoffintensive Energiequellen dienen. Wenn die Benutzung dieser Industrien von Wasserstoff sich in den kommenden Jahren stark erhöhen würde, könnte man schneller für eine Energiewende sorgen und nachhaltigere Praktiken versichern. Zudem fördern technologische Fortschritte und sinkende Kosten für erneuerbaren Wasserstoff die Implementierung wasserstoffbasierter Lösungen. Unternehmen könnten eine wichtige Rolle in dem Bereich spielen, wenn sie dazu angespornt werden, zunehmend in Forschung und Entwicklung von Wasserstoff zu investieren. Dies könnte die Effizienz und Wirtschaftlichkeit von Wasserstoffanwendungen verbessern, was die Transformation dieser Sektoren beschleunigen dürfte.</w:t>
      </w:r>
    </w:p>
    <w:p w14:paraId="6AF66207" w14:textId="77777777" w:rsidR="00623AF8" w:rsidRDefault="00623AF8" w:rsidP="00623AF8">
      <w:pPr>
        <w:rPr>
          <w:rFonts w:ascii="Aptos" w:hAnsi="Aptos"/>
          <w:sz w:val="22"/>
          <w:szCs w:val="22"/>
        </w:rPr>
      </w:pPr>
    </w:p>
    <w:p w14:paraId="091B8DDF" w14:textId="77777777" w:rsidR="00623AF8" w:rsidRDefault="00623AF8" w:rsidP="00623AF8">
      <w:pPr>
        <w:rPr>
          <w:rFonts w:ascii="Aptos" w:hAnsi="Aptos"/>
          <w:bCs/>
          <w:sz w:val="22"/>
          <w:szCs w:val="22"/>
        </w:rPr>
      </w:pPr>
      <w:r>
        <w:rPr>
          <w:rFonts w:ascii="Aptos" w:hAnsi="Aptos"/>
          <w:bCs/>
          <w:sz w:val="22"/>
          <w:szCs w:val="22"/>
        </w:rPr>
        <w:br w:type="page"/>
      </w:r>
    </w:p>
    <w:p w14:paraId="011E6A13" w14:textId="77777777" w:rsidR="00623AF8" w:rsidRDefault="00623AF8" w:rsidP="00623AF8">
      <w:pPr>
        <w:spacing w:after="120"/>
        <w:jc w:val="both"/>
        <w:rPr>
          <w:rFonts w:ascii="Aptos" w:hAnsi="Aptos"/>
          <w:bCs/>
          <w:iCs/>
          <w:sz w:val="22"/>
          <w:szCs w:val="22"/>
        </w:rPr>
      </w:pPr>
    </w:p>
    <w:p w14:paraId="06D80803" w14:textId="77777777" w:rsidR="00623AF8" w:rsidRDefault="00623AF8" w:rsidP="00623AF8">
      <w:pPr>
        <w:pStyle w:val="berschrift1"/>
        <w:rPr>
          <w:rFonts w:ascii="Aptos" w:hAnsi="Aptos"/>
        </w:rPr>
      </w:pPr>
    </w:p>
    <w:p w14:paraId="28B81BE8" w14:textId="77777777" w:rsidR="00623AF8" w:rsidRDefault="00623AF8" w:rsidP="00623AF8">
      <w:pPr>
        <w:pStyle w:val="berschrift1"/>
        <w:rPr>
          <w:rFonts w:ascii="Aptos" w:hAnsi="Aptos"/>
        </w:rPr>
      </w:pPr>
      <w:bookmarkStart w:id="212" w:name="_Toc165540463"/>
      <w:bookmarkStart w:id="213" w:name="_Toc170294932"/>
      <w:bookmarkStart w:id="214" w:name="_Toc170983710"/>
      <w:r>
        <w:rPr>
          <w:rFonts w:ascii="Aptos" w:hAnsi="Aptos"/>
        </w:rPr>
        <w:t>Maßnahmen zur Umwidmung der bestehenden Gasinfrastruktur zu einer Wasserstoffinfrastruktur</w:t>
      </w:r>
      <w:bookmarkEnd w:id="212"/>
      <w:bookmarkEnd w:id="213"/>
      <w:bookmarkEnd w:id="214"/>
    </w:p>
    <w:p w14:paraId="3A1356D4"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4F20EC8"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2F6E669" w14:textId="77777777" w:rsidR="00623AF8" w:rsidRDefault="00623AF8" w:rsidP="00875DD0">
            <w:pPr>
              <w:spacing w:before="120" w:after="120"/>
              <w:jc w:val="both"/>
              <w:rPr>
                <w:rFonts w:ascii="Aptos" w:hAnsi="Aptos"/>
                <w:b/>
                <w:iCs/>
                <w:sz w:val="22"/>
                <w:szCs w:val="22"/>
              </w:rPr>
            </w:pPr>
            <w:r>
              <w:rPr>
                <w:rFonts w:ascii="Aptos" w:hAnsi="Aptos"/>
                <w:b/>
                <w:iCs/>
                <w:sz w:val="22"/>
                <w:szCs w:val="22"/>
              </w:rPr>
              <w:t xml:space="preserve">Frage </w:t>
            </w:r>
          </w:p>
        </w:tc>
      </w:tr>
      <w:tr w:rsidR="00623AF8" w14:paraId="79B0CAAC"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52DD0D1"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Anbetracht der dringenden Notwendigkeit, den Übergang zu nachhaltigeren Energiequellen zu beschleunigen, steht die Umwidmung der bestehenden Gasinfrastruktur zu einer Wasserstoffinfrastruktur im Fokus zahlreicher politischer und wirtschaftlicher Diskussionen. Diese Transformation birgt das Potenzial, bedeutende Fortschritte in Richtung einer kohlenstoffarmen Zukunft zu erzielen, indem sie die Nutzung von grünem Wasserstoff fördert. </w:t>
            </w:r>
            <w:r>
              <w:rPr>
                <w:rFonts w:ascii="Aptos" w:hAnsi="Aptos"/>
                <w:b/>
                <w:bCs/>
                <w:sz w:val="22"/>
                <w:szCs w:val="22"/>
              </w:rPr>
              <w:t>Welche Maßnahmen planen Sie, um die rechts- und planungssichere Umwidmung der bestehenden Gasinfrastruktur zu einer Wasserstoffinfrastruktur zu fördern?</w:t>
            </w:r>
          </w:p>
        </w:tc>
      </w:tr>
      <w:tr w:rsidR="00623AF8" w14:paraId="0035BDD4"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E5C264B"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6B8FEA70"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8C0126F"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0B21C92C"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71EFAA67" w14:textId="77777777" w:rsidTr="00875DD0">
        <w:tc>
          <w:tcPr>
            <w:tcW w:w="9060" w:type="dxa"/>
            <w:shd w:val="clear" w:color="auto" w:fill="D9D9D9" w:themeFill="background1" w:themeFillShade="D9"/>
            <w:hideMark/>
          </w:tcPr>
          <w:p w14:paraId="2A2F417A"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12691D65" w14:textId="77777777" w:rsidR="00623AF8" w:rsidRDefault="00623AF8" w:rsidP="00623AF8">
      <w:pPr>
        <w:spacing w:after="100" w:afterAutospacing="1"/>
        <w:jc w:val="both"/>
        <w:rPr>
          <w:rFonts w:ascii="Aptos" w:hAnsi="Aptos"/>
          <w:sz w:val="22"/>
          <w:szCs w:val="22"/>
        </w:rPr>
      </w:pPr>
      <w:r>
        <w:rPr>
          <w:rFonts w:ascii="Aptos" w:hAnsi="Aptos"/>
          <w:sz w:val="22"/>
          <w:szCs w:val="22"/>
        </w:rPr>
        <w:t>Die rechts- und planungssichere Umwidmung der bestehenden Gasinfrastruktur zu einer Wasserstoffinfrastruktur ist von entscheidender Bedeutung für die erfolgreiche Umsetzung der Energiewende und die Dekarbonisierung der europäischen Wirtschaft. Die Nutzung der vorhandenen Gasnetze für den Transport von Wasserstoff bietet zahlreiche Vorteile, darunter Kostenersparnisse, Zeitgewinne und die Minimierung von Umweltbelastungen im Vergleich zum Aufbau einer völlig neuen Infrastruktur.</w:t>
      </w:r>
    </w:p>
    <w:p w14:paraId="6599556D"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Das Europäische Gaspaket, das von der EU-Kommission initiiert wurde, zielt darauf ab, den Gasmarkt zu modernisieren und die Integration von erneuerbaren Gasen wie Wasserstoff zu fördern. Eine zentrale Komponente dieses Pakets ist die rechtliche und regulatorische Unterstützung der Umwidmung bestehender Gasinfrastrukturen. Durch klare gesetzliche Vorgaben und Planungsinstrumente soll sichergestellt werden, dass Netzbetreiber die notwendigen Anpassungen schnell und effizient durchführen können.</w:t>
      </w:r>
    </w:p>
    <w:p w14:paraId="466F171B"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Die Förderung der rechts- und planungssicheren Umwidmung ist essenziell, um Investitionssicherheit für Unternehmen zu schaffen. Unternehmen müssen darauf vertrauen können, dass ihre Investitionen in die Umrüstung der Infrastruktur rechtlich abgesichert und langfristig rentabel sind. Ohne diese Sicherheit könnten wichtige Projekte verzögert oder gar nicht erst gestartet werden, was die Energiewende erheblich behindern würde.</w:t>
      </w:r>
    </w:p>
    <w:p w14:paraId="2ED63EDA"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Zudem trägt die Umwidmung bestehender Infrastrukturen zur Erreichung der Klimaziele bei, indem sie den schnellen und kosteneffizienten Einsatz von Wasserstoff als erneuerbare Energiequelle ermöglicht. Dies ist besonders wichtig, um die ambitionierten Ziele des Europäischen Green Deals zu erreichen, der eine Klimaneutralität bis 2050 anstrebt.</w:t>
      </w:r>
    </w:p>
    <w:p w14:paraId="6C35F514" w14:textId="77777777" w:rsidR="00623AF8" w:rsidRDefault="00623AF8" w:rsidP="00623AF8">
      <w:pPr>
        <w:spacing w:after="120"/>
        <w:jc w:val="both"/>
        <w:rPr>
          <w:rFonts w:ascii="Aptos" w:hAnsi="Aptos"/>
          <w:bCs/>
          <w:iCs/>
          <w:sz w:val="22"/>
          <w:szCs w:val="22"/>
        </w:rPr>
      </w:pPr>
    </w:p>
    <w:p w14:paraId="6D07EFD5" w14:textId="77777777" w:rsidR="00623AF8" w:rsidRDefault="00623AF8" w:rsidP="00623AF8">
      <w:pPr>
        <w:pStyle w:val="berschrift1"/>
        <w:rPr>
          <w:rFonts w:ascii="Aptos" w:hAnsi="Aptos"/>
        </w:rPr>
      </w:pPr>
    </w:p>
    <w:p w14:paraId="6488AA0D" w14:textId="77777777" w:rsidR="00623AF8" w:rsidRDefault="00623AF8" w:rsidP="00623AF8">
      <w:pPr>
        <w:pStyle w:val="berschrift1"/>
        <w:rPr>
          <w:rFonts w:ascii="Aptos" w:hAnsi="Aptos"/>
        </w:rPr>
      </w:pPr>
      <w:bookmarkStart w:id="215" w:name="_Toc165540464"/>
      <w:bookmarkStart w:id="216" w:name="_Toc170294933"/>
      <w:bookmarkStart w:id="217" w:name="_Toc170983711"/>
      <w:r>
        <w:rPr>
          <w:rFonts w:ascii="Aptos" w:hAnsi="Aptos"/>
        </w:rPr>
        <w:t>Zertifizierung von erneuerbarem Wasserstoff</w:t>
      </w:r>
      <w:bookmarkEnd w:id="215"/>
      <w:bookmarkEnd w:id="216"/>
      <w:bookmarkEnd w:id="217"/>
    </w:p>
    <w:p w14:paraId="69F08F4F"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1924EED8"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B6BAB1"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435D0BF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8EBA671"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wachsende Bedeutung grünen Wasserstoffs als Schlüsselkomponente im globalen Übergang zu sauberer Energie hat eine verstärkte Nachfrage nach klaren Zertifizierungsstandards hervorgebracht. Diese Standards sind entscheidend, um die Qualität und Nachhaltigkeit von grünem Wasserstoff sicherzustellen und das Vertrauen der Verbraucher und Industrie zu stärken. Angesichts der Vielfalt von Produktionsmethoden und der globalen Natur des Wasserstoffmarktes ist eine einheitliche Zertifizierung von großer Bedeutung. </w:t>
            </w:r>
            <w:r>
              <w:rPr>
                <w:rFonts w:ascii="Aptos" w:hAnsi="Aptos"/>
                <w:b/>
                <w:bCs/>
                <w:sz w:val="22"/>
                <w:szCs w:val="22"/>
              </w:rPr>
              <w:t>Welche konkreten Pläne verfolgen Sie für Zertifizierung von grünem Wasserstoff?</w:t>
            </w:r>
          </w:p>
        </w:tc>
      </w:tr>
      <w:tr w:rsidR="00623AF8" w14:paraId="17C575DB"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3A04D61"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7A4EE6F6"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D471074"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Wie planen Sie sicherzustellen, dass die Produktion von grünem Wasserstoff die Versorgungssicherheit in Drittländern nicht beeinträchtigt?</w:t>
            </w:r>
          </w:p>
        </w:tc>
      </w:tr>
    </w:tbl>
    <w:p w14:paraId="3FFF6DBE" w14:textId="77777777" w:rsidR="00623AF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41B2CB56" w14:textId="77777777" w:rsidTr="00875DD0">
        <w:tc>
          <w:tcPr>
            <w:tcW w:w="9060" w:type="dxa"/>
            <w:shd w:val="clear" w:color="auto" w:fill="D9D9D9" w:themeFill="background1" w:themeFillShade="D9"/>
            <w:hideMark/>
          </w:tcPr>
          <w:p w14:paraId="4521EDF6" w14:textId="77777777" w:rsidR="00623AF8" w:rsidRDefault="00623AF8" w:rsidP="00875DD0">
            <w:pPr>
              <w:pStyle w:val="TableParagraph"/>
              <w:tabs>
                <w:tab w:val="left" w:pos="2796"/>
              </w:tabs>
              <w:spacing w:line="258" w:lineRule="exact"/>
              <w:ind w:left="0"/>
              <w:jc w:val="both"/>
              <w:rPr>
                <w:rFonts w:ascii="Aptos" w:hAnsi="Aptos"/>
                <w:b/>
                <w:highlight w:val="lightGray"/>
              </w:rPr>
            </w:pPr>
            <w:r>
              <w:rPr>
                <w:rFonts w:ascii="Aptos" w:hAnsi="Aptos"/>
                <w:b/>
                <w:highlight w:val="lightGray"/>
              </w:rPr>
              <w:t>Hintergrund</w:t>
            </w:r>
            <w:r>
              <w:rPr>
                <w:rFonts w:ascii="Aptos" w:hAnsi="Aptos"/>
                <w:b/>
                <w:highlight w:val="lightGray"/>
              </w:rPr>
              <w:tab/>
            </w:r>
          </w:p>
        </w:tc>
      </w:tr>
    </w:tbl>
    <w:p w14:paraId="032F7B56" w14:textId="77777777" w:rsidR="00623AF8" w:rsidRDefault="00623AF8" w:rsidP="00623AF8">
      <w:pPr>
        <w:spacing w:after="100" w:afterAutospacing="1"/>
        <w:jc w:val="both"/>
        <w:rPr>
          <w:rFonts w:ascii="Aptos" w:hAnsi="Aptos"/>
          <w:sz w:val="22"/>
          <w:szCs w:val="22"/>
        </w:rPr>
      </w:pPr>
      <w:r>
        <w:rPr>
          <w:rFonts w:ascii="Aptos" w:hAnsi="Aptos"/>
          <w:sz w:val="22"/>
          <w:szCs w:val="22"/>
        </w:rPr>
        <w:t>Die Transformation zu erneuerbaren Energien birgt das Potenzial, bedeutende Fortschritte in Richtung einer kohlenstoffarmen Zukunft zu erreichen, indem sie die Nutzung von grünem Wasserstoff fördert. Grüner Wasserstoff, der durch Elektrolyse unter Einsatz erneuerbarer Energien produziert wird, spielt eine zentrale Rolle in der Dekarbonisierungsstrategie vieler Länder und Industrien weltweit.</w:t>
      </w:r>
    </w:p>
    <w:p w14:paraId="4F9B4498"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Die daraus entstehende Nachfrage nach Wasserstoff hat das Bedürfnis nach klaren Zertifizierungsstandards hervorgebracht. Diese Standards sind entscheidend, um die Qualität und Nachhaltigkeit der Produktion von grünem Wasserstoff sicherzustellen und das Vertrauen von Verbrauchern und der Industrie zu stärken. Einheitliche Zertifizierungsstandards wären von Vorteil, um die unterschiedlichen Produktionsmethoden und deren Umweltbilanz transparent und vergleichbar zu machen.</w:t>
      </w:r>
    </w:p>
    <w:p w14:paraId="12A35776"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Es wäre wichtig Transparenz- und Rückverfolgbarkeitssysteme, die den gesamten Lebenszyklus des Wasserstoffs dokumentieren können, in Erwägung zu ziehen. Solche Systeme stärken das Vertrauen in die Herkunft von grünem Wasserstoff und festigen dessen Rolle im globalen Energiemarkt.</w:t>
      </w:r>
    </w:p>
    <w:p w14:paraId="1F5F04FD"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Ein wesentliches Anliegen ist dabei, dass die Produktion von grünem Wasserstoff die Versorgungssicherheit in Drittländern nicht beeinträchtigt. Dies kann durch internationale Kooperationen für den Aufbau erneuerbarer Energiekapazitäten in diesen Ländern gewährleistet werden. Investitionen in erneuerbare Energien in Drittländern sind entscheidend, um sicherzustellen, dass genügend Energie sowohl für die lokale Versorgung als auch für die Produktion von grünem Wasserstoff zur Verfügung steht.</w:t>
      </w:r>
      <w:r>
        <w:rPr>
          <w:rFonts w:ascii="Aptos" w:hAnsi="Aptos"/>
          <w:bCs/>
          <w:sz w:val="22"/>
          <w:szCs w:val="22"/>
        </w:rPr>
        <w:br w:type="page"/>
      </w:r>
    </w:p>
    <w:p w14:paraId="1B4F1D74" w14:textId="77777777" w:rsidR="00623AF8" w:rsidRDefault="00623AF8" w:rsidP="00623AF8">
      <w:pPr>
        <w:spacing w:after="120"/>
        <w:jc w:val="both"/>
        <w:rPr>
          <w:rFonts w:ascii="Aptos" w:hAnsi="Aptos"/>
          <w:bCs/>
          <w:iCs/>
          <w:sz w:val="22"/>
          <w:szCs w:val="22"/>
        </w:rPr>
      </w:pPr>
    </w:p>
    <w:p w14:paraId="45299FD1" w14:textId="77777777" w:rsidR="00623AF8" w:rsidRDefault="00623AF8" w:rsidP="00623AF8">
      <w:pPr>
        <w:pStyle w:val="berschrift1"/>
        <w:rPr>
          <w:rFonts w:ascii="Aptos" w:hAnsi="Aptos"/>
        </w:rPr>
      </w:pPr>
    </w:p>
    <w:p w14:paraId="68E4E300" w14:textId="77777777" w:rsidR="00623AF8" w:rsidRDefault="00623AF8" w:rsidP="00623AF8">
      <w:pPr>
        <w:pStyle w:val="berschrift1"/>
        <w:rPr>
          <w:rFonts w:ascii="Aptos" w:hAnsi="Aptos"/>
        </w:rPr>
      </w:pPr>
      <w:bookmarkStart w:id="218" w:name="_Toc165540465"/>
      <w:bookmarkStart w:id="219" w:name="_Toc170294934"/>
    </w:p>
    <w:p w14:paraId="2FE55B2E" w14:textId="77777777" w:rsidR="00623AF8" w:rsidRDefault="00623AF8" w:rsidP="00623AF8">
      <w:pPr>
        <w:pStyle w:val="berschrift1"/>
        <w:rPr>
          <w:rFonts w:ascii="Aptos" w:hAnsi="Aptos"/>
        </w:rPr>
      </w:pPr>
      <w:bookmarkStart w:id="220" w:name="_Toc170983712"/>
      <w:r>
        <w:rPr>
          <w:rFonts w:ascii="Aptos" w:hAnsi="Aptos"/>
        </w:rPr>
        <w:t>Rahmenbedingungen zum Hochlauf einer erneuerbaren Wasserstoffwirtschaft</w:t>
      </w:r>
      <w:bookmarkEnd w:id="218"/>
      <w:bookmarkEnd w:id="219"/>
      <w:bookmarkEnd w:id="220"/>
    </w:p>
    <w:p w14:paraId="0CE7C7EF"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92803C7"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EDD598"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2C47C12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F25E826"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Umstellung auf eine Wasserstoffwirtschaft verspricht nicht nur eine Reduzierung der Treibhausgasemissionen, sondern auch eine Diversifizierung der Energiequellen. Dennoch stehen wir vor Herausforderungen, die die Skalierung dieses Geschäftsmodells erschweren. </w:t>
            </w:r>
            <w:r>
              <w:rPr>
                <w:rFonts w:ascii="Aptos" w:hAnsi="Aptos"/>
                <w:b/>
                <w:bCs/>
                <w:sz w:val="22"/>
                <w:szCs w:val="22"/>
              </w:rPr>
              <w:t>Wie können aus Ihrer Sicht die Rahmenbedingungen gestaltet werden, um den Hochlauf der erneuerbaren Wasserstoffwirtschaft zu erleichtern und gleichzeitig ein rentables Geschäftsmodell zu gewährleisten?</w:t>
            </w:r>
          </w:p>
        </w:tc>
      </w:tr>
      <w:tr w:rsidR="00623AF8" w14:paraId="5CA55F6E"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7C9328E"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070FAF44"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F4AE3BD"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7FC382DD" w14:textId="77777777" w:rsidR="00623AF8" w:rsidRDefault="00623AF8" w:rsidP="00623AF8">
      <w:pPr>
        <w:spacing w:after="120"/>
        <w:jc w:val="both"/>
        <w:rPr>
          <w:rFonts w:ascii="Aptos" w:hAnsi="Aptos"/>
          <w:i/>
          <w:iCs/>
          <w:sz w:val="22"/>
          <w:szCs w:val="22"/>
          <w:u w:val="single"/>
        </w:rPr>
      </w:pPr>
    </w:p>
    <w:tbl>
      <w:tblPr>
        <w:tblStyle w:val="Tabellenraster"/>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623AF8" w14:paraId="79849D15" w14:textId="77777777" w:rsidTr="00875DD0">
        <w:tc>
          <w:tcPr>
            <w:tcW w:w="9072" w:type="dxa"/>
            <w:shd w:val="clear" w:color="auto" w:fill="D9D9D9" w:themeFill="background1" w:themeFillShade="D9"/>
            <w:hideMark/>
          </w:tcPr>
          <w:p w14:paraId="0A805D36" w14:textId="77777777" w:rsidR="00623AF8" w:rsidRDefault="00623AF8" w:rsidP="00875DD0">
            <w:pPr>
              <w:pStyle w:val="TableParagraph"/>
              <w:tabs>
                <w:tab w:val="left" w:pos="1423"/>
                <w:tab w:val="left" w:pos="2796"/>
              </w:tabs>
              <w:spacing w:line="258" w:lineRule="exact"/>
              <w:ind w:left="0"/>
              <w:jc w:val="both"/>
              <w:rPr>
                <w:rFonts w:ascii="Aptos" w:hAnsi="Aptos"/>
                <w:b/>
                <w:highlight w:val="lightGray"/>
              </w:rPr>
            </w:pPr>
            <w:bookmarkStart w:id="221" w:name="_Hlk170301716"/>
            <w:r>
              <w:rPr>
                <w:rFonts w:ascii="Aptos" w:hAnsi="Aptos"/>
                <w:b/>
                <w:highlight w:val="lightGray"/>
              </w:rPr>
              <w:t>Hintergrund</w:t>
            </w:r>
            <w:r>
              <w:rPr>
                <w:rFonts w:ascii="Aptos" w:hAnsi="Aptos"/>
                <w:b/>
                <w:highlight w:val="lightGray"/>
              </w:rPr>
              <w:tab/>
            </w:r>
            <w:r>
              <w:rPr>
                <w:rFonts w:ascii="Aptos" w:hAnsi="Aptos"/>
                <w:b/>
                <w:highlight w:val="lightGray"/>
              </w:rPr>
              <w:tab/>
              <w:t xml:space="preserve">                                                                                                                                          </w:t>
            </w:r>
          </w:p>
        </w:tc>
      </w:tr>
    </w:tbl>
    <w:bookmarkEnd w:id="221"/>
    <w:p w14:paraId="6F8B1EDE" w14:textId="77777777" w:rsidR="00623AF8" w:rsidRDefault="00623AF8" w:rsidP="00623AF8">
      <w:pPr>
        <w:spacing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Grüner Wasserstoff kann fossile Brennstoffe in vielen Sektoren wie Industrie, Verkehr und Energieerzeugung ersetzen. Dies trägt zur Verringerung der Abhängigkeit von importierten fossilen Brennstoffen und zur Verbesserung der Energiesicherheit bei. Allerdings bestehen Herausforderungen wie hohe Produktionskosten und fehlende Infrastruktur. Um den Hochlauf der erneuerbaren Wasserstoffwirtschaft zu erleichtern und gleichzeitig ein rentables Geschäftsmodell zu gewährleisten, sind umfassende Maßnahmen erforderlich.</w:t>
      </w:r>
    </w:p>
    <w:p w14:paraId="472C2EBF" w14:textId="77777777" w:rsidR="00623AF8" w:rsidRDefault="00623AF8" w:rsidP="00623AF8">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Um das Ziel zu erreichen, von kleinen Produktionen auf eine große Ebene zu gelangen, sind Koordination und strategische Maßnahmen von Vorteil. Ein rentables Geschäftsmodell schafft Anreize für Investoren, in innovative Technologien und Infrastrukturprojekte zu investieren, was notwendig ist, um die Produktionskosten zu senken und die Effizienz zu steigern. Dies fördert Wettbewerb und Innovation im Markt und kann die Preise für Endverbraucher senken. Zudem sorgt ein wirtschaftlich tragfähiges Modell für Planungssicherheit bei Unternehmen, die Wasserstoff nutzen möchten, was besonders wichtig für energieintensive Industrien ist, die auf zuverlässige und kostengünstige Energiequellen angewiesen sind.</w:t>
      </w:r>
    </w:p>
    <w:p w14:paraId="050A3839" w14:textId="77777777" w:rsidR="00623AF8" w:rsidRDefault="00623AF8" w:rsidP="00623AF8">
      <w:pPr>
        <w:spacing w:before="100" w:beforeAutospacing="1" w:after="100" w:afterAutospacing="1"/>
        <w:jc w:val="both"/>
        <w:rPr>
          <w:rFonts w:ascii="Aptos" w:hAnsi="Aptos"/>
          <w:bCs/>
          <w:sz w:val="22"/>
          <w:szCs w:val="22"/>
        </w:rPr>
      </w:pPr>
      <w:r>
        <w:rPr>
          <w:rFonts w:ascii="Aptos" w:hAnsi="Aptos"/>
          <w:bCs/>
          <w:sz w:val="22"/>
          <w:szCs w:val="22"/>
        </w:rPr>
        <w:br w:type="page"/>
      </w:r>
    </w:p>
    <w:p w14:paraId="741B8638" w14:textId="77777777" w:rsidR="00623AF8" w:rsidRDefault="00623AF8" w:rsidP="00623AF8">
      <w:pPr>
        <w:spacing w:after="120"/>
        <w:jc w:val="both"/>
        <w:rPr>
          <w:rFonts w:ascii="Aptos" w:hAnsi="Aptos"/>
          <w:bCs/>
          <w:iCs/>
          <w:sz w:val="22"/>
          <w:szCs w:val="22"/>
        </w:rPr>
      </w:pPr>
    </w:p>
    <w:p w14:paraId="5EF9164A" w14:textId="77777777" w:rsidR="00623AF8" w:rsidRDefault="00623AF8" w:rsidP="00623AF8">
      <w:pPr>
        <w:pStyle w:val="berschrift1"/>
        <w:rPr>
          <w:rFonts w:ascii="Aptos" w:hAnsi="Aptos"/>
        </w:rPr>
      </w:pPr>
    </w:p>
    <w:p w14:paraId="14D91025" w14:textId="77777777" w:rsidR="00623AF8" w:rsidRDefault="00623AF8" w:rsidP="00623AF8">
      <w:pPr>
        <w:pStyle w:val="berschrift1"/>
        <w:rPr>
          <w:rFonts w:ascii="Aptos" w:hAnsi="Aptos"/>
        </w:rPr>
      </w:pPr>
      <w:bookmarkStart w:id="222" w:name="_Toc165540466"/>
      <w:bookmarkStart w:id="223" w:name="_Toc170294935"/>
      <w:bookmarkStart w:id="224" w:name="_Toc170983713"/>
      <w:r>
        <w:rPr>
          <w:rFonts w:ascii="Aptos" w:hAnsi="Aptos"/>
        </w:rPr>
        <w:t>Förderungen für den Wasserstoffhochlauf</w:t>
      </w:r>
      <w:bookmarkEnd w:id="222"/>
      <w:bookmarkEnd w:id="223"/>
      <w:bookmarkEnd w:id="224"/>
    </w:p>
    <w:p w14:paraId="664D0733"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65927A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41A0C5D" w14:textId="77777777" w:rsidR="00623AF8" w:rsidRDefault="00623AF8" w:rsidP="00875DD0">
            <w:pPr>
              <w:spacing w:before="120" w:after="120"/>
              <w:jc w:val="both"/>
              <w:rPr>
                <w:rFonts w:ascii="Aptos" w:hAnsi="Aptos"/>
                <w:b/>
                <w:iCs/>
                <w:sz w:val="22"/>
                <w:szCs w:val="22"/>
              </w:rPr>
            </w:pPr>
            <w:r>
              <w:rPr>
                <w:rFonts w:ascii="Aptos" w:hAnsi="Aptos"/>
                <w:b/>
                <w:iCs/>
                <w:sz w:val="22"/>
                <w:szCs w:val="22"/>
              </w:rPr>
              <w:t xml:space="preserve">Frage </w:t>
            </w:r>
          </w:p>
        </w:tc>
      </w:tr>
      <w:tr w:rsidR="00623AF8" w14:paraId="5667628C"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552D94F" w14:textId="77777777" w:rsidR="00623AF8" w:rsidRDefault="00623AF8" w:rsidP="00875DD0">
            <w:pPr>
              <w:spacing w:before="120" w:after="120"/>
              <w:jc w:val="both"/>
              <w:rPr>
                <w:rFonts w:ascii="Aptos" w:hAnsi="Aptos"/>
                <w:sz w:val="22"/>
                <w:szCs w:val="22"/>
              </w:rPr>
            </w:pPr>
            <w:r>
              <w:rPr>
                <w:rFonts w:ascii="Aptos" w:hAnsi="Aptos"/>
                <w:sz w:val="22"/>
                <w:szCs w:val="22"/>
              </w:rPr>
              <w:t xml:space="preserve">Angesichts der ehrgeizigen Ziele zur Reduzierung von Treibhausgasemissionen und der Schaffung einer nachhaltigen Energieinfrastruktur ist es unerlässlich, gezielte Unterstützung und Anreize für den Wasserstoffhochlauf bereitzustellen. Die bevorstehenden Fördermaßnahmen sollten nicht nur die Entwicklung und Skalierung von Wasserstofftechnologien vorantreiben, sondern auch den Aufbau einer robusten Wasserstoffwirtschaft ermöglichen. </w:t>
            </w:r>
            <w:r>
              <w:rPr>
                <w:rFonts w:ascii="Aptos" w:hAnsi="Aptos"/>
                <w:b/>
                <w:bCs/>
                <w:sz w:val="22"/>
                <w:szCs w:val="22"/>
              </w:rPr>
              <w:t>Welche neuen Förderungen planen Sie für den Wasserstoffhochlauf?</w:t>
            </w:r>
          </w:p>
        </w:tc>
      </w:tr>
      <w:tr w:rsidR="00623AF8" w14:paraId="44361D49"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73C6D33"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2069F90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B0E589A"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Ist die Einführung von Eignungskriterien geplant, um die Qualifizierung zur Wasserstoffförderung zu regeln?</w:t>
            </w:r>
          </w:p>
        </w:tc>
      </w:tr>
    </w:tbl>
    <w:p w14:paraId="1C83E075" w14:textId="77777777" w:rsidR="00623AF8" w:rsidRDefault="00623AF8" w:rsidP="00623AF8">
      <w:pPr>
        <w:pStyle w:val="TableParagraph"/>
        <w:tabs>
          <w:tab w:val="left" w:pos="1423"/>
          <w:tab w:val="left" w:pos="2796"/>
        </w:tabs>
        <w:spacing w:line="258" w:lineRule="exact"/>
        <w:ind w:left="0"/>
        <w:jc w:val="both"/>
        <w:rPr>
          <w:rFonts w:ascii="Aptos" w:hAnsi="Aptos"/>
          <w:b/>
          <w:lang w:val="de-AT"/>
        </w:rPr>
      </w:pPr>
      <w:bookmarkStart w:id="225" w:name="_Hlk170301982"/>
    </w:p>
    <w:tbl>
      <w:tblPr>
        <w:tblStyle w:val="Tabellenraster"/>
        <w:tblW w:w="0" w:type="auto"/>
        <w:tblLook w:val="04A0" w:firstRow="1" w:lastRow="0" w:firstColumn="1" w:lastColumn="0" w:noHBand="0" w:noVBand="1"/>
      </w:tblPr>
      <w:tblGrid>
        <w:gridCol w:w="9060"/>
      </w:tblGrid>
      <w:tr w:rsidR="00623AF8" w14:paraId="540B44A3" w14:textId="77777777" w:rsidTr="00875DD0">
        <w:tc>
          <w:tcPr>
            <w:tcW w:w="9060" w:type="dxa"/>
            <w:tcBorders>
              <w:top w:val="nil"/>
              <w:left w:val="nil"/>
              <w:bottom w:val="nil"/>
              <w:right w:val="nil"/>
            </w:tcBorders>
            <w:shd w:val="clear" w:color="auto" w:fill="BFBFBF" w:themeFill="background1" w:themeFillShade="BF"/>
            <w:hideMark/>
          </w:tcPr>
          <w:p w14:paraId="0A46AA98" w14:textId="77777777" w:rsidR="00623AF8" w:rsidRDefault="00623AF8" w:rsidP="00875DD0">
            <w:pPr>
              <w:tabs>
                <w:tab w:val="left" w:pos="708"/>
                <w:tab w:val="left" w:pos="1416"/>
                <w:tab w:val="left" w:pos="2124"/>
                <w:tab w:val="left" w:pos="2796"/>
                <w:tab w:val="center" w:pos="4422"/>
              </w:tabs>
              <w:spacing w:before="100" w:beforeAutospacing="1" w:after="100" w:afterAutospacing="1"/>
              <w:jc w:val="both"/>
              <w:rPr>
                <w:rFonts w:ascii="Aptos" w:eastAsia="Times New Roman" w:hAnsi="Aptos" w:cs="Times New Roman"/>
                <w:sz w:val="22"/>
                <w:szCs w:val="22"/>
                <w:lang w:eastAsia="de-AT"/>
              </w:rPr>
            </w:pPr>
            <w:r>
              <w:rPr>
                <w:rFonts w:ascii="Aptos" w:hAnsi="Aptos"/>
                <w:b/>
                <w:sz w:val="22"/>
                <w:szCs w:val="22"/>
                <w:shd w:val="clear" w:color="auto" w:fill="BFBFBF" w:themeFill="background1" w:themeFillShade="BF"/>
              </w:rPr>
              <w:t xml:space="preserve">Hintergrund         </w:t>
            </w:r>
            <w:r>
              <w:rPr>
                <w:rFonts w:ascii="Aptos" w:hAnsi="Aptos"/>
                <w:b/>
                <w:sz w:val="22"/>
                <w:szCs w:val="22"/>
              </w:rPr>
              <w:t xml:space="preserve">              </w:t>
            </w:r>
          </w:p>
        </w:tc>
      </w:tr>
    </w:tbl>
    <w:bookmarkEnd w:id="225"/>
    <w:p w14:paraId="4F54FCA0" w14:textId="77777777" w:rsidR="00623AF8" w:rsidRDefault="00623AF8" w:rsidP="00623AF8">
      <w:pPr>
        <w:spacing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 xml:space="preserve">Grüner Wasserstoff spielt eine entscheidende Rolle in der Dekarbonisierungsstrategie, da er als sauberer Energieträger in verschiedenen Sektoren eingesetzt werden kann. Um die Entwicklung und Skalierung von Wasserstofftechnologien zu fördern, wären Fördermaßnahmen erforderlich, die sowohl finanzielle Unterstützung als auch politische und regulatorische Ideen vorschlagen. Diese sollen dazu beitragen, die Produktionskosten zu senken, die Infrastruktur auszubauen und die Marktnachfrage zu steigern, um eine robuste Wasserstoffwirtschaft aufzubauen. Die bevorstehenden Fördermaßnahmen sollten nicht nur die technologische Entwicklung unterstützen, sondern auch die gesamte Wertschöpfungskette der Wasserstoffwirtschaft stärken. Dazu können Investitionen in Forschung und Entwicklung, als auch Finanzielle Unterstützungen beitragen, da diese Unternehmen dabei helfen können, wirtschaftlich stabile Geschäftsmodelle zu entwickeln. Darüber hinaus könnten regulatorische Maßnahmen einheitliche Standards und Zertifizierungen für grünen Wasserstoff etablieren, die den internationalen Handel und die grenzüberschreitende Zusammenarbeit erleichtern. </w:t>
      </w:r>
    </w:p>
    <w:p w14:paraId="0A6C770C" w14:textId="77777777" w:rsidR="00623AF8" w:rsidRDefault="00623AF8" w:rsidP="00623AF8">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Eignungskriterien könnten erfolgreich die Qualifizierung zur Wasserstoffförderung regeln. Diese Kriterien könnten dafür sorgen, sicherzustellen, dass nur Projekte gefördert werden, die den Standards für Nachhaltigkeit, Effizienz und Innovationspotenzial entsprechen. Es würde einen positiven Effekt haben, sicherzugehe, dass Projekte auch langfristig effektiv sind. Kriterien sollten in enger Zusammenarbeit mit Experten und Stakeholdern entwickelt und regelmäßig überprüft werden, um sicherzustellen, dass sie den neuesten wissenschaftlichen Erkenntnissen und technischen Entwicklungen entsprechen. So kann Transparenz und Vertrauen geschaffen werden um sicherstellen, dass die Mittel effektiv und zielgerichtet eingesetzt werden. Außerdem würden Kriterien den Wissensaustausch erleichtern, um den Aufbau einer leistungsfähigen und nachhaltigen Wasserstoffwirtschaft zu unterstützen.</w:t>
      </w:r>
    </w:p>
    <w:p w14:paraId="7E1FB091" w14:textId="77777777" w:rsidR="00623AF8" w:rsidRDefault="00623AF8" w:rsidP="00623AF8">
      <w:pPr>
        <w:spacing w:after="120"/>
        <w:jc w:val="both"/>
        <w:rPr>
          <w:rFonts w:ascii="Aptos" w:hAnsi="Aptos"/>
          <w:bCs/>
          <w:iCs/>
          <w:sz w:val="22"/>
          <w:szCs w:val="22"/>
        </w:rPr>
      </w:pPr>
    </w:p>
    <w:p w14:paraId="20C5A722" w14:textId="77777777" w:rsidR="00623AF8" w:rsidRDefault="00623AF8" w:rsidP="00623AF8">
      <w:pPr>
        <w:pStyle w:val="berschrift1"/>
        <w:rPr>
          <w:rFonts w:ascii="Aptos" w:hAnsi="Aptos"/>
        </w:rPr>
      </w:pPr>
    </w:p>
    <w:p w14:paraId="59A991F3" w14:textId="77777777" w:rsidR="00623AF8" w:rsidRDefault="00623AF8" w:rsidP="00623AF8">
      <w:pPr>
        <w:pStyle w:val="berschrift1"/>
        <w:rPr>
          <w:rFonts w:ascii="Aptos" w:hAnsi="Aptos"/>
        </w:rPr>
      </w:pPr>
      <w:bookmarkStart w:id="226" w:name="_Toc165540467"/>
      <w:bookmarkStart w:id="227" w:name="_Toc170294936"/>
      <w:bookmarkStart w:id="228" w:name="_Toc170983714"/>
      <w:r>
        <w:rPr>
          <w:rFonts w:ascii="Aptos" w:hAnsi="Aptos"/>
        </w:rPr>
        <w:t>Integrierung von Qualitätskriterien für die Förderung von Wasserstoff</w:t>
      </w:r>
      <w:bookmarkEnd w:id="226"/>
      <w:bookmarkEnd w:id="227"/>
      <w:bookmarkEnd w:id="228"/>
    </w:p>
    <w:p w14:paraId="595105DF"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5F7972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45B19C0"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4B354367"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066E295B"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EU-Kommission hat bereits eine ehrgeizige Wasserstoffstrategie vorgelegt, die darauf abzielt, die Wasserstoffproduktion zu skalieren und seine Anwendungsbereiche zu diversifizieren. Bisherige Diskussionen konzentrieren sich oft auf technische Aspekte wie Effizienz und Umweltverträglichkeit. Doch zunehmend wird auch die soziale Dimension des Wasserstoffsektors in den Fokus gerückt. </w:t>
            </w:r>
            <w:r>
              <w:rPr>
                <w:rFonts w:ascii="Aptos" w:hAnsi="Aptos"/>
                <w:b/>
                <w:bCs/>
                <w:sz w:val="22"/>
                <w:szCs w:val="22"/>
              </w:rPr>
              <w:t>Planen Sie in der Förderung von Wasserstoff Qualitätskriterien einbeziehen, die auch soziale Nachhaltigkeit berücksichtigen?</w:t>
            </w:r>
          </w:p>
        </w:tc>
      </w:tr>
      <w:tr w:rsidR="00623AF8" w14:paraId="02ACDEF7"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5679ADC"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37565E4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CF25291"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076C3705" w14:textId="77777777" w:rsidR="00623AF8" w:rsidRDefault="00623AF8" w:rsidP="00623AF8">
      <w:pPr>
        <w:pStyle w:val="TableParagraph"/>
        <w:tabs>
          <w:tab w:val="left" w:pos="1423"/>
          <w:tab w:val="left" w:pos="2796"/>
        </w:tabs>
        <w:spacing w:line="258" w:lineRule="exact"/>
        <w:ind w:left="0"/>
        <w:jc w:val="both"/>
        <w:rPr>
          <w:rFonts w:ascii="Aptos" w:hAnsi="Aptos"/>
          <w:b/>
          <w:lang w:val="de-AT"/>
        </w:rPr>
      </w:pPr>
    </w:p>
    <w:tbl>
      <w:tblPr>
        <w:tblStyle w:val="Tabellenraster"/>
        <w:tblW w:w="0" w:type="auto"/>
        <w:tblLook w:val="04A0" w:firstRow="1" w:lastRow="0" w:firstColumn="1" w:lastColumn="0" w:noHBand="0" w:noVBand="1"/>
      </w:tblPr>
      <w:tblGrid>
        <w:gridCol w:w="9060"/>
      </w:tblGrid>
      <w:tr w:rsidR="00623AF8" w14:paraId="300C4001" w14:textId="77777777" w:rsidTr="00875DD0">
        <w:tc>
          <w:tcPr>
            <w:tcW w:w="9060" w:type="dxa"/>
            <w:tcBorders>
              <w:top w:val="nil"/>
              <w:left w:val="nil"/>
              <w:bottom w:val="nil"/>
              <w:right w:val="nil"/>
            </w:tcBorders>
            <w:shd w:val="clear" w:color="auto" w:fill="BFBFBF" w:themeFill="background1" w:themeFillShade="BF"/>
            <w:hideMark/>
          </w:tcPr>
          <w:p w14:paraId="5D877123" w14:textId="77777777" w:rsidR="00623AF8" w:rsidRDefault="00623AF8" w:rsidP="00875DD0">
            <w:pPr>
              <w:tabs>
                <w:tab w:val="left" w:pos="708"/>
                <w:tab w:val="left" w:pos="1416"/>
                <w:tab w:val="left" w:pos="2124"/>
                <w:tab w:val="left" w:pos="2796"/>
                <w:tab w:val="center" w:pos="4422"/>
              </w:tabs>
              <w:spacing w:before="100" w:beforeAutospacing="1" w:after="100" w:afterAutospacing="1"/>
              <w:jc w:val="both"/>
              <w:rPr>
                <w:rFonts w:ascii="Aptos" w:eastAsia="Times New Roman" w:hAnsi="Aptos" w:cs="Times New Roman"/>
                <w:sz w:val="22"/>
                <w:szCs w:val="22"/>
                <w:lang w:eastAsia="de-AT"/>
              </w:rPr>
            </w:pPr>
            <w:r>
              <w:rPr>
                <w:rFonts w:ascii="Aptos" w:hAnsi="Aptos"/>
                <w:b/>
                <w:sz w:val="22"/>
                <w:szCs w:val="22"/>
                <w:shd w:val="clear" w:color="auto" w:fill="BFBFBF" w:themeFill="background1" w:themeFillShade="BF"/>
              </w:rPr>
              <w:t xml:space="preserve">Hintergrund         </w:t>
            </w:r>
            <w:r>
              <w:rPr>
                <w:rFonts w:ascii="Aptos" w:hAnsi="Aptos"/>
                <w:b/>
                <w:sz w:val="22"/>
                <w:szCs w:val="22"/>
              </w:rPr>
              <w:t xml:space="preserve">              </w:t>
            </w:r>
          </w:p>
        </w:tc>
      </w:tr>
    </w:tbl>
    <w:p w14:paraId="61003C9B" w14:textId="77777777" w:rsidR="00623AF8" w:rsidRDefault="00623AF8" w:rsidP="00623AF8">
      <w:pPr>
        <w:spacing w:after="100" w:afterAutospacing="1"/>
        <w:jc w:val="both"/>
        <w:rPr>
          <w:rFonts w:ascii="Aptos" w:hAnsi="Aptos"/>
          <w:sz w:val="22"/>
          <w:szCs w:val="22"/>
        </w:rPr>
      </w:pPr>
      <w:r>
        <w:rPr>
          <w:rFonts w:ascii="Aptos" w:hAnsi="Aptos"/>
          <w:sz w:val="22"/>
          <w:szCs w:val="22"/>
        </w:rPr>
        <w:t>Die Förderung von Wasserstoff als Energiequelle ist ein wesentlicher Schritt zur Reduzierung von Treibhausgasemissionen und zur Bekämpfung des Klimawandels. Allerdings ist es entscheidend, bei der Entwicklung und Implementierung von Wasserstofftechnologien nicht nur ökologische, sondern auch soziale Nachhaltigkeitskriterien zu berücksichtigen. Soziale Nachhaltigkeit zielt darauf ab, dass gesellschaftliche und wirtschaftliche Vorteile gleichmäßig verteilt und soziale Ungerechtigkeiten vermieden werden.</w:t>
      </w:r>
    </w:p>
    <w:p w14:paraId="6121E2C5"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In der Wasserstoffwirtschaft bedeutet dies, sicherzustellen, dass die Arbeitsbedingungen in der gesamten Lieferkette menschenwürdig sind und keine Ausbeutung stattfindet. Zudem sollte der Zugang zu den Vorteilen der Wasserstofftechnologie für alle Bevölkerungsgruppen gewährleistet sein, insbesondere für benachteiligte und marginalisierte Gemeinschaften. Faire Löhne, Arbeitsschutz und soziale Absicherung der Arbeitskräfte sind ebenso zentrale Aspekte.</w:t>
      </w:r>
    </w:p>
    <w:p w14:paraId="6C057EF3"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Zudem kann die Einbeziehung sozialer Nachhaltigkeitskriterien dazu beitragen, soziale Akzeptanz und Unterstützung für Wasserstoffprojekte zu gewinnen. Akzeptanz in der Bevölkerung ist entscheidend für den Erfolg solcher Projekte, da Widerstände und Konflikte oft aus sozialen Missständen und Ungerechtigkeiten entstehen. Langfristig tragen Projekte, die soziale Nachhaltigkeit berücksichtigen, zu einer stabileren und gerechteren Gesellschaft bei und unterstützen so die übergeordneten Ziele der nachhaltigen Entwicklung.</w:t>
      </w:r>
    </w:p>
    <w:p w14:paraId="29E412E2" w14:textId="77777777" w:rsidR="00623AF8" w:rsidRDefault="00623AF8" w:rsidP="00623AF8">
      <w:pPr>
        <w:rPr>
          <w:rFonts w:ascii="Aptos" w:hAnsi="Aptos"/>
          <w:bCs/>
          <w:sz w:val="22"/>
          <w:szCs w:val="22"/>
        </w:rPr>
      </w:pPr>
      <w:r>
        <w:rPr>
          <w:rFonts w:ascii="Aptos" w:hAnsi="Aptos"/>
          <w:bCs/>
          <w:sz w:val="22"/>
          <w:szCs w:val="22"/>
        </w:rPr>
        <w:br w:type="page"/>
      </w:r>
    </w:p>
    <w:p w14:paraId="2DB54371" w14:textId="77777777" w:rsidR="00623AF8" w:rsidRDefault="00623AF8" w:rsidP="00623AF8">
      <w:pPr>
        <w:pStyle w:val="berschrift1"/>
        <w:rPr>
          <w:rFonts w:ascii="Aptos" w:hAnsi="Aptos"/>
        </w:rPr>
      </w:pPr>
    </w:p>
    <w:p w14:paraId="1DE909A3" w14:textId="77777777" w:rsidR="00623AF8" w:rsidRDefault="00623AF8" w:rsidP="00623AF8">
      <w:pPr>
        <w:pStyle w:val="berschrift1"/>
        <w:rPr>
          <w:rFonts w:ascii="Aptos" w:hAnsi="Aptos"/>
        </w:rPr>
      </w:pPr>
      <w:bookmarkStart w:id="229" w:name="_Toc165540468"/>
      <w:bookmarkStart w:id="230" w:name="_Toc170294937"/>
      <w:bookmarkStart w:id="231" w:name="_Toc170983715"/>
      <w:r>
        <w:rPr>
          <w:rFonts w:ascii="Aptos" w:hAnsi="Aptos"/>
        </w:rPr>
        <w:t>Umsetzung der Energieeffizienz-Richtlinie</w:t>
      </w:r>
      <w:bookmarkEnd w:id="229"/>
      <w:bookmarkEnd w:id="230"/>
      <w:bookmarkEnd w:id="231"/>
    </w:p>
    <w:p w14:paraId="102385EA"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207EED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DD5115D" w14:textId="77777777" w:rsidR="00623AF8" w:rsidRDefault="00623AF8" w:rsidP="00875DD0">
            <w:pPr>
              <w:spacing w:before="120" w:after="120"/>
              <w:jc w:val="both"/>
              <w:rPr>
                <w:rFonts w:ascii="Aptos" w:hAnsi="Aptos"/>
                <w:b/>
                <w:iCs/>
                <w:sz w:val="22"/>
                <w:szCs w:val="22"/>
              </w:rPr>
            </w:pPr>
            <w:r>
              <w:rPr>
                <w:rFonts w:ascii="Aptos" w:hAnsi="Aptos"/>
                <w:b/>
                <w:iCs/>
                <w:sz w:val="22"/>
                <w:szCs w:val="22"/>
              </w:rPr>
              <w:t xml:space="preserve">Frage </w:t>
            </w:r>
          </w:p>
        </w:tc>
      </w:tr>
      <w:tr w:rsidR="00623AF8" w14:paraId="53EE4BDE"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562373E"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Umsetzung der Energieeffizienz-Richtlinie ist von entscheidender Bedeutung, um den Verpflichtungen der EU im Kampf gegen den Klimawandel nachzukommen. Dabei ist es von ebenso großer Wichtigkeit, dass diese Maßnahmen möglichst ohne zusätzliche bürokratische Hürden umgesetzt werden. Eine zentrale Herausforderung besteht darin, den Altbestand der Infrastruktur zu sanieren, um den Energieverbrauch nachhaltig zu reduzieren und die Effizienz zu steigern. </w:t>
            </w:r>
            <w:r>
              <w:rPr>
                <w:rFonts w:ascii="Aptos" w:hAnsi="Aptos"/>
                <w:b/>
                <w:bCs/>
                <w:sz w:val="22"/>
                <w:szCs w:val="22"/>
              </w:rPr>
              <w:t>Wie kann aus Ihrer Sicht die EU mit Förderungen für die Sanierung des Altbestands der Infrastruktur unterstützend tätig sein?</w:t>
            </w:r>
          </w:p>
        </w:tc>
      </w:tr>
      <w:tr w:rsidR="00623AF8" w14:paraId="1FBA68D2"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7E177B6"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2AFA5E0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D5402C0"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61F55FE5" w14:textId="77777777" w:rsidR="00623AF8" w:rsidRDefault="00623AF8" w:rsidP="00623AF8">
      <w:pPr>
        <w:spacing w:after="120"/>
        <w:jc w:val="both"/>
        <w:rPr>
          <w:rFonts w:ascii="Aptos" w:hAnsi="Aptos"/>
          <w:i/>
          <w:iCs/>
          <w:sz w:val="22"/>
          <w:szCs w:val="22"/>
          <w:u w:val="single"/>
        </w:rPr>
      </w:pPr>
    </w:p>
    <w:p w14:paraId="1D6CC6FC" w14:textId="77777777" w:rsidR="00623AF8" w:rsidRDefault="00623AF8" w:rsidP="00623AF8">
      <w:pPr>
        <w:pStyle w:val="TableParagraph"/>
        <w:tabs>
          <w:tab w:val="left" w:pos="1423"/>
          <w:tab w:val="left" w:pos="2796"/>
        </w:tabs>
        <w:spacing w:line="258" w:lineRule="exact"/>
        <w:ind w:left="0"/>
        <w:jc w:val="both"/>
        <w:rPr>
          <w:rFonts w:ascii="Aptos" w:hAnsi="Aptos"/>
          <w:b/>
          <w:lang w:val="de-AT"/>
        </w:rPr>
      </w:pPr>
    </w:p>
    <w:tbl>
      <w:tblPr>
        <w:tblStyle w:val="Tabellenraster"/>
        <w:tblW w:w="0" w:type="auto"/>
        <w:tblLook w:val="04A0" w:firstRow="1" w:lastRow="0" w:firstColumn="1" w:lastColumn="0" w:noHBand="0" w:noVBand="1"/>
      </w:tblPr>
      <w:tblGrid>
        <w:gridCol w:w="9060"/>
      </w:tblGrid>
      <w:tr w:rsidR="00623AF8" w14:paraId="1E34D6C0" w14:textId="77777777" w:rsidTr="00875DD0">
        <w:tc>
          <w:tcPr>
            <w:tcW w:w="9060" w:type="dxa"/>
            <w:tcBorders>
              <w:top w:val="nil"/>
              <w:left w:val="nil"/>
              <w:bottom w:val="nil"/>
              <w:right w:val="nil"/>
            </w:tcBorders>
            <w:shd w:val="clear" w:color="auto" w:fill="BFBFBF" w:themeFill="background1" w:themeFillShade="BF"/>
            <w:hideMark/>
          </w:tcPr>
          <w:p w14:paraId="711A6F83" w14:textId="77777777" w:rsidR="00623AF8" w:rsidRDefault="00623AF8" w:rsidP="00875DD0">
            <w:pPr>
              <w:tabs>
                <w:tab w:val="left" w:pos="708"/>
                <w:tab w:val="left" w:pos="1416"/>
                <w:tab w:val="left" w:pos="2124"/>
                <w:tab w:val="left" w:pos="2796"/>
                <w:tab w:val="center" w:pos="4422"/>
              </w:tabs>
              <w:spacing w:before="100" w:beforeAutospacing="1" w:after="100" w:afterAutospacing="1"/>
              <w:jc w:val="both"/>
              <w:rPr>
                <w:rFonts w:ascii="Aptos" w:eastAsia="Times New Roman" w:hAnsi="Aptos" w:cs="Times New Roman"/>
                <w:sz w:val="22"/>
                <w:szCs w:val="22"/>
                <w:lang w:eastAsia="de-AT"/>
              </w:rPr>
            </w:pPr>
            <w:r>
              <w:rPr>
                <w:rFonts w:ascii="Aptos" w:hAnsi="Aptos"/>
                <w:b/>
                <w:sz w:val="22"/>
                <w:szCs w:val="22"/>
                <w:shd w:val="clear" w:color="auto" w:fill="BFBFBF" w:themeFill="background1" w:themeFillShade="BF"/>
              </w:rPr>
              <w:t xml:space="preserve">Hintergrund         </w:t>
            </w:r>
            <w:r>
              <w:rPr>
                <w:rFonts w:ascii="Aptos" w:hAnsi="Aptos"/>
                <w:b/>
                <w:sz w:val="22"/>
                <w:szCs w:val="22"/>
              </w:rPr>
              <w:t xml:space="preserve">              </w:t>
            </w:r>
          </w:p>
        </w:tc>
      </w:tr>
    </w:tbl>
    <w:p w14:paraId="6C1F356D" w14:textId="77777777" w:rsidR="00623AF8" w:rsidRDefault="00623AF8" w:rsidP="00623AF8">
      <w:pPr>
        <w:spacing w:after="100" w:afterAutospacing="1"/>
        <w:jc w:val="both"/>
        <w:rPr>
          <w:rFonts w:ascii="Aptos" w:hAnsi="Aptos"/>
          <w:sz w:val="22"/>
          <w:szCs w:val="22"/>
        </w:rPr>
      </w:pPr>
      <w:r>
        <w:rPr>
          <w:rFonts w:ascii="Aptos" w:hAnsi="Aptos"/>
          <w:sz w:val="22"/>
          <w:szCs w:val="22"/>
        </w:rPr>
        <w:t>Die Energieeffizienz-Richtlinie</w:t>
      </w:r>
      <w:r>
        <w:rPr>
          <w:rFonts w:ascii="Aptos" w:hAnsi="Aptos"/>
          <w:sz w:val="28"/>
          <w:szCs w:val="28"/>
          <w:vertAlign w:val="subscript"/>
        </w:rPr>
        <w:t>(1)</w:t>
      </w:r>
      <w:r>
        <w:rPr>
          <w:rFonts w:ascii="Aptos" w:hAnsi="Aptos"/>
          <w:sz w:val="22"/>
          <w:szCs w:val="22"/>
        </w:rPr>
        <w:t xml:space="preserve"> der Europäischen Union ist ein zentraler Bestandteil der EU-Strategie zur Reduzierung des Energieverbrauchs und zur Förderung nachhaltiger Energiepraktiken. Sie zielt darauf ab, die Energieeffizienz in verschiedenen Sektoren zu steigern, darunter Industrie, Verkehr und insbesondere Gebäude, die für einen erheblichen Teil des Energieverbrauchs verantwortlich sind. Die Richtlinie verpflichtet die Mitgliedstaaten, nationale Energieeffizienzmaßnahmen zu entwickeln und umzusetzen, um gemeinsame Ziele zu erreichen.</w:t>
      </w:r>
    </w:p>
    <w:p w14:paraId="045180DA"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Die Sanierung des Altbestands der Infrastruktur in der Europäischen Union (EU) ist von entscheidender Bedeutung für die wirtschaftliche, ökologische und soziale Zukunft der Region. Viele bestehende Infrastrukturen, wie Straßen, Brücken, Gebäude und Versorgungsnetze, sind veraltet und entsprechen nicht mehr den heutigen Anforderungen in Bezug auf Sicherheit, Effizienz und Umweltverträglichkeit. Eine umfassende Sanierung kann dazu beitragen, die Lebensdauer dieser Infrastrukturen zu verlängern, ihre Leistungsfähigkeit zu steigern und ihre Umweltauswirkungen zu reduzieren.</w:t>
      </w:r>
    </w:p>
    <w:p w14:paraId="45C8CE30" w14:textId="77777777" w:rsidR="00623AF8" w:rsidRDefault="00623AF8" w:rsidP="00623AF8">
      <w:pPr>
        <w:spacing w:before="100" w:beforeAutospacing="1" w:after="100" w:afterAutospacing="1"/>
        <w:jc w:val="both"/>
        <w:rPr>
          <w:rFonts w:ascii="Aptos" w:hAnsi="Aptos"/>
          <w:bCs/>
          <w:sz w:val="22"/>
          <w:szCs w:val="22"/>
        </w:rPr>
      </w:pPr>
      <w:r>
        <w:rPr>
          <w:rFonts w:ascii="Aptos" w:hAnsi="Aptos"/>
          <w:sz w:val="22"/>
          <w:szCs w:val="22"/>
        </w:rPr>
        <w:t>Darüber hinaus spielt die Modernisierung der Infrastruktur eine wesentliche Rolle bei der Förderung von Innovation und Wettbewerbsfähigkeit. Durch die Integration moderner Technologien und nachhaltiger Materialien können erhebliche Energieeinsparungen erzielt und die Resilienz gegenüber klimatischen Veränderungen verbessert werden. Die EU-Förderungen ermöglichen es, finanzielle Hürden zu überwinden und regionale Unterschiede auszugleichen, sodass alle Mitgliedstaaten von den Vorteilen moderner Infrastruktur profitieren können.</w:t>
      </w:r>
      <w:r>
        <w:rPr>
          <w:rFonts w:ascii="Aptos" w:hAnsi="Aptos"/>
          <w:bCs/>
          <w:sz w:val="22"/>
          <w:szCs w:val="22"/>
        </w:rPr>
        <w:t xml:space="preserve"> </w:t>
      </w:r>
    </w:p>
    <w:p w14:paraId="439ADA9C" w14:textId="77777777" w:rsidR="00623AF8" w:rsidRDefault="00623AF8" w:rsidP="00F63BE8">
      <w:pPr>
        <w:pStyle w:val="Listenabsatz"/>
        <w:numPr>
          <w:ilvl w:val="0"/>
          <w:numId w:val="8"/>
        </w:numPr>
        <w:spacing w:after="120"/>
        <w:jc w:val="both"/>
        <w:rPr>
          <w:rFonts w:ascii="Aptos" w:hAnsi="Aptos"/>
          <w:bCs/>
          <w:sz w:val="28"/>
          <w:szCs w:val="28"/>
          <w:vertAlign w:val="subscript"/>
        </w:rPr>
      </w:pPr>
      <w:r>
        <w:rPr>
          <w:rFonts w:ascii="Aptos" w:hAnsi="Aptos"/>
          <w:bCs/>
          <w:sz w:val="28"/>
          <w:szCs w:val="28"/>
          <w:vertAlign w:val="subscript"/>
        </w:rPr>
        <w:t xml:space="preserve">RICHTLINIE (EU) 2023/1791 DES EUROPÄISCHEN PARLAMENTS UND DES RATES vom 13. September 2023 zur Energieeffizienz und zur Änderung der Verordnung (EU) 2023/955; </w:t>
      </w:r>
      <w:hyperlink r:id="rId31" w:history="1">
        <w:r>
          <w:rPr>
            <w:rStyle w:val="Hyperlink"/>
            <w:rFonts w:ascii="Aptos" w:hAnsi="Aptos"/>
            <w:bCs/>
            <w:sz w:val="28"/>
            <w:szCs w:val="28"/>
            <w:vertAlign w:val="subscript"/>
          </w:rPr>
          <w:t>https://eur-lex.europa.eu/legal-content/DE/TXT/PDF/?uri=CELEX:32023L1791</w:t>
        </w:r>
      </w:hyperlink>
    </w:p>
    <w:p w14:paraId="26C15DFA" w14:textId="77777777" w:rsidR="00623AF8" w:rsidRDefault="00623AF8" w:rsidP="00623AF8">
      <w:pPr>
        <w:rPr>
          <w:rFonts w:ascii="Aptos" w:hAnsi="Aptos"/>
          <w:bCs/>
          <w:sz w:val="22"/>
          <w:szCs w:val="22"/>
        </w:rPr>
      </w:pPr>
      <w:r>
        <w:rPr>
          <w:rFonts w:ascii="Aptos" w:hAnsi="Aptos"/>
          <w:bCs/>
          <w:sz w:val="22"/>
          <w:szCs w:val="22"/>
        </w:rPr>
        <w:br w:type="page"/>
      </w:r>
    </w:p>
    <w:p w14:paraId="633F0859" w14:textId="77777777" w:rsidR="00623AF8" w:rsidRDefault="00623AF8" w:rsidP="00623AF8">
      <w:pPr>
        <w:spacing w:after="120"/>
        <w:jc w:val="both"/>
        <w:rPr>
          <w:rFonts w:ascii="Aptos" w:hAnsi="Aptos"/>
          <w:bCs/>
          <w:iCs/>
          <w:sz w:val="22"/>
          <w:szCs w:val="22"/>
        </w:rPr>
      </w:pPr>
    </w:p>
    <w:p w14:paraId="043037F2" w14:textId="77777777" w:rsidR="00623AF8" w:rsidRDefault="00623AF8" w:rsidP="00623AF8">
      <w:pPr>
        <w:pStyle w:val="berschrift1"/>
        <w:rPr>
          <w:rFonts w:ascii="Aptos" w:hAnsi="Aptos"/>
        </w:rPr>
      </w:pPr>
    </w:p>
    <w:p w14:paraId="48DEEAD2" w14:textId="77777777" w:rsidR="00623AF8" w:rsidRDefault="00623AF8" w:rsidP="00623AF8">
      <w:pPr>
        <w:pStyle w:val="berschrift1"/>
        <w:rPr>
          <w:rFonts w:ascii="Aptos" w:hAnsi="Aptos"/>
        </w:rPr>
      </w:pPr>
      <w:bookmarkStart w:id="232" w:name="_Toc165540469"/>
      <w:bookmarkStart w:id="233" w:name="_Toc170294938"/>
      <w:bookmarkStart w:id="234" w:name="_Toc170983716"/>
      <w:r>
        <w:rPr>
          <w:rFonts w:ascii="Aptos" w:hAnsi="Aptos"/>
        </w:rPr>
        <w:t>Nutzung land- und forstwirtschaftlicher Reststoffe sowie organischer Abfälle zur Erzeugung von Biomethan</w:t>
      </w:r>
      <w:bookmarkEnd w:id="232"/>
      <w:bookmarkEnd w:id="233"/>
      <w:bookmarkEnd w:id="234"/>
    </w:p>
    <w:p w14:paraId="2AE36510"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1B367314"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0A8EA6E" w14:textId="77777777" w:rsidR="00623AF8" w:rsidRDefault="00623AF8" w:rsidP="00875DD0">
            <w:pPr>
              <w:spacing w:before="120" w:after="120"/>
              <w:jc w:val="both"/>
              <w:rPr>
                <w:rFonts w:ascii="Aptos" w:hAnsi="Aptos"/>
                <w:b/>
                <w:iCs/>
                <w:sz w:val="22"/>
                <w:szCs w:val="22"/>
              </w:rPr>
            </w:pPr>
            <w:r>
              <w:rPr>
                <w:rFonts w:ascii="Aptos" w:hAnsi="Aptos"/>
                <w:b/>
                <w:iCs/>
                <w:sz w:val="22"/>
                <w:szCs w:val="22"/>
              </w:rPr>
              <w:t xml:space="preserve">Frage </w:t>
            </w:r>
          </w:p>
        </w:tc>
      </w:tr>
      <w:tr w:rsidR="00623AF8" w14:paraId="216645E8"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12E97626" w14:textId="77777777" w:rsidR="00623AF8" w:rsidRDefault="00623AF8" w:rsidP="00875DD0">
            <w:pPr>
              <w:spacing w:before="120" w:after="120"/>
              <w:jc w:val="both"/>
              <w:rPr>
                <w:rFonts w:ascii="Aptos" w:hAnsi="Aptos"/>
                <w:sz w:val="22"/>
                <w:szCs w:val="22"/>
              </w:rPr>
            </w:pPr>
            <w:r>
              <w:rPr>
                <w:rFonts w:ascii="Aptos" w:hAnsi="Aptos"/>
                <w:sz w:val="22"/>
                <w:szCs w:val="22"/>
              </w:rPr>
              <w:t xml:space="preserve">Österreich hat das Potenzial, in der nachhaltigen Energieproduktion eine führende Rolle zu übernehmen, insbesondere durch Biomasse wie Biomethan oder Pyrolyseöl. Diese Ressourcen bieten nicht nur die Möglichkeit, erneuerbare Energie zu erzeugen, sondern tragen im Fall von fester Biomasse auch zur Förderung von Waldökosystemen bei, was wiederum die Klimaresilienz verbessert. Durch die Erfüllung aller Kriterien für nachhaltige Biomasse hat Österreich das Potenzial, eine grüne Energiequelle zu fördern, die nicht nur umweltfreundlich, sondern auch wirtschaftlich tragfähig ist. Angesichts der Tatsache, dass die Pelletsproduktion stark von Marktdynamiken und Qualitätsstandards abhängt, wäre eine nachhaltige Nutzung der Wärmequelle entscheidend für den Aufbau dieses Sektors. </w:t>
            </w:r>
            <w:r>
              <w:rPr>
                <w:rFonts w:ascii="Aptos" w:hAnsi="Aptos"/>
                <w:b/>
                <w:bCs/>
                <w:sz w:val="22"/>
                <w:szCs w:val="22"/>
              </w:rPr>
              <w:t>Inwiefern planen Sie, die Nutzung forstwirtschaftlicher Reststoffe für die Erzeugung von Biomethan zu forcieren?</w:t>
            </w:r>
          </w:p>
        </w:tc>
      </w:tr>
      <w:tr w:rsidR="00623AF8" w14:paraId="3D240294"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B948E4D"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3EE0A66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983C31B"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Inwiefern planen Sie, die Nutzung der Potenziale landwirtschaftlicher Reststoffe sowie organischer Abfälle der Haushalte, Gewerbe und Lebensmittelindustrie für die Erzeugung von Biomethan zu forcieren?</w:t>
            </w:r>
          </w:p>
        </w:tc>
      </w:tr>
    </w:tbl>
    <w:p w14:paraId="4B5C4463" w14:textId="77777777" w:rsidR="00623AF8" w:rsidRDefault="00623AF8" w:rsidP="00623AF8">
      <w:pPr>
        <w:spacing w:after="120"/>
        <w:jc w:val="both"/>
        <w:rPr>
          <w:rFonts w:ascii="Aptos" w:hAnsi="Aptos"/>
          <w:i/>
          <w:iCs/>
          <w:sz w:val="22"/>
          <w:szCs w:val="22"/>
          <w:u w:val="single"/>
        </w:rPr>
      </w:pPr>
    </w:p>
    <w:p w14:paraId="2DB85FAF" w14:textId="77777777" w:rsidR="00623AF8" w:rsidRDefault="00623AF8" w:rsidP="00623AF8">
      <w:pPr>
        <w:pStyle w:val="TableParagraph"/>
        <w:tabs>
          <w:tab w:val="left" w:pos="1423"/>
          <w:tab w:val="left" w:pos="2796"/>
        </w:tabs>
        <w:spacing w:line="258" w:lineRule="exact"/>
        <w:ind w:left="0"/>
        <w:jc w:val="both"/>
        <w:rPr>
          <w:rFonts w:ascii="Aptos" w:hAnsi="Aptos"/>
          <w:b/>
          <w:lang w:val="de-AT"/>
        </w:rPr>
      </w:pPr>
    </w:p>
    <w:tbl>
      <w:tblPr>
        <w:tblStyle w:val="Tabellenraster"/>
        <w:tblW w:w="0" w:type="auto"/>
        <w:tblLook w:val="04A0" w:firstRow="1" w:lastRow="0" w:firstColumn="1" w:lastColumn="0" w:noHBand="0" w:noVBand="1"/>
      </w:tblPr>
      <w:tblGrid>
        <w:gridCol w:w="9060"/>
      </w:tblGrid>
      <w:tr w:rsidR="00623AF8" w14:paraId="28DB3FA2" w14:textId="77777777" w:rsidTr="00875DD0">
        <w:tc>
          <w:tcPr>
            <w:tcW w:w="9060" w:type="dxa"/>
            <w:tcBorders>
              <w:top w:val="nil"/>
              <w:left w:val="nil"/>
              <w:bottom w:val="nil"/>
              <w:right w:val="nil"/>
            </w:tcBorders>
            <w:shd w:val="clear" w:color="auto" w:fill="BFBFBF" w:themeFill="background1" w:themeFillShade="BF"/>
            <w:hideMark/>
          </w:tcPr>
          <w:p w14:paraId="153B8EA0" w14:textId="77777777" w:rsidR="00623AF8" w:rsidRDefault="00623AF8" w:rsidP="00875DD0">
            <w:pPr>
              <w:tabs>
                <w:tab w:val="left" w:pos="708"/>
                <w:tab w:val="left" w:pos="1416"/>
                <w:tab w:val="left" w:pos="2124"/>
                <w:tab w:val="left" w:pos="2796"/>
                <w:tab w:val="center" w:pos="4422"/>
              </w:tabs>
              <w:spacing w:before="100" w:beforeAutospacing="1" w:after="100" w:afterAutospacing="1"/>
              <w:jc w:val="both"/>
              <w:rPr>
                <w:rFonts w:ascii="Aptos" w:eastAsia="Times New Roman" w:hAnsi="Aptos" w:cs="Times New Roman"/>
                <w:sz w:val="22"/>
                <w:szCs w:val="22"/>
                <w:lang w:eastAsia="de-AT"/>
              </w:rPr>
            </w:pPr>
            <w:r>
              <w:rPr>
                <w:rFonts w:ascii="Aptos" w:hAnsi="Aptos"/>
                <w:b/>
                <w:sz w:val="22"/>
                <w:szCs w:val="22"/>
                <w:shd w:val="clear" w:color="auto" w:fill="BFBFBF" w:themeFill="background1" w:themeFillShade="BF"/>
              </w:rPr>
              <w:t xml:space="preserve">Hintergrund         </w:t>
            </w:r>
            <w:r>
              <w:rPr>
                <w:rFonts w:ascii="Aptos" w:hAnsi="Aptos"/>
                <w:b/>
                <w:sz w:val="22"/>
                <w:szCs w:val="22"/>
              </w:rPr>
              <w:t xml:space="preserve">              </w:t>
            </w:r>
          </w:p>
        </w:tc>
      </w:tr>
    </w:tbl>
    <w:p w14:paraId="7E24E378" w14:textId="77777777" w:rsidR="00623AF8" w:rsidRDefault="00623AF8" w:rsidP="00623AF8">
      <w:pPr>
        <w:spacing w:after="100" w:afterAutospacing="1"/>
        <w:jc w:val="both"/>
        <w:rPr>
          <w:rFonts w:ascii="Aptos" w:hAnsi="Aptos"/>
          <w:sz w:val="22"/>
          <w:szCs w:val="22"/>
        </w:rPr>
      </w:pPr>
      <w:r>
        <w:rPr>
          <w:rFonts w:ascii="Aptos" w:hAnsi="Aptos"/>
          <w:sz w:val="22"/>
          <w:szCs w:val="22"/>
        </w:rPr>
        <w:t>Die Nutzung forstwirtschaftlicher Reststoffe zur Erzeugung von Biomethan bietet eine nachhaltige Möglichkeit, erneuerbare Energiequellen zu erschließen und die Abhängigkeit von fossilen Brennstoffen zu reduzieren. Forstwirtschaftliche Reststoffe, wie Holzabfälle, Sägespäne und Rinden, sind reichlich vorhanden und häufig ungenutzt, was ihr Potenzial zur Energiegewinnung erheblich macht. Durch die Vergärung dieser Materialien kann Biomethan produziert werden, ein erneuerbares Gas, das als umweltfreundlicher Ersatz für Erdgas dienen kann. Dies trägt zur Reduktion von Treibhausgasemissionen bei und unterstützt die Ziele der EU im Rahmen des Green Deals.</w:t>
      </w:r>
    </w:p>
    <w:p w14:paraId="68376695" w14:textId="77777777" w:rsidR="00623AF8" w:rsidRDefault="00623AF8" w:rsidP="00623AF8">
      <w:pPr>
        <w:spacing w:before="100" w:beforeAutospacing="1" w:after="100" w:afterAutospacing="1"/>
        <w:jc w:val="both"/>
        <w:rPr>
          <w:rFonts w:ascii="Aptos" w:hAnsi="Aptos"/>
          <w:bCs/>
          <w:sz w:val="22"/>
          <w:szCs w:val="22"/>
        </w:rPr>
      </w:pPr>
      <w:r>
        <w:rPr>
          <w:rFonts w:ascii="Aptos" w:hAnsi="Aptos"/>
          <w:sz w:val="22"/>
          <w:szCs w:val="22"/>
        </w:rPr>
        <w:t>Neben forstwirtschaftlichen Reststoffen sind auch landwirtschaftliche Reststoffe sowie organische Abfälle aus Haushalten, Gewerbe und der Lebensmittelindustrie wertvolle Ressourcen für die Biomethanproduktion. Die Nutzung dieser Potenziale ist besonders aus zwei wesentlichen Gründen wichtig: Abfallreduktion und Förderung der Kreislaufwirtschaft. Die Vergärung von organischen Abfällen und landwirtschaftlichen Reststoffen reduziert die Menge an Abfall, die auf Deponien landet, und verringert somit die damit verbundenen Umweltbelastungen, wie z.B. Methanemissionen aus Deponien. Zudem fördert die Umwandlung von Abfällen in Energie das Prinzip der Kreislaufwirtschaft, indem Abfallprodukte wiederverwendet und in wertvolle Ressourcen umgewandelt werden. Dies trägt zur Schaffung eines nachhaltigeren und ressourceneffizienteren Energiesystems bei und unterstützt gleichzeitig die Reduzierung von Treibhausgasemissionen und die Schonung fossiler Ressourcen.</w:t>
      </w:r>
      <w:r>
        <w:rPr>
          <w:rFonts w:ascii="Aptos" w:hAnsi="Aptos"/>
          <w:bCs/>
          <w:sz w:val="22"/>
          <w:szCs w:val="22"/>
        </w:rPr>
        <w:t xml:space="preserve"> </w:t>
      </w:r>
    </w:p>
    <w:p w14:paraId="306742DD" w14:textId="77777777" w:rsidR="00623AF8" w:rsidRDefault="00623AF8" w:rsidP="00623AF8">
      <w:pPr>
        <w:spacing w:after="120"/>
        <w:jc w:val="both"/>
        <w:rPr>
          <w:rFonts w:ascii="Aptos" w:hAnsi="Aptos"/>
          <w:bCs/>
          <w:iCs/>
          <w:sz w:val="22"/>
          <w:szCs w:val="22"/>
        </w:rPr>
      </w:pPr>
    </w:p>
    <w:p w14:paraId="047CDEDF" w14:textId="77777777" w:rsidR="00623AF8" w:rsidRDefault="00623AF8" w:rsidP="00623AF8">
      <w:pPr>
        <w:pStyle w:val="berschrift1"/>
        <w:rPr>
          <w:rFonts w:ascii="Aptos" w:hAnsi="Aptos"/>
        </w:rPr>
      </w:pPr>
    </w:p>
    <w:p w14:paraId="457EC889" w14:textId="77777777" w:rsidR="00623AF8" w:rsidRDefault="00623AF8" w:rsidP="00623AF8">
      <w:pPr>
        <w:pStyle w:val="berschrift1"/>
        <w:rPr>
          <w:rFonts w:ascii="Aptos" w:hAnsi="Aptos"/>
        </w:rPr>
      </w:pPr>
      <w:bookmarkStart w:id="235" w:name="_Toc165540470"/>
      <w:bookmarkStart w:id="236" w:name="_Toc170294939"/>
      <w:bookmarkStart w:id="237" w:name="_Toc170983717"/>
      <w:r>
        <w:rPr>
          <w:rFonts w:ascii="Aptos" w:hAnsi="Aptos"/>
        </w:rPr>
        <w:t>Verbindliche Ziele für erneuerbare Gase</w:t>
      </w:r>
      <w:bookmarkEnd w:id="235"/>
      <w:bookmarkEnd w:id="236"/>
      <w:bookmarkEnd w:id="237"/>
    </w:p>
    <w:p w14:paraId="2BDFFA1A"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C48A4FE"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A8A721D"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5B8BC5AC"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9EE71AD" w14:textId="77777777" w:rsidR="00623AF8" w:rsidRDefault="00623AF8" w:rsidP="00875DD0">
            <w:pPr>
              <w:spacing w:before="120" w:after="120"/>
              <w:jc w:val="both"/>
              <w:rPr>
                <w:rFonts w:ascii="Aptos" w:hAnsi="Aptos"/>
                <w:sz w:val="22"/>
                <w:szCs w:val="22"/>
              </w:rPr>
            </w:pPr>
            <w:r>
              <w:rPr>
                <w:rFonts w:ascii="Aptos" w:hAnsi="Aptos"/>
                <w:sz w:val="22"/>
                <w:szCs w:val="22"/>
              </w:rPr>
              <w:t xml:space="preserve">In den Bemühungen, den Übergang zu einer nachhaltigen Energieversorgung voranzutreiben, ist die Frage nach verbindlichen Zielen für erneuerbare Gase von entscheidender Bedeutung. Insbesondere die EU-Kommission steht vor der Herausforderung, klare und umsetzbare Ziele für verschiedene Formen erneuerbarer Gase festzulegen. Dabei werden verschiedene Quellen wie Biomethan, Wasserstoff und synthetisches Gas in Betracht gezogen, die jeweils aus erneuerbaren Energieressourcen gewonnen werden können. </w:t>
            </w:r>
            <w:r>
              <w:rPr>
                <w:rFonts w:ascii="Aptos" w:hAnsi="Aptos"/>
                <w:b/>
                <w:bCs/>
                <w:sz w:val="22"/>
                <w:szCs w:val="22"/>
              </w:rPr>
              <w:t>Inwiefern sind von Ihnen verbindliche Ziele in Verbindung mit erneuerbaren Gasen angedacht?</w:t>
            </w:r>
          </w:p>
        </w:tc>
      </w:tr>
      <w:tr w:rsidR="00623AF8" w14:paraId="44C75882"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2B50CC"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162A9F6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E9B481F"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Welche Anreize sollen hierfür geschaffen werden, um die bereits verfügbaren Potenziale langfristig zu sichern?</w:t>
            </w:r>
          </w:p>
        </w:tc>
      </w:tr>
    </w:tbl>
    <w:p w14:paraId="7C314F6F" w14:textId="77777777" w:rsidR="00623AF8" w:rsidRDefault="00623AF8" w:rsidP="00623AF8">
      <w:pPr>
        <w:spacing w:after="120"/>
        <w:jc w:val="both"/>
        <w:rPr>
          <w:rFonts w:ascii="Aptos" w:hAnsi="Aptos"/>
          <w:i/>
          <w:iCs/>
          <w:sz w:val="22"/>
          <w:szCs w:val="22"/>
          <w:u w:val="single"/>
        </w:rPr>
      </w:pPr>
    </w:p>
    <w:p w14:paraId="0AC1578E" w14:textId="77777777" w:rsidR="00623AF8" w:rsidRDefault="00623AF8" w:rsidP="00623AF8">
      <w:pPr>
        <w:pStyle w:val="TableParagraph"/>
        <w:tabs>
          <w:tab w:val="left" w:pos="1423"/>
          <w:tab w:val="left" w:pos="2796"/>
        </w:tabs>
        <w:spacing w:line="258" w:lineRule="exact"/>
        <w:ind w:left="0"/>
        <w:jc w:val="both"/>
        <w:rPr>
          <w:rFonts w:ascii="Aptos" w:hAnsi="Aptos"/>
          <w:b/>
          <w:lang w:val="de-AT"/>
        </w:rPr>
      </w:pPr>
    </w:p>
    <w:tbl>
      <w:tblPr>
        <w:tblStyle w:val="Tabellenraster"/>
        <w:tblW w:w="0" w:type="auto"/>
        <w:tblLook w:val="04A0" w:firstRow="1" w:lastRow="0" w:firstColumn="1" w:lastColumn="0" w:noHBand="0" w:noVBand="1"/>
      </w:tblPr>
      <w:tblGrid>
        <w:gridCol w:w="9060"/>
      </w:tblGrid>
      <w:tr w:rsidR="00623AF8" w14:paraId="17F149A9" w14:textId="77777777" w:rsidTr="00875DD0">
        <w:tc>
          <w:tcPr>
            <w:tcW w:w="9060" w:type="dxa"/>
            <w:tcBorders>
              <w:top w:val="nil"/>
              <w:left w:val="nil"/>
              <w:bottom w:val="nil"/>
              <w:right w:val="nil"/>
            </w:tcBorders>
            <w:shd w:val="clear" w:color="auto" w:fill="BFBFBF" w:themeFill="background1" w:themeFillShade="BF"/>
            <w:hideMark/>
          </w:tcPr>
          <w:p w14:paraId="36488A60" w14:textId="77777777" w:rsidR="00623AF8" w:rsidRDefault="00623AF8" w:rsidP="00875DD0">
            <w:pPr>
              <w:tabs>
                <w:tab w:val="left" w:pos="708"/>
                <w:tab w:val="left" w:pos="1416"/>
                <w:tab w:val="left" w:pos="2124"/>
                <w:tab w:val="left" w:pos="2796"/>
                <w:tab w:val="center" w:pos="4422"/>
              </w:tabs>
              <w:spacing w:before="100" w:beforeAutospacing="1" w:after="100" w:afterAutospacing="1"/>
              <w:jc w:val="both"/>
              <w:rPr>
                <w:rFonts w:ascii="Aptos" w:eastAsia="Times New Roman" w:hAnsi="Aptos" w:cs="Times New Roman"/>
                <w:sz w:val="22"/>
                <w:szCs w:val="22"/>
                <w:lang w:eastAsia="de-AT"/>
              </w:rPr>
            </w:pPr>
            <w:r>
              <w:rPr>
                <w:rFonts w:ascii="Aptos" w:hAnsi="Aptos"/>
                <w:b/>
                <w:sz w:val="22"/>
                <w:szCs w:val="22"/>
                <w:shd w:val="clear" w:color="auto" w:fill="BFBFBF" w:themeFill="background1" w:themeFillShade="BF"/>
              </w:rPr>
              <w:t xml:space="preserve">Hintergrund         </w:t>
            </w:r>
            <w:r>
              <w:rPr>
                <w:rFonts w:ascii="Aptos" w:hAnsi="Aptos"/>
                <w:b/>
                <w:sz w:val="22"/>
                <w:szCs w:val="22"/>
              </w:rPr>
              <w:t xml:space="preserve">              </w:t>
            </w:r>
          </w:p>
        </w:tc>
      </w:tr>
    </w:tbl>
    <w:p w14:paraId="1EA3A87F" w14:textId="77777777" w:rsidR="00623AF8" w:rsidRDefault="00623AF8" w:rsidP="00623AF8">
      <w:pPr>
        <w:spacing w:after="100" w:afterAutospacing="1"/>
        <w:jc w:val="both"/>
        <w:rPr>
          <w:rFonts w:ascii="Aptos" w:hAnsi="Aptos"/>
          <w:sz w:val="22"/>
          <w:szCs w:val="22"/>
        </w:rPr>
      </w:pPr>
      <w:r>
        <w:rPr>
          <w:rFonts w:ascii="Aptos" w:hAnsi="Aptos"/>
          <w:sz w:val="22"/>
          <w:szCs w:val="22"/>
        </w:rPr>
        <w:t>Der REPowerEU-Plan</w:t>
      </w:r>
      <w:r>
        <w:rPr>
          <w:rFonts w:ascii="Aptos" w:hAnsi="Aptos"/>
          <w:sz w:val="22"/>
          <w:szCs w:val="22"/>
          <w:vertAlign w:val="subscript"/>
        </w:rPr>
        <w:t>(1)</w:t>
      </w:r>
      <w:r>
        <w:rPr>
          <w:rFonts w:ascii="Aptos" w:hAnsi="Aptos"/>
          <w:sz w:val="22"/>
          <w:szCs w:val="22"/>
        </w:rPr>
        <w:t xml:space="preserve"> der Europäischen Union hat das Ziel, die Biomethanproduktion bis 2030 auf 35 Milliarden Kubikmeter zu steigern. Verbindliche Ziele für erneuerbare Gase sind entscheidend, um einen klaren Rahmen für Investitionen und Entwicklung zu schaffen. Sie fördern das Vertrauen von Investoren, schaffen Marktstabilität und gewährleisten, dass die notwendigen politischen und finanziellen Ressourcen mobilisiert werden, um die Infrastruktur und Technologien zur Erzeugung von Biomethan weiterzuentwickeln. Diese verbindlichen Vorgaben sind unerlässlich, um die bereits verfügbaren Potenziale in vollem Umfang auszuschöpfen und die Abhängigkeit von fossilen Brennstoffen zu verringern.</w:t>
      </w:r>
    </w:p>
    <w:p w14:paraId="0783CA49"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Zusätzlich zu verbindlichen Zielen sind gezielte Anreize erforderlich, um die langfristige Sicherung der Potenziale zu gewährleisten. Förderprogramme, steuerliche Vorteile und Subventionen können die Initialkosten und wirtschaftlichen Risiken für Produzenten und Investoren reduzieren. Langfristige Verträge und garantierte Abnahmepreise spielen ebenfalls eine wichtige Rolle, um den Ausbau der Biomethanproduktion zu beschleunigen. Solche Maßnahmen sind entscheidend, um die Skalierbarkeit und Wettbewerbsfähigkeit erneuerbarer Gase zu erhöhen, einen bedeutenden Beitrag zur Energieversorgung zu leisten und die Klimaziele der EU zu erreichen. Indem die EU diese Strategien verfolgt, kann sie eine nachhaltigere und resilientere Energiezukunft sichern.</w:t>
      </w:r>
    </w:p>
    <w:p w14:paraId="65F40432" w14:textId="77777777" w:rsidR="00623AF8" w:rsidRDefault="00623AF8" w:rsidP="00F63BE8">
      <w:pPr>
        <w:pStyle w:val="Listenabsatz"/>
        <w:numPr>
          <w:ilvl w:val="0"/>
          <w:numId w:val="9"/>
        </w:numPr>
        <w:spacing w:after="120"/>
        <w:jc w:val="both"/>
        <w:rPr>
          <w:rFonts w:ascii="Aptos" w:hAnsi="Aptos"/>
          <w:bCs/>
          <w:sz w:val="28"/>
          <w:szCs w:val="28"/>
          <w:vertAlign w:val="subscript"/>
        </w:rPr>
      </w:pPr>
      <w:r>
        <w:rPr>
          <w:rFonts w:ascii="Aptos" w:hAnsi="Aptos"/>
          <w:bCs/>
          <w:sz w:val="28"/>
          <w:szCs w:val="28"/>
          <w:vertAlign w:val="subscript"/>
        </w:rPr>
        <w:t xml:space="preserve">VERORDNUNG (EU) 2023/435 DES EUROPÄISCHEN PARLAMENTS UND DES RATES vom 27. Februar 2023 zur Änderung der Verordnung (EU) 2021/241 in Bezug auf REPowerEU-Kapitel in den Aufbau- und Resilienzplänen und zur Änderung der Verordnungen (EU) Nr. 1303/2013, (EU) 2021/1060 und (EU) 2021/1755 sowie der Richtlinie 2003/87/EG; </w:t>
      </w:r>
      <w:hyperlink r:id="rId32" w:history="1">
        <w:r>
          <w:rPr>
            <w:rStyle w:val="Hyperlink"/>
            <w:sz w:val="28"/>
            <w:szCs w:val="28"/>
            <w:vertAlign w:val="subscript"/>
          </w:rPr>
          <w:t>https://eur-lex.europa.eu/legal-content/DE/TXT/HTML/?uri=OJ:L:2023:063:FULL&amp;from=EN</w:t>
        </w:r>
      </w:hyperlink>
    </w:p>
    <w:p w14:paraId="5D51DC69" w14:textId="77777777" w:rsidR="00623AF8" w:rsidRDefault="00623AF8" w:rsidP="00623AF8">
      <w:pPr>
        <w:spacing w:after="120"/>
        <w:jc w:val="both"/>
        <w:rPr>
          <w:rFonts w:ascii="Aptos" w:hAnsi="Aptos"/>
          <w:bCs/>
          <w:iCs/>
          <w:sz w:val="22"/>
          <w:szCs w:val="22"/>
        </w:rPr>
      </w:pPr>
    </w:p>
    <w:p w14:paraId="288197B7" w14:textId="77777777" w:rsidR="00623AF8" w:rsidRDefault="00623AF8" w:rsidP="00623AF8">
      <w:pPr>
        <w:pStyle w:val="berschrift1"/>
        <w:rPr>
          <w:rFonts w:ascii="Aptos" w:hAnsi="Aptos"/>
        </w:rPr>
      </w:pPr>
    </w:p>
    <w:p w14:paraId="47E653D2" w14:textId="77777777" w:rsidR="006C2CE8" w:rsidRDefault="006C2CE8" w:rsidP="00623AF8">
      <w:pPr>
        <w:pStyle w:val="berschrift1"/>
        <w:rPr>
          <w:rFonts w:ascii="Aptos" w:hAnsi="Aptos"/>
        </w:rPr>
      </w:pPr>
      <w:bookmarkStart w:id="238" w:name="_Toc165540471"/>
      <w:bookmarkStart w:id="239" w:name="_Toc170294940"/>
      <w:bookmarkStart w:id="240" w:name="_Toc170983718"/>
    </w:p>
    <w:p w14:paraId="0EA60CB8" w14:textId="519478AD" w:rsidR="00623AF8" w:rsidRDefault="00623AF8" w:rsidP="00623AF8">
      <w:pPr>
        <w:pStyle w:val="berschrift1"/>
        <w:rPr>
          <w:rFonts w:ascii="Aptos" w:hAnsi="Aptos"/>
        </w:rPr>
      </w:pPr>
      <w:r>
        <w:rPr>
          <w:rFonts w:ascii="Aptos" w:hAnsi="Aptos"/>
        </w:rPr>
        <w:t>Gewährleistung strukturierter, sozial- und sicherheitsverträglicher Stilllegung im Gasverteilnetz</w:t>
      </w:r>
      <w:bookmarkEnd w:id="238"/>
      <w:bookmarkEnd w:id="239"/>
      <w:bookmarkEnd w:id="240"/>
    </w:p>
    <w:p w14:paraId="13429C07"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D0FCA71"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688052" w14:textId="77777777" w:rsidR="00623AF8" w:rsidRDefault="00623AF8" w:rsidP="00875DD0">
            <w:pPr>
              <w:spacing w:before="120" w:after="120"/>
              <w:jc w:val="both"/>
              <w:rPr>
                <w:rFonts w:ascii="Aptos" w:hAnsi="Aptos"/>
                <w:b/>
                <w:iCs/>
                <w:sz w:val="22"/>
                <w:szCs w:val="22"/>
              </w:rPr>
            </w:pPr>
            <w:r>
              <w:rPr>
                <w:rFonts w:ascii="Aptos" w:hAnsi="Aptos"/>
                <w:b/>
                <w:iCs/>
                <w:sz w:val="22"/>
                <w:szCs w:val="22"/>
              </w:rPr>
              <w:t xml:space="preserve">Frage </w:t>
            </w:r>
          </w:p>
        </w:tc>
      </w:tr>
      <w:tr w:rsidR="00623AF8" w14:paraId="1F860685"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1D6263E" w14:textId="77777777" w:rsidR="00623AF8" w:rsidRDefault="00623AF8" w:rsidP="00875DD0">
            <w:pPr>
              <w:spacing w:before="120" w:after="120"/>
              <w:jc w:val="both"/>
              <w:rPr>
                <w:rFonts w:ascii="Aptos" w:hAnsi="Aptos"/>
                <w:sz w:val="22"/>
                <w:szCs w:val="22"/>
              </w:rPr>
            </w:pPr>
            <w:r>
              <w:rPr>
                <w:rFonts w:ascii="Aptos" w:hAnsi="Aptos"/>
                <w:sz w:val="22"/>
                <w:szCs w:val="22"/>
              </w:rPr>
              <w:t xml:space="preserve">Angesichts der dringenden Notwendigkeit, auf nachhaltige Energiequellen umzusteigen, steht die Herausforderung bevor, das Gasverteilnetz umzustrukturieren und private Wohnbereiche auf klimaneutrale Heizsysteme umzustellen. Dies erfordert eine sorgfältige Planung und Berücksichtigung sozialer und sicherheitsrelevanter Aspekte. Die Umstellung kann erhebliche Auswirkungen auf den Alltag vieler Menschen haben und erfordert daher eine gut durchdachte Strategie, die ihre Bedürfnisse und Sicherheitsanforderungen berücksichtigt. Es ist entscheidend, einen Ansatz zu entwickeln, der eine reibungslose Transition ermöglicht und gleichzeitig soziale und Sicherheitsbedenken ernst nimmt. </w:t>
            </w:r>
            <w:r>
              <w:rPr>
                <w:rFonts w:ascii="Aptos" w:hAnsi="Aptos"/>
                <w:b/>
                <w:bCs/>
                <w:sz w:val="22"/>
                <w:szCs w:val="22"/>
              </w:rPr>
              <w:t>Wie wollen Sie eine solche strukturierte, sozial- und sicherheitsverträgliche Stilllegung des Gasverteilnetzes und die Umstellung auf klimaneutrale Heizsysteme im privaten Wohnbereich gewährleisten?</w:t>
            </w:r>
          </w:p>
        </w:tc>
      </w:tr>
      <w:tr w:rsidR="00623AF8" w14:paraId="7E4EC57A"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3B4E8AA"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6A5AA5B3"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2EFAE61D"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Wie lässt sich sicherstellen, dass die Mieter:innen in dieser Umsetzung angemessen geschützt sind?</w:t>
            </w:r>
          </w:p>
        </w:tc>
      </w:tr>
    </w:tbl>
    <w:p w14:paraId="3293A297" w14:textId="77777777" w:rsidR="00623AF8" w:rsidRDefault="00623AF8" w:rsidP="00623AF8">
      <w:pPr>
        <w:spacing w:after="120"/>
        <w:jc w:val="both"/>
        <w:rPr>
          <w:rFonts w:ascii="Aptos" w:hAnsi="Aptos"/>
          <w:i/>
          <w:iCs/>
          <w:sz w:val="22"/>
          <w:szCs w:val="22"/>
          <w:u w:val="single"/>
        </w:rPr>
      </w:pPr>
    </w:p>
    <w:p w14:paraId="64D1372C" w14:textId="77777777" w:rsidR="00623AF8" w:rsidRDefault="00623AF8" w:rsidP="00623AF8">
      <w:pPr>
        <w:pStyle w:val="TableParagraph"/>
        <w:tabs>
          <w:tab w:val="left" w:pos="1423"/>
          <w:tab w:val="left" w:pos="2796"/>
        </w:tabs>
        <w:spacing w:line="258" w:lineRule="exact"/>
        <w:ind w:left="0"/>
        <w:jc w:val="both"/>
        <w:rPr>
          <w:rFonts w:ascii="Aptos" w:hAnsi="Aptos"/>
          <w:b/>
          <w:lang w:val="de-AT"/>
        </w:rPr>
      </w:pPr>
    </w:p>
    <w:tbl>
      <w:tblPr>
        <w:tblStyle w:val="Tabellenraster"/>
        <w:tblW w:w="0" w:type="auto"/>
        <w:tblLook w:val="04A0" w:firstRow="1" w:lastRow="0" w:firstColumn="1" w:lastColumn="0" w:noHBand="0" w:noVBand="1"/>
      </w:tblPr>
      <w:tblGrid>
        <w:gridCol w:w="9060"/>
      </w:tblGrid>
      <w:tr w:rsidR="00623AF8" w14:paraId="7C267DB5" w14:textId="77777777" w:rsidTr="00875DD0">
        <w:tc>
          <w:tcPr>
            <w:tcW w:w="9060" w:type="dxa"/>
            <w:tcBorders>
              <w:top w:val="nil"/>
              <w:left w:val="nil"/>
              <w:bottom w:val="nil"/>
              <w:right w:val="nil"/>
            </w:tcBorders>
            <w:shd w:val="clear" w:color="auto" w:fill="BFBFBF" w:themeFill="background1" w:themeFillShade="BF"/>
            <w:hideMark/>
          </w:tcPr>
          <w:p w14:paraId="493E754A" w14:textId="77777777" w:rsidR="00623AF8" w:rsidRDefault="00623AF8" w:rsidP="00875DD0">
            <w:pPr>
              <w:tabs>
                <w:tab w:val="left" w:pos="708"/>
                <w:tab w:val="left" w:pos="1416"/>
                <w:tab w:val="left" w:pos="2124"/>
                <w:tab w:val="left" w:pos="2796"/>
                <w:tab w:val="center" w:pos="4422"/>
              </w:tabs>
              <w:spacing w:before="100" w:beforeAutospacing="1" w:after="100" w:afterAutospacing="1"/>
              <w:jc w:val="both"/>
              <w:rPr>
                <w:rFonts w:ascii="Aptos" w:eastAsia="Times New Roman" w:hAnsi="Aptos" w:cs="Times New Roman"/>
                <w:sz w:val="22"/>
                <w:szCs w:val="22"/>
                <w:lang w:eastAsia="de-AT"/>
              </w:rPr>
            </w:pPr>
            <w:r>
              <w:rPr>
                <w:rFonts w:ascii="Aptos" w:hAnsi="Aptos"/>
                <w:b/>
                <w:sz w:val="22"/>
                <w:szCs w:val="22"/>
                <w:shd w:val="clear" w:color="auto" w:fill="BFBFBF" w:themeFill="background1" w:themeFillShade="BF"/>
              </w:rPr>
              <w:t xml:space="preserve">Hintergrund         </w:t>
            </w:r>
            <w:r>
              <w:rPr>
                <w:rFonts w:ascii="Aptos" w:hAnsi="Aptos"/>
                <w:b/>
                <w:sz w:val="22"/>
                <w:szCs w:val="22"/>
              </w:rPr>
              <w:t xml:space="preserve">              </w:t>
            </w:r>
          </w:p>
        </w:tc>
      </w:tr>
    </w:tbl>
    <w:p w14:paraId="6BB1832F" w14:textId="77777777" w:rsidR="00623AF8" w:rsidRDefault="00623AF8" w:rsidP="00623AF8">
      <w:pPr>
        <w:spacing w:after="100" w:afterAutospacing="1"/>
        <w:jc w:val="both"/>
        <w:rPr>
          <w:rFonts w:ascii="Aptos" w:hAnsi="Aptos"/>
          <w:sz w:val="22"/>
          <w:szCs w:val="22"/>
        </w:rPr>
      </w:pPr>
      <w:r>
        <w:rPr>
          <w:rFonts w:ascii="Aptos" w:hAnsi="Aptos"/>
          <w:sz w:val="22"/>
          <w:szCs w:val="22"/>
        </w:rPr>
        <w:t>Das im Dezember 2021 vorgestellte Gaspaket der Europäischen Union beinhaltet umfassende Maßnahmen zur Dekarbonisierung des Gassektors und zur Förderung erneuerbarer Gase. Zu den zentralen Inhalten gehören die Förderung von Biomethan und Wasserstoff, die Verbesserung der Infrastruktur sowie die Einführung neuer Marktregeln. Im Zuge dieses Pakets wurde auch die Stilllegung im Gasverteilnetz beschlossen, wenn mittels der durch Verteilnetzbetreiber auf lokaler Ebene neu zu erstellenden Netzentwicklungspläne ein klarer Gasausstiegspfad vorgegeben ist.</w:t>
      </w:r>
    </w:p>
    <w:p w14:paraId="14029AC9"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Eine strukturierte, sozial- und sicherheitsverträgliche Stilllegung des Gasverteilnetzes und die Umstellung auf klimaneutrale Heizsysteme im privaten Wohnbereich sind von großer Bedeutung. Diese Maßnahmen sind entscheidend, um die Treibhausgasemissionen zu reduzieren und die Klimaziele der EU zu erreichen. Die Umstellung auf erneuerbare Heizsysteme trägt zur langfristigen Senkung des Energieverbrauchs bei und unterstützt die Entwicklung einer nachhaltigen und resilienten Energieversorgung.</w:t>
      </w:r>
    </w:p>
    <w:p w14:paraId="42F8DC79"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 xml:space="preserve">Gleichzeitig muss sichergestellt werden, dass die Mieter:innen in diesem Prozess angemessen geschützt werden. Eine faire Kostenverteilung ist essenziell, um soziale Ungerechtigkeiten zu vermeiden und sicherzustellen, dass die Belastungen der Umstellung nicht einseitig auf die Mieter:innen abgewälzt werden. Es bedarf gezielter politischer Maßnahmen und Unterstützung, um bezahlbare Lösungen zu schaffen und gleichzeitig die Wohnqualität zu erhalten. </w:t>
      </w:r>
    </w:p>
    <w:p w14:paraId="602EE46C" w14:textId="77777777" w:rsidR="00623AF8" w:rsidRDefault="00623AF8" w:rsidP="00623AF8">
      <w:pPr>
        <w:spacing w:after="120"/>
        <w:jc w:val="both"/>
        <w:rPr>
          <w:rFonts w:ascii="Aptos" w:hAnsi="Aptos"/>
          <w:bCs/>
          <w:iCs/>
          <w:sz w:val="22"/>
          <w:szCs w:val="22"/>
        </w:rPr>
      </w:pPr>
    </w:p>
    <w:p w14:paraId="01FDF49B" w14:textId="77777777" w:rsidR="00623AF8" w:rsidRDefault="00623AF8" w:rsidP="00623AF8">
      <w:pPr>
        <w:pStyle w:val="berschrift1"/>
        <w:rPr>
          <w:rFonts w:ascii="Aptos" w:hAnsi="Aptos"/>
        </w:rPr>
      </w:pPr>
    </w:p>
    <w:p w14:paraId="7D0ADAE9" w14:textId="77777777" w:rsidR="006C2CE8" w:rsidRDefault="006C2CE8" w:rsidP="00623AF8">
      <w:pPr>
        <w:pStyle w:val="berschrift1"/>
        <w:rPr>
          <w:rFonts w:ascii="Aptos" w:hAnsi="Aptos"/>
        </w:rPr>
      </w:pPr>
      <w:bookmarkStart w:id="241" w:name="_Toc165540472"/>
      <w:bookmarkStart w:id="242" w:name="_Toc170294941"/>
      <w:bookmarkStart w:id="243" w:name="_Toc170983719"/>
    </w:p>
    <w:p w14:paraId="069D8AF8" w14:textId="6A2A8A5C" w:rsidR="00623AF8" w:rsidRDefault="00623AF8" w:rsidP="00623AF8">
      <w:pPr>
        <w:pStyle w:val="berschrift1"/>
        <w:rPr>
          <w:rFonts w:ascii="Aptos" w:hAnsi="Aptos"/>
        </w:rPr>
      </w:pPr>
      <w:r>
        <w:rPr>
          <w:rFonts w:ascii="Aptos" w:hAnsi="Aptos"/>
        </w:rPr>
        <w:t>Maßnahmen zur Unterstützung von Energiegemeinschaften</w:t>
      </w:r>
      <w:bookmarkEnd w:id="241"/>
      <w:bookmarkEnd w:id="242"/>
      <w:bookmarkEnd w:id="243"/>
    </w:p>
    <w:p w14:paraId="64E90976"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7D22B65B"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B1CDBA2"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124FFC32"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7BABF77" w14:textId="77777777" w:rsidR="00623AF8" w:rsidRDefault="00623AF8" w:rsidP="00875DD0">
            <w:pPr>
              <w:spacing w:before="120" w:after="120"/>
              <w:jc w:val="both"/>
              <w:rPr>
                <w:rFonts w:ascii="Aptos" w:hAnsi="Aptos"/>
                <w:sz w:val="22"/>
                <w:szCs w:val="22"/>
              </w:rPr>
            </w:pPr>
            <w:r>
              <w:rPr>
                <w:rFonts w:ascii="Aptos" w:hAnsi="Aptos"/>
                <w:sz w:val="22"/>
                <w:szCs w:val="22"/>
              </w:rPr>
              <w:t>In den letzten Jahren hat die EU verstärkt darauf hingearbeitet, erneuerbare Energien zu fördern und CO</w:t>
            </w:r>
            <w:r>
              <w:rPr>
                <w:rFonts w:ascii="Aptos" w:hAnsi="Aptos"/>
                <w:sz w:val="22"/>
                <w:szCs w:val="22"/>
                <w:vertAlign w:val="subscript"/>
              </w:rPr>
              <w:t>2</w:t>
            </w:r>
            <w:r>
              <w:rPr>
                <w:rFonts w:ascii="Aptos" w:hAnsi="Aptos"/>
                <w:sz w:val="22"/>
                <w:szCs w:val="22"/>
              </w:rPr>
              <w:t xml:space="preserve">-Emissionen zu reduzieren. Dabei sind Energiegemeinschaften als vielversprechende Mittel zur Dezentralisierung und Demokratisierung des Energiemarktes in den Fokus gerückt. Trotz ihres Potenzials stehen Energiegemeinschaften vor verschiedenen Herausforderungen, einschließlich regulatorischer und finanzieller Barrieren. </w:t>
            </w:r>
            <w:r>
              <w:rPr>
                <w:rFonts w:ascii="Aptos" w:hAnsi="Aptos"/>
                <w:b/>
                <w:bCs/>
                <w:sz w:val="22"/>
                <w:szCs w:val="22"/>
              </w:rPr>
              <w:t>Wie planen Sie, konkrete Maßnahmen zur Unterstützung von Energiegemeinschaften zu ergreifen und sicherzustellen, dass sie praktikabel umgesetzt werden können?</w:t>
            </w:r>
          </w:p>
        </w:tc>
      </w:tr>
      <w:tr w:rsidR="00623AF8" w14:paraId="61273EEE"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18AB3FA"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36C2A5A6"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39A62ABF" w14:textId="77777777" w:rsidR="00623AF8" w:rsidRDefault="00623AF8" w:rsidP="00F63BE8">
            <w:pPr>
              <w:pStyle w:val="Listenabsatz"/>
              <w:numPr>
                <w:ilvl w:val="0"/>
                <w:numId w:val="4"/>
              </w:numPr>
              <w:spacing w:before="120" w:after="120"/>
              <w:jc w:val="both"/>
              <w:rPr>
                <w:rFonts w:ascii="Aptos" w:hAnsi="Aptos"/>
                <w:sz w:val="22"/>
                <w:szCs w:val="22"/>
              </w:rPr>
            </w:pPr>
            <w:r>
              <w:rPr>
                <w:rFonts w:ascii="Aptos" w:hAnsi="Aptos"/>
                <w:sz w:val="22"/>
                <w:szCs w:val="22"/>
              </w:rPr>
              <w:t>Gedenken Sie die Teilnahme an erneuerbaren Energiegemeinschaften auch für Großunternehmen von gemeinnützigen Wohnbauunternehmen und öffentlichen Unternehmen zuzulassen, um das Potenzial an dezentralisierter und dekarbonisierter Energieversorgung voll auszuschöpfen?</w:t>
            </w:r>
          </w:p>
        </w:tc>
      </w:tr>
    </w:tbl>
    <w:p w14:paraId="645996FC" w14:textId="77777777" w:rsidR="00623AF8" w:rsidRDefault="00623AF8" w:rsidP="00623AF8">
      <w:pPr>
        <w:pStyle w:val="TableParagraph"/>
        <w:tabs>
          <w:tab w:val="left" w:pos="1423"/>
          <w:tab w:val="left" w:pos="2796"/>
        </w:tabs>
        <w:spacing w:line="258" w:lineRule="exact"/>
        <w:ind w:left="0"/>
        <w:jc w:val="both"/>
        <w:rPr>
          <w:rFonts w:ascii="Aptos" w:hAnsi="Aptos"/>
          <w:b/>
          <w:lang w:val="de-AT"/>
        </w:rPr>
      </w:pPr>
    </w:p>
    <w:tbl>
      <w:tblPr>
        <w:tblStyle w:val="Tabellenraster"/>
        <w:tblW w:w="0" w:type="auto"/>
        <w:tblLook w:val="04A0" w:firstRow="1" w:lastRow="0" w:firstColumn="1" w:lastColumn="0" w:noHBand="0" w:noVBand="1"/>
      </w:tblPr>
      <w:tblGrid>
        <w:gridCol w:w="9060"/>
      </w:tblGrid>
      <w:tr w:rsidR="00623AF8" w14:paraId="5D33F956" w14:textId="77777777" w:rsidTr="00875DD0">
        <w:tc>
          <w:tcPr>
            <w:tcW w:w="9060" w:type="dxa"/>
            <w:tcBorders>
              <w:top w:val="nil"/>
              <w:left w:val="nil"/>
              <w:bottom w:val="nil"/>
              <w:right w:val="nil"/>
            </w:tcBorders>
            <w:shd w:val="clear" w:color="auto" w:fill="BFBFBF" w:themeFill="background1" w:themeFillShade="BF"/>
            <w:hideMark/>
          </w:tcPr>
          <w:p w14:paraId="5C023EE7" w14:textId="77777777" w:rsidR="00623AF8" w:rsidRDefault="00623AF8" w:rsidP="00875DD0">
            <w:pPr>
              <w:tabs>
                <w:tab w:val="left" w:pos="708"/>
                <w:tab w:val="left" w:pos="1416"/>
                <w:tab w:val="left" w:pos="2124"/>
                <w:tab w:val="left" w:pos="2796"/>
                <w:tab w:val="center" w:pos="4422"/>
              </w:tabs>
              <w:spacing w:before="100" w:beforeAutospacing="1" w:after="100" w:afterAutospacing="1"/>
              <w:jc w:val="both"/>
              <w:rPr>
                <w:rFonts w:ascii="Aptos" w:eastAsia="Times New Roman" w:hAnsi="Aptos" w:cs="Times New Roman"/>
                <w:sz w:val="22"/>
                <w:szCs w:val="22"/>
                <w:lang w:eastAsia="de-AT"/>
              </w:rPr>
            </w:pPr>
            <w:r>
              <w:rPr>
                <w:rFonts w:ascii="Aptos" w:hAnsi="Aptos"/>
                <w:b/>
                <w:sz w:val="22"/>
                <w:szCs w:val="22"/>
                <w:shd w:val="clear" w:color="auto" w:fill="BFBFBF" w:themeFill="background1" w:themeFillShade="BF"/>
              </w:rPr>
              <w:t xml:space="preserve">Hintergrund         </w:t>
            </w:r>
            <w:r>
              <w:rPr>
                <w:rFonts w:ascii="Aptos" w:hAnsi="Aptos"/>
                <w:b/>
                <w:sz w:val="22"/>
                <w:szCs w:val="22"/>
              </w:rPr>
              <w:t xml:space="preserve">              </w:t>
            </w:r>
          </w:p>
        </w:tc>
      </w:tr>
    </w:tbl>
    <w:p w14:paraId="2DF134C8" w14:textId="77777777" w:rsidR="00623AF8" w:rsidRDefault="00623AF8" w:rsidP="00623AF8">
      <w:pPr>
        <w:spacing w:after="100" w:afterAutospacing="1"/>
        <w:jc w:val="both"/>
        <w:rPr>
          <w:rFonts w:ascii="Aptos" w:hAnsi="Aptos"/>
          <w:sz w:val="22"/>
          <w:szCs w:val="22"/>
        </w:rPr>
      </w:pPr>
      <w:r>
        <w:rPr>
          <w:rFonts w:ascii="Aptos" w:hAnsi="Aptos"/>
          <w:sz w:val="22"/>
          <w:szCs w:val="22"/>
        </w:rPr>
        <w:t>Energiegemeinschaften spielen eine entscheidende Rolle bei der Förderung der dezentralen Energieerzeugung und der Stärkung lokaler Energienetzwerke. Sie ermöglichen es Bürger, lokale Behörden, Unternehmen und andere Akteure, sich zusammenzuschließen, um gemeinsam erneuerbare Energieprojekte zu realisieren. Diese Gemeinschaften tragen zur Demokratisierung der Energieversorgung bei, indem sie die Beteiligung und die Kontrolle der Energieproduktion in die Hände der lokalen Gemeinschaften legen. Um das volle Potenzial von Energiegemeinschaften auszuschöpfen, ist es wichtig, gezielte Maßnahmen zur Unterstützung ihrer Gründung und ihres Betriebs zu ergreifen und sicherzustellen, dass die gesetzlichen und regulatorischen Rahmenbedingungen ihre praktische Umsetzung fördern.</w:t>
      </w:r>
    </w:p>
    <w:p w14:paraId="19829CA6" w14:textId="77777777" w:rsidR="00623AF8" w:rsidRDefault="00623AF8" w:rsidP="00623AF8">
      <w:pPr>
        <w:spacing w:before="100" w:beforeAutospacing="1" w:after="100" w:afterAutospacing="1"/>
        <w:jc w:val="both"/>
        <w:rPr>
          <w:rFonts w:ascii="Aptos" w:hAnsi="Aptos"/>
          <w:sz w:val="22"/>
          <w:szCs w:val="22"/>
        </w:rPr>
      </w:pPr>
      <w:r>
        <w:rPr>
          <w:rFonts w:ascii="Aptos" w:hAnsi="Aptos"/>
          <w:sz w:val="22"/>
          <w:szCs w:val="22"/>
        </w:rPr>
        <w:t>Die Zulassung von erneuerbaren Energiegemeinschaften auch für Großunternehmen, gemeinnützige Wohnbauunternehmen und öffentliche Unternehmen ist besonders wichtig. Diese Akteure verfügen über die notwendigen Ressourcen und die organisatorische Kapazität, um groß angelegte Projekte zu realisieren, die erheblich zur Energiewende beitragen können. Ein weiterer wichtiger Aspekt ist, dass die Integration von gemeinnützigen Wohnbauunternehmen in erneuerbare Energiegemeinschaften keinen marktverzerrenden Effekt hätte. Vielmehr können diese Unternehmen durch ihre Beteiligung dazu beitragen, dass die Vorteile von günstigen erneuerbaren Energieprojekte auch benachteiligten Bevölkerungsgruppen zugutekommen.</w:t>
      </w:r>
    </w:p>
    <w:p w14:paraId="42C0446D" w14:textId="77777777" w:rsidR="00623AF8" w:rsidRDefault="00623AF8" w:rsidP="00623AF8">
      <w:pPr>
        <w:rPr>
          <w:rFonts w:ascii="Aptos" w:hAnsi="Aptos"/>
          <w:bCs/>
          <w:sz w:val="22"/>
          <w:szCs w:val="22"/>
        </w:rPr>
      </w:pPr>
      <w:r>
        <w:rPr>
          <w:rFonts w:ascii="Aptos" w:hAnsi="Aptos"/>
          <w:bCs/>
          <w:sz w:val="22"/>
          <w:szCs w:val="22"/>
        </w:rPr>
        <w:t xml:space="preserve"> </w:t>
      </w:r>
      <w:r>
        <w:rPr>
          <w:rFonts w:ascii="Aptos" w:hAnsi="Aptos"/>
          <w:bCs/>
          <w:sz w:val="22"/>
          <w:szCs w:val="22"/>
        </w:rPr>
        <w:br w:type="page"/>
      </w:r>
    </w:p>
    <w:p w14:paraId="650DE54F" w14:textId="77777777" w:rsidR="00623AF8" w:rsidRDefault="00623AF8" w:rsidP="00623AF8">
      <w:pPr>
        <w:spacing w:after="120"/>
        <w:jc w:val="both"/>
        <w:rPr>
          <w:rFonts w:ascii="Aptos" w:hAnsi="Aptos"/>
          <w:bCs/>
          <w:iCs/>
          <w:sz w:val="22"/>
          <w:szCs w:val="22"/>
        </w:rPr>
      </w:pPr>
    </w:p>
    <w:p w14:paraId="6122EE20" w14:textId="77777777" w:rsidR="00623AF8" w:rsidRDefault="00623AF8" w:rsidP="00623AF8">
      <w:pPr>
        <w:pStyle w:val="berschrift1"/>
        <w:rPr>
          <w:rFonts w:ascii="Aptos" w:hAnsi="Aptos"/>
        </w:rPr>
      </w:pPr>
    </w:p>
    <w:p w14:paraId="14162715" w14:textId="77777777" w:rsidR="00623AF8" w:rsidRDefault="00623AF8" w:rsidP="00623AF8">
      <w:pPr>
        <w:pStyle w:val="berschrift1"/>
        <w:rPr>
          <w:rFonts w:ascii="Aptos" w:hAnsi="Aptos"/>
        </w:rPr>
      </w:pPr>
      <w:bookmarkStart w:id="244" w:name="_Toc165540473"/>
      <w:bookmarkStart w:id="245" w:name="_Toc170294942"/>
      <w:bookmarkStart w:id="246" w:name="_Toc170983720"/>
      <w:r>
        <w:rPr>
          <w:rFonts w:ascii="Aptos" w:hAnsi="Aptos"/>
        </w:rPr>
        <w:t>Integrierung des Balkans zur Verbesserung der europäischen Versorgungssicherheit</w:t>
      </w:r>
      <w:bookmarkEnd w:id="244"/>
      <w:bookmarkEnd w:id="245"/>
      <w:bookmarkEnd w:id="246"/>
    </w:p>
    <w:p w14:paraId="30E601DC"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65A4C5B"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2E2155D"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69CB5FAC"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4130020C" w14:textId="77777777" w:rsidR="00623AF8" w:rsidRDefault="00623AF8" w:rsidP="00875DD0">
            <w:pPr>
              <w:spacing w:before="120" w:after="120"/>
              <w:jc w:val="both"/>
              <w:rPr>
                <w:rFonts w:ascii="Aptos" w:hAnsi="Aptos"/>
                <w:sz w:val="22"/>
                <w:szCs w:val="22"/>
              </w:rPr>
            </w:pPr>
            <w:r>
              <w:rPr>
                <w:rFonts w:ascii="Aptos" w:hAnsi="Aptos"/>
                <w:sz w:val="22"/>
                <w:szCs w:val="22"/>
              </w:rPr>
              <w:t xml:space="preserve">Europa steht vor der Herausforderung, seine Energiesicherheit zu gewährleisten, insbesondere angesichts der geopolitischen Spannungen und der wachsenden Nachfrage. Eine vielversprechende Möglichkeit, diese Sicherheit zu stärken, liegt in der Integration des Balkans in das europäische Energienetz. Die Region verfügt über beträchtliche Ressourcen und Potenziale, die es zu erschließen gilt, um die Abhängigkeit von externen Energiequellen zu verringern und die Versorgungssicherheit zu erhöhen. </w:t>
            </w:r>
            <w:r>
              <w:rPr>
                <w:rFonts w:ascii="Aptos" w:hAnsi="Aptos"/>
                <w:b/>
                <w:bCs/>
                <w:sz w:val="22"/>
                <w:szCs w:val="22"/>
              </w:rPr>
              <w:t>Möchten Sie die europäische Versorgungssicherheit durch die Integration des Balkans in das europäische Energienetz verbessern?</w:t>
            </w:r>
          </w:p>
        </w:tc>
      </w:tr>
      <w:tr w:rsidR="00623AF8" w14:paraId="4DA8D6AF"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A22371B"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0C8C79C1"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6140C32D"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0427A3E1" w14:textId="77777777" w:rsidR="00623AF8" w:rsidRDefault="00623AF8" w:rsidP="00623AF8">
      <w:pPr>
        <w:pStyle w:val="TableParagraph"/>
        <w:tabs>
          <w:tab w:val="left" w:pos="1423"/>
          <w:tab w:val="left" w:pos="2796"/>
        </w:tabs>
        <w:spacing w:line="258" w:lineRule="exact"/>
        <w:ind w:left="0"/>
        <w:jc w:val="both"/>
        <w:rPr>
          <w:rFonts w:ascii="Aptos" w:hAnsi="Aptos"/>
          <w:b/>
          <w:lang w:val="de-AT"/>
        </w:rPr>
      </w:pPr>
    </w:p>
    <w:tbl>
      <w:tblPr>
        <w:tblStyle w:val="Tabellenraster"/>
        <w:tblW w:w="0" w:type="auto"/>
        <w:tblLook w:val="04A0" w:firstRow="1" w:lastRow="0" w:firstColumn="1" w:lastColumn="0" w:noHBand="0" w:noVBand="1"/>
      </w:tblPr>
      <w:tblGrid>
        <w:gridCol w:w="9060"/>
      </w:tblGrid>
      <w:tr w:rsidR="00623AF8" w14:paraId="01611422" w14:textId="77777777" w:rsidTr="00875DD0">
        <w:tc>
          <w:tcPr>
            <w:tcW w:w="9060" w:type="dxa"/>
            <w:tcBorders>
              <w:top w:val="nil"/>
              <w:left w:val="nil"/>
              <w:bottom w:val="nil"/>
              <w:right w:val="nil"/>
            </w:tcBorders>
            <w:shd w:val="clear" w:color="auto" w:fill="BFBFBF" w:themeFill="background1" w:themeFillShade="BF"/>
            <w:hideMark/>
          </w:tcPr>
          <w:p w14:paraId="7FC69C24" w14:textId="77777777" w:rsidR="00623AF8" w:rsidRDefault="00623AF8" w:rsidP="00875DD0">
            <w:pPr>
              <w:tabs>
                <w:tab w:val="left" w:pos="708"/>
                <w:tab w:val="left" w:pos="1416"/>
                <w:tab w:val="left" w:pos="2124"/>
                <w:tab w:val="left" w:pos="2796"/>
                <w:tab w:val="center" w:pos="4422"/>
              </w:tabs>
              <w:spacing w:before="100" w:beforeAutospacing="1" w:after="100" w:afterAutospacing="1"/>
              <w:jc w:val="both"/>
              <w:rPr>
                <w:rFonts w:ascii="Aptos" w:eastAsia="Times New Roman" w:hAnsi="Aptos" w:cs="Times New Roman"/>
                <w:sz w:val="22"/>
                <w:szCs w:val="22"/>
                <w:lang w:eastAsia="de-AT"/>
              </w:rPr>
            </w:pPr>
            <w:r>
              <w:rPr>
                <w:rFonts w:ascii="Aptos" w:hAnsi="Aptos"/>
                <w:b/>
                <w:sz w:val="22"/>
                <w:szCs w:val="22"/>
                <w:shd w:val="clear" w:color="auto" w:fill="BFBFBF" w:themeFill="background1" w:themeFillShade="BF"/>
              </w:rPr>
              <w:t xml:space="preserve">Hintergrund         </w:t>
            </w:r>
            <w:r>
              <w:rPr>
                <w:rFonts w:ascii="Aptos" w:hAnsi="Aptos"/>
                <w:b/>
                <w:sz w:val="22"/>
                <w:szCs w:val="22"/>
              </w:rPr>
              <w:t xml:space="preserve">              </w:t>
            </w:r>
          </w:p>
        </w:tc>
      </w:tr>
    </w:tbl>
    <w:p w14:paraId="044E03FE" w14:textId="77777777" w:rsidR="00623AF8" w:rsidRDefault="00623AF8" w:rsidP="00623AF8">
      <w:pPr>
        <w:spacing w:after="100" w:afterAutospacing="1"/>
        <w:jc w:val="both"/>
        <w:rPr>
          <w:rFonts w:ascii="Aptos" w:hAnsi="Aptos"/>
          <w:bCs/>
          <w:iCs/>
          <w:sz w:val="22"/>
          <w:szCs w:val="22"/>
        </w:rPr>
      </w:pPr>
      <w:r>
        <w:rPr>
          <w:rFonts w:ascii="Aptos" w:hAnsi="Aptos"/>
          <w:bCs/>
          <w:iCs/>
          <w:sz w:val="22"/>
          <w:szCs w:val="22"/>
        </w:rPr>
        <w:t>Die Integration des Balkans in das europäische Energienetz ist entscheidend zur Stärkung der europäischen Versorgungssicherheit. Der Balkan ist strategisch bedeutsam, sowohl als Transitroute für Energie als auch als potenzieller Produzent erneuerbarer Energien wie Wind, Sonne und Wasserkraft. Durch die Einbindung der Balkanländer können mehrere Vorteile erzielt werden.</w:t>
      </w:r>
    </w:p>
    <w:p w14:paraId="3FFBDE1F" w14:textId="77777777" w:rsidR="00623AF8" w:rsidRDefault="00623AF8" w:rsidP="00623AF8">
      <w:pPr>
        <w:spacing w:before="100" w:beforeAutospacing="1" w:after="100" w:afterAutospacing="1"/>
        <w:jc w:val="both"/>
        <w:rPr>
          <w:rFonts w:ascii="Aptos" w:hAnsi="Aptos"/>
          <w:bCs/>
          <w:iCs/>
          <w:sz w:val="22"/>
          <w:szCs w:val="22"/>
        </w:rPr>
      </w:pPr>
      <w:r>
        <w:rPr>
          <w:rFonts w:ascii="Aptos" w:hAnsi="Aptos"/>
          <w:bCs/>
          <w:iCs/>
          <w:sz w:val="22"/>
          <w:szCs w:val="22"/>
        </w:rPr>
        <w:t>Erstens reduziert die Integration die Energieabhängigkeit Europas von externen Lieferanten. Der Balkan verfügt über erhebliche erneuerbare Energiequellen, die zur regionalen und europäischen Energieversorgung beitragen können. Dies erhöht die Resilienz gegenüber geopolitischen Risiken und Marktstörungen.</w:t>
      </w:r>
    </w:p>
    <w:p w14:paraId="3C852F19" w14:textId="77777777" w:rsidR="00623AF8" w:rsidRDefault="00623AF8" w:rsidP="00623AF8">
      <w:pPr>
        <w:spacing w:before="100" w:beforeAutospacing="1" w:after="100" w:afterAutospacing="1"/>
        <w:jc w:val="both"/>
        <w:rPr>
          <w:rFonts w:ascii="Aptos" w:hAnsi="Aptos"/>
          <w:bCs/>
          <w:iCs/>
          <w:sz w:val="22"/>
          <w:szCs w:val="22"/>
        </w:rPr>
      </w:pPr>
      <w:r>
        <w:rPr>
          <w:rFonts w:ascii="Aptos" w:hAnsi="Aptos"/>
          <w:bCs/>
          <w:iCs/>
          <w:sz w:val="22"/>
          <w:szCs w:val="22"/>
        </w:rPr>
        <w:t>Zweitens ermöglicht die Integration eine effizientere Nutzung der vorhandenen Infrastruktur und die Entwicklung neuer Projekte, die die regionale Energieeffizienz und -stabilität verbessern. Der Ausbau von grenzüberschreitenden Verbindungsleitungen und die Harmonisierung der Energiemärkte optimieren Stromflüsse und vermeiden Engpässe, was das Risiko von Versorgungsunterbrechungen reduziert.</w:t>
      </w:r>
    </w:p>
    <w:p w14:paraId="5C6CB8E2" w14:textId="77777777" w:rsidR="00623AF8" w:rsidRDefault="00623AF8" w:rsidP="00623AF8">
      <w:pPr>
        <w:spacing w:before="100" w:beforeAutospacing="1" w:after="100" w:afterAutospacing="1"/>
        <w:jc w:val="both"/>
        <w:rPr>
          <w:rFonts w:ascii="Aptos" w:hAnsi="Aptos"/>
          <w:bCs/>
          <w:iCs/>
          <w:sz w:val="22"/>
          <w:szCs w:val="22"/>
        </w:rPr>
      </w:pPr>
      <w:r>
        <w:rPr>
          <w:rFonts w:ascii="Aptos" w:hAnsi="Aptos"/>
          <w:bCs/>
          <w:iCs/>
          <w:sz w:val="22"/>
          <w:szCs w:val="22"/>
        </w:rPr>
        <w:t>Drittens fördert die Integration wirtschaftliches Wachstum und politische Stabilität in den Balkanländern. Der Zugang zu einem stabilen und diversifizierten Energiemarkt zieht Investitionen an, schafft Arbeitsplätze und unterstützt die wirtschaftliche Entwicklung der Region, was zur politischen Stabilität beiträgt.</w:t>
      </w:r>
    </w:p>
    <w:p w14:paraId="51FD9808" w14:textId="77777777" w:rsidR="00623AF8" w:rsidRDefault="00623AF8" w:rsidP="00623AF8">
      <w:pPr>
        <w:rPr>
          <w:rFonts w:ascii="Aptos" w:hAnsi="Aptos"/>
          <w:bCs/>
          <w:iCs/>
          <w:sz w:val="22"/>
          <w:szCs w:val="22"/>
        </w:rPr>
      </w:pPr>
      <w:r>
        <w:rPr>
          <w:rFonts w:ascii="Aptos" w:hAnsi="Aptos"/>
          <w:bCs/>
          <w:iCs/>
          <w:sz w:val="22"/>
          <w:szCs w:val="22"/>
        </w:rPr>
        <w:br w:type="page"/>
      </w:r>
    </w:p>
    <w:p w14:paraId="08BE5442" w14:textId="77777777" w:rsidR="00623AF8" w:rsidRDefault="00623AF8" w:rsidP="00623AF8">
      <w:pPr>
        <w:pStyle w:val="berschrift1"/>
        <w:rPr>
          <w:rFonts w:ascii="Aptos" w:hAnsi="Aptos"/>
        </w:rPr>
      </w:pPr>
    </w:p>
    <w:p w14:paraId="70666FF4" w14:textId="77777777" w:rsidR="006C2CE8" w:rsidRDefault="006C2CE8" w:rsidP="00623AF8">
      <w:pPr>
        <w:pStyle w:val="berschrift1"/>
        <w:rPr>
          <w:rFonts w:ascii="Aptos" w:hAnsi="Aptos"/>
        </w:rPr>
      </w:pPr>
      <w:bookmarkStart w:id="247" w:name="_Toc170983721"/>
    </w:p>
    <w:p w14:paraId="08B32A4B" w14:textId="247D27A3" w:rsidR="00623AF8" w:rsidRDefault="00623AF8" w:rsidP="00623AF8">
      <w:pPr>
        <w:pStyle w:val="berschrift1"/>
        <w:rPr>
          <w:rFonts w:ascii="Aptos" w:hAnsi="Aptos"/>
        </w:rPr>
      </w:pPr>
      <w:r>
        <w:rPr>
          <w:rFonts w:ascii="Aptos" w:hAnsi="Aptos"/>
        </w:rPr>
        <w:t>Erhaltung der europäischen Produktionskapazitäten für Transformatoren durch Umsetzung der geltenden Ökodesign-Verordnungen</w:t>
      </w:r>
      <w:bookmarkEnd w:id="247"/>
    </w:p>
    <w:p w14:paraId="5C6A2934" w14:textId="77777777" w:rsidR="00623AF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CC16D04"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FBBA54D" w14:textId="77777777" w:rsidR="00623AF8" w:rsidRDefault="00623AF8" w:rsidP="00875DD0">
            <w:pPr>
              <w:spacing w:before="120" w:after="120"/>
              <w:jc w:val="both"/>
              <w:rPr>
                <w:rFonts w:ascii="Aptos" w:hAnsi="Aptos"/>
                <w:b/>
                <w:iCs/>
                <w:sz w:val="22"/>
                <w:szCs w:val="22"/>
              </w:rPr>
            </w:pPr>
            <w:r>
              <w:rPr>
                <w:rFonts w:ascii="Aptos" w:hAnsi="Aptos"/>
                <w:b/>
                <w:iCs/>
                <w:sz w:val="22"/>
                <w:szCs w:val="22"/>
              </w:rPr>
              <w:t>Frage</w:t>
            </w:r>
          </w:p>
        </w:tc>
      </w:tr>
      <w:tr w:rsidR="00623AF8" w14:paraId="0F4B0E9D"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737FF79C" w14:textId="77777777" w:rsidR="00623AF8" w:rsidRDefault="00623AF8" w:rsidP="00875DD0">
            <w:pPr>
              <w:spacing w:before="120" w:after="120"/>
              <w:jc w:val="both"/>
              <w:rPr>
                <w:rFonts w:ascii="Aptos" w:hAnsi="Aptos"/>
                <w:sz w:val="22"/>
                <w:szCs w:val="22"/>
              </w:rPr>
            </w:pPr>
            <w:r>
              <w:rPr>
                <w:rFonts w:ascii="Aptos" w:hAnsi="Aptos"/>
                <w:sz w:val="22"/>
                <w:szCs w:val="22"/>
              </w:rPr>
              <w:t xml:space="preserve">Die europäische Netztechnikindustrie, die für die Erreichung der EU-Klimaziele von entscheidender Bedeutung ist, wird durch die vorgeschlagenen Änderungen der Ökodesign-Verordnung erheblich bedroht. Der Vorschlag zur Ökodesign-Verordnung sieht strengere Tier-3-Anforderungen für Verluste vor, was den Materialbedarf und die Kosten erhöhen würde, sowie die Einführung von Transformatoren mit amorphem Kern, was die Produktion stören und die Abhängigkeit von Nicht-EU-Lieferanten erhöhen würde. </w:t>
            </w:r>
            <w:r>
              <w:rPr>
                <w:rFonts w:ascii="Aptos" w:hAnsi="Aptos"/>
                <w:b/>
                <w:bCs/>
                <w:sz w:val="22"/>
                <w:szCs w:val="22"/>
              </w:rPr>
              <w:t>Inwiefern planen Sie, sich auf die Umsetzung der aktuellen Vorschriften zu konzentrieren und neue zu vermeiden, die die Produktionskapazitäten und die strategische Souveränität beeinträchtigen würden?</w:t>
            </w:r>
          </w:p>
        </w:tc>
      </w:tr>
      <w:tr w:rsidR="00623AF8" w14:paraId="38D858D8"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D7C6916" w14:textId="77777777" w:rsidR="00623AF8" w:rsidRDefault="00623AF8" w:rsidP="00875DD0">
            <w:pPr>
              <w:spacing w:before="120" w:after="120"/>
              <w:jc w:val="both"/>
              <w:rPr>
                <w:rFonts w:ascii="Aptos" w:hAnsi="Aptos"/>
                <w:b/>
                <w:bCs/>
                <w:sz w:val="22"/>
                <w:szCs w:val="22"/>
              </w:rPr>
            </w:pPr>
            <w:r>
              <w:rPr>
                <w:rFonts w:ascii="Aptos" w:hAnsi="Aptos"/>
                <w:b/>
                <w:bCs/>
                <w:sz w:val="22"/>
                <w:szCs w:val="22"/>
              </w:rPr>
              <w:t>Nachfrage</w:t>
            </w:r>
          </w:p>
        </w:tc>
      </w:tr>
      <w:tr w:rsidR="00623AF8" w14:paraId="3240E8AB" w14:textId="77777777" w:rsidTr="00875DD0">
        <w:tc>
          <w:tcPr>
            <w:tcW w:w="9060" w:type="dxa"/>
            <w:tcBorders>
              <w:top w:val="single" w:sz="4" w:space="0" w:color="auto"/>
              <w:left w:val="single" w:sz="4" w:space="0" w:color="auto"/>
              <w:bottom w:val="single" w:sz="4" w:space="0" w:color="auto"/>
              <w:right w:val="single" w:sz="4" w:space="0" w:color="auto"/>
            </w:tcBorders>
            <w:hideMark/>
          </w:tcPr>
          <w:p w14:paraId="5ED526DE" w14:textId="77777777" w:rsidR="00623AF8" w:rsidRDefault="00623AF8" w:rsidP="00875DD0">
            <w:pPr>
              <w:spacing w:before="120" w:after="120"/>
              <w:jc w:val="both"/>
              <w:rPr>
                <w:rFonts w:ascii="Aptos" w:hAnsi="Aptos"/>
                <w:sz w:val="22"/>
                <w:szCs w:val="22"/>
              </w:rPr>
            </w:pPr>
            <w:r>
              <w:rPr>
                <w:rFonts w:ascii="Aptos" w:hAnsi="Aptos"/>
                <w:sz w:val="22"/>
                <w:szCs w:val="22"/>
              </w:rPr>
              <w:t>-</w:t>
            </w:r>
          </w:p>
        </w:tc>
      </w:tr>
    </w:tbl>
    <w:p w14:paraId="7F2AAFAD" w14:textId="77777777" w:rsidR="00623AF8" w:rsidRDefault="00623AF8" w:rsidP="00623AF8">
      <w:pPr>
        <w:pStyle w:val="TableParagraph"/>
        <w:tabs>
          <w:tab w:val="left" w:pos="1423"/>
          <w:tab w:val="left" w:pos="2796"/>
        </w:tabs>
        <w:spacing w:line="258" w:lineRule="exact"/>
        <w:ind w:left="0"/>
        <w:jc w:val="both"/>
        <w:rPr>
          <w:rFonts w:ascii="Aptos" w:hAnsi="Aptos"/>
          <w:b/>
          <w:lang w:val="de-AT"/>
        </w:rPr>
      </w:pPr>
    </w:p>
    <w:tbl>
      <w:tblPr>
        <w:tblStyle w:val="Tabellenraster"/>
        <w:tblW w:w="0" w:type="auto"/>
        <w:tblLook w:val="04A0" w:firstRow="1" w:lastRow="0" w:firstColumn="1" w:lastColumn="0" w:noHBand="0" w:noVBand="1"/>
      </w:tblPr>
      <w:tblGrid>
        <w:gridCol w:w="9060"/>
      </w:tblGrid>
      <w:tr w:rsidR="00623AF8" w14:paraId="290687DA" w14:textId="77777777" w:rsidTr="00875DD0">
        <w:tc>
          <w:tcPr>
            <w:tcW w:w="9060" w:type="dxa"/>
            <w:tcBorders>
              <w:top w:val="nil"/>
              <w:left w:val="nil"/>
              <w:bottom w:val="nil"/>
              <w:right w:val="nil"/>
            </w:tcBorders>
            <w:shd w:val="clear" w:color="auto" w:fill="BFBFBF" w:themeFill="background1" w:themeFillShade="BF"/>
            <w:hideMark/>
          </w:tcPr>
          <w:p w14:paraId="23A26B99" w14:textId="77777777" w:rsidR="00623AF8" w:rsidRDefault="00623AF8" w:rsidP="00875DD0">
            <w:pPr>
              <w:tabs>
                <w:tab w:val="left" w:pos="708"/>
                <w:tab w:val="left" w:pos="1416"/>
                <w:tab w:val="left" w:pos="2124"/>
                <w:tab w:val="left" w:pos="2796"/>
                <w:tab w:val="center" w:pos="4422"/>
              </w:tabs>
              <w:spacing w:before="100" w:beforeAutospacing="1" w:after="100" w:afterAutospacing="1"/>
              <w:jc w:val="both"/>
              <w:rPr>
                <w:rFonts w:ascii="Aptos" w:eastAsia="Times New Roman" w:hAnsi="Aptos" w:cs="Times New Roman"/>
                <w:sz w:val="22"/>
                <w:szCs w:val="22"/>
                <w:lang w:eastAsia="de-AT"/>
              </w:rPr>
            </w:pPr>
            <w:r>
              <w:rPr>
                <w:rFonts w:ascii="Aptos" w:hAnsi="Aptos"/>
                <w:b/>
                <w:sz w:val="22"/>
                <w:szCs w:val="22"/>
                <w:shd w:val="clear" w:color="auto" w:fill="BFBFBF" w:themeFill="background1" w:themeFillShade="BF"/>
              </w:rPr>
              <w:t xml:space="preserve">Hintergrund         </w:t>
            </w:r>
            <w:r>
              <w:rPr>
                <w:rFonts w:ascii="Aptos" w:hAnsi="Aptos"/>
                <w:b/>
                <w:sz w:val="22"/>
                <w:szCs w:val="22"/>
              </w:rPr>
              <w:t xml:space="preserve">              </w:t>
            </w:r>
          </w:p>
        </w:tc>
      </w:tr>
    </w:tbl>
    <w:p w14:paraId="7A9683AB" w14:textId="77777777" w:rsidR="00623AF8" w:rsidRDefault="00623AF8" w:rsidP="00623AF8">
      <w:pPr>
        <w:jc w:val="both"/>
        <w:rPr>
          <w:rFonts w:ascii="Aptos" w:hAnsi="Aptos"/>
          <w:bCs/>
          <w:iCs/>
          <w:sz w:val="22"/>
          <w:szCs w:val="22"/>
        </w:rPr>
      </w:pPr>
      <w:r>
        <w:rPr>
          <w:rFonts w:ascii="Aptos" w:hAnsi="Aptos"/>
          <w:bCs/>
          <w:iCs/>
          <w:sz w:val="22"/>
          <w:szCs w:val="22"/>
        </w:rPr>
        <w:t>Die europäische Netztechnikindustrie liefert entscheidende Netto-Null-Technologien, die für das Erreichen der EU-Klimaziele unerlässlich sind, wie im Net-Zero Industry Act und dem Grid Action Plan anerkannt wird.</w:t>
      </w:r>
    </w:p>
    <w:p w14:paraId="7B463047" w14:textId="77777777" w:rsidR="00623AF8" w:rsidRDefault="00623AF8" w:rsidP="00623AF8">
      <w:pPr>
        <w:jc w:val="both"/>
        <w:rPr>
          <w:rFonts w:ascii="Aptos" w:hAnsi="Aptos"/>
          <w:bCs/>
          <w:iCs/>
          <w:sz w:val="22"/>
          <w:szCs w:val="22"/>
        </w:rPr>
      </w:pPr>
    </w:p>
    <w:p w14:paraId="4EB7090E" w14:textId="77777777" w:rsidR="00623AF8" w:rsidRDefault="00623AF8" w:rsidP="00623AF8">
      <w:pPr>
        <w:jc w:val="both"/>
        <w:rPr>
          <w:rFonts w:ascii="Aptos" w:hAnsi="Aptos"/>
          <w:bCs/>
          <w:iCs/>
          <w:sz w:val="22"/>
          <w:szCs w:val="22"/>
        </w:rPr>
      </w:pPr>
      <w:r>
        <w:rPr>
          <w:rFonts w:ascii="Aptos" w:hAnsi="Aptos"/>
          <w:bCs/>
          <w:iCs/>
          <w:sz w:val="22"/>
          <w:szCs w:val="22"/>
        </w:rPr>
        <w:t>Es werden zwei Hauptbedenken geäußert. Erstens würde der Vorschlag, strengere Tier-3-Anforderungen für Verluste einzuführen, zu einem deutlich höheren Bedarf an Materialien wie Kupfer und Stahl führen, die bereits knapp sind. Eine Verringerung der Verluste um 10 % (weniger als 0,1 % verbesserte Effizienz) würde den Materialbedarf um 15 % bis 44 % und die Kosten um 25 % bis 51 % erhöhen, was sich negativ auf die Versorgungskette auswirken und die Produktionsleistung in Europa verringern würde.</w:t>
      </w:r>
    </w:p>
    <w:p w14:paraId="5EE34243" w14:textId="77777777" w:rsidR="00623AF8" w:rsidRDefault="00623AF8" w:rsidP="00623AF8">
      <w:pPr>
        <w:spacing w:before="100" w:beforeAutospacing="1"/>
        <w:jc w:val="both"/>
        <w:rPr>
          <w:rFonts w:ascii="Aptos" w:hAnsi="Aptos"/>
          <w:bCs/>
          <w:iCs/>
          <w:sz w:val="22"/>
          <w:szCs w:val="22"/>
        </w:rPr>
      </w:pPr>
      <w:r>
        <w:rPr>
          <w:rFonts w:ascii="Aptos" w:hAnsi="Aptos"/>
          <w:bCs/>
          <w:iCs/>
          <w:sz w:val="22"/>
          <w:szCs w:val="22"/>
        </w:rPr>
        <w:t>Zweitens würde die Forderung nach Transformatoren mit amorphem Kern, die zwar die Verluste senken können, aber komplexer in der Herstellung sind, die europäische Produktion und die Verfügbarkeit von Transformatoren beeinträchtigen. In der EU gibt es keine Hersteller von Transformatoren mit amorphem Kern, was die externe Abhängigkeit erhöht und die strategische Souveränität schwächt. Dies würde sich auf die europäischen Transformatorenhersteller, einschließlich kleiner und mittlerer Produzenten, und die Stahlversorgungskette auswirken, wobei begrenzte globale Zulieferer die Lieferzeiten weiter beeinträchtigen würden.</w:t>
      </w:r>
    </w:p>
    <w:p w14:paraId="4F71FEEC" w14:textId="77777777" w:rsidR="00623AF8" w:rsidRDefault="00623AF8" w:rsidP="00623AF8">
      <w:pPr>
        <w:spacing w:before="100" w:beforeAutospacing="1"/>
        <w:jc w:val="both"/>
        <w:rPr>
          <w:rFonts w:ascii="Aptos" w:hAnsi="Aptos"/>
          <w:bCs/>
          <w:iCs/>
          <w:sz w:val="22"/>
          <w:szCs w:val="22"/>
        </w:rPr>
      </w:pPr>
      <w:r>
        <w:rPr>
          <w:rFonts w:ascii="Aptos" w:hAnsi="Aptos"/>
          <w:bCs/>
          <w:iCs/>
          <w:sz w:val="22"/>
          <w:szCs w:val="22"/>
        </w:rPr>
        <w:t>Es bedarf der Unterstützung, um sicherzustellen, dass Europa den richtigen Rahmen für seine Netto-Null-Industrie schafft, ohne neue Vorschriften, die die Produktionskapazitäten für Transformatoren verringern. In Anbetracht der aktuellen Herausforderungen, die im Aktionsplan für Netze angesprochen werden, sollte sich die Kommission auf die Umsetzung der aktuellen Ökodesign-Verordnung und die Gewährleistung einer angemessenen Marktüberwachung konzentrieren, um die Einfuhr von nicht konformen Transformatoren zu verhindern.</w:t>
      </w:r>
    </w:p>
    <w:p w14:paraId="634D83DE" w14:textId="77777777" w:rsidR="00623AF8" w:rsidRDefault="00623AF8" w:rsidP="00623AF8">
      <w:pPr>
        <w:spacing w:before="100" w:beforeAutospacing="1"/>
        <w:jc w:val="both"/>
        <w:rPr>
          <w:rFonts w:ascii="Aptos" w:hAnsi="Aptos"/>
          <w:bCs/>
          <w:iCs/>
          <w:sz w:val="22"/>
          <w:szCs w:val="22"/>
        </w:rPr>
      </w:pPr>
    </w:p>
    <w:p w14:paraId="49FED881" w14:textId="77777777" w:rsidR="00623AF8" w:rsidRDefault="00623AF8" w:rsidP="00B97286">
      <w:pPr>
        <w:pStyle w:val="berschrift1"/>
        <w:rPr>
          <w:rFonts w:ascii="Aptos" w:hAnsi="Aptos"/>
          <w:color w:val="A6A6A6" w:themeColor="background1" w:themeShade="A6"/>
        </w:rPr>
      </w:pPr>
    </w:p>
    <w:p w14:paraId="1EE70E4D" w14:textId="77777777" w:rsidR="00B97286" w:rsidRPr="00B97286" w:rsidRDefault="00B97286" w:rsidP="00B97286"/>
    <w:p w14:paraId="50C4A3B4" w14:textId="77777777" w:rsidR="00623AF8" w:rsidRPr="00ED5F4A" w:rsidRDefault="00623AF8" w:rsidP="00623AF8">
      <w:pPr>
        <w:pStyle w:val="berschrift1"/>
        <w:jc w:val="center"/>
        <w:rPr>
          <w:rFonts w:ascii="Aptos" w:hAnsi="Aptos" w:cstheme="minorHAnsi"/>
          <w:bCs/>
          <w:color w:val="A6A6A6" w:themeColor="background1" w:themeShade="A6"/>
          <w:spacing w:val="20"/>
          <w:sz w:val="28"/>
          <w:szCs w:val="28"/>
        </w:rPr>
      </w:pPr>
      <w:bookmarkStart w:id="248" w:name="_Toc170983722"/>
      <w:r w:rsidRPr="00ED5F4A">
        <w:rPr>
          <w:rFonts w:ascii="Aptos" w:hAnsi="Aptos" w:cstheme="minorHAnsi"/>
          <w:bCs/>
          <w:color w:val="A6A6A6" w:themeColor="background1" w:themeShade="A6"/>
          <w:spacing w:val="20"/>
          <w:sz w:val="28"/>
          <w:szCs w:val="28"/>
        </w:rPr>
        <w:t xml:space="preserve">Ausarbeitung </w:t>
      </w:r>
      <w:r>
        <w:rPr>
          <w:rFonts w:ascii="Aptos" w:hAnsi="Aptos" w:cstheme="minorHAnsi"/>
          <w:bCs/>
          <w:color w:val="A6A6A6" w:themeColor="background1" w:themeShade="A6"/>
          <w:spacing w:val="20"/>
          <w:sz w:val="28"/>
          <w:szCs w:val="28"/>
        </w:rPr>
        <w:t xml:space="preserve">der </w:t>
      </w:r>
      <w:r w:rsidRPr="00ED5F4A">
        <w:rPr>
          <w:rFonts w:ascii="Aptos" w:hAnsi="Aptos" w:cstheme="minorHAnsi"/>
          <w:bCs/>
          <w:color w:val="A6A6A6" w:themeColor="background1" w:themeShade="A6"/>
          <w:spacing w:val="20"/>
          <w:sz w:val="28"/>
          <w:szCs w:val="28"/>
        </w:rPr>
        <w:t xml:space="preserve">Fragen aus dem </w:t>
      </w:r>
      <w:r>
        <w:rPr>
          <w:rFonts w:ascii="Aptos" w:hAnsi="Aptos" w:cstheme="minorHAnsi"/>
          <w:bCs/>
          <w:color w:val="A6A6A6" w:themeColor="background1" w:themeShade="A6"/>
          <w:spacing w:val="20"/>
          <w:sz w:val="28"/>
          <w:szCs w:val="28"/>
        </w:rPr>
        <w:t xml:space="preserve">Bereich </w:t>
      </w:r>
      <w:r w:rsidRPr="00ED5F4A">
        <w:rPr>
          <w:rFonts w:ascii="Aptos" w:hAnsi="Aptos" w:cstheme="minorHAnsi"/>
          <w:bCs/>
          <w:color w:val="A6A6A6" w:themeColor="background1" w:themeShade="A6"/>
          <w:spacing w:val="20"/>
          <w:sz w:val="28"/>
          <w:szCs w:val="28"/>
        </w:rPr>
        <w:t>Verkehr</w:t>
      </w:r>
      <w:bookmarkEnd w:id="248"/>
      <w:r>
        <w:rPr>
          <w:rFonts w:ascii="Aptos" w:hAnsi="Aptos" w:cstheme="minorHAnsi"/>
          <w:bCs/>
          <w:color w:val="A6A6A6" w:themeColor="background1" w:themeShade="A6"/>
          <w:spacing w:val="20"/>
          <w:sz w:val="28"/>
          <w:szCs w:val="28"/>
        </w:rPr>
        <w:t>spolitik</w:t>
      </w:r>
    </w:p>
    <w:p w14:paraId="22C91E3D" w14:textId="77777777" w:rsidR="00623AF8" w:rsidRDefault="00623AF8" w:rsidP="00623AF8">
      <w:pPr>
        <w:rPr>
          <w:sz w:val="22"/>
          <w:szCs w:val="22"/>
        </w:rPr>
      </w:pPr>
    </w:p>
    <w:p w14:paraId="1899C894" w14:textId="77777777" w:rsidR="00623AF8" w:rsidRPr="00233EE5" w:rsidRDefault="00623AF8" w:rsidP="00623AF8">
      <w:pPr>
        <w:rPr>
          <w:sz w:val="22"/>
          <w:szCs w:val="22"/>
        </w:rPr>
      </w:pPr>
    </w:p>
    <w:p w14:paraId="5EB09501"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49" w:name="_Toc170378190"/>
      <w:bookmarkStart w:id="250" w:name="_Toc170983723"/>
      <w:r w:rsidRPr="00233EE5">
        <w:rPr>
          <w:rFonts w:ascii="Aptos" w:eastAsiaTheme="majorEastAsia" w:hAnsi="Aptos" w:cstheme="majorBidi"/>
          <w:b/>
          <w:color w:val="E4342D"/>
          <w:szCs w:val="32"/>
        </w:rPr>
        <w:t>Dekarbonisierung des Verkehrssystems – Finanzierung</w:t>
      </w:r>
      <w:bookmarkEnd w:id="249"/>
      <w:bookmarkEnd w:id="250"/>
    </w:p>
    <w:p w14:paraId="37512CE4"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26BF89A6" w14:textId="77777777" w:rsidTr="00875DD0">
        <w:tc>
          <w:tcPr>
            <w:tcW w:w="9060" w:type="dxa"/>
            <w:shd w:val="clear" w:color="auto" w:fill="D9D9D9" w:themeFill="background1" w:themeFillShade="D9"/>
          </w:tcPr>
          <w:p w14:paraId="40340563"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186F93B8" w14:textId="77777777" w:rsidTr="00875DD0">
        <w:tc>
          <w:tcPr>
            <w:tcW w:w="9060" w:type="dxa"/>
          </w:tcPr>
          <w:p w14:paraId="1D106140" w14:textId="77777777" w:rsidR="00623AF8" w:rsidRPr="00233EE5" w:rsidRDefault="00623AF8" w:rsidP="00875DD0">
            <w:pPr>
              <w:spacing w:before="120" w:after="120"/>
              <w:jc w:val="both"/>
              <w:rPr>
                <w:rFonts w:ascii="Aptos" w:hAnsi="Aptos"/>
                <w:b/>
                <w:bCs/>
                <w:sz w:val="22"/>
                <w:szCs w:val="22"/>
              </w:rPr>
            </w:pPr>
            <w:r w:rsidRPr="00233EE5">
              <w:rPr>
                <w:rFonts w:ascii="Aptos" w:eastAsia="Times New Roman" w:hAnsi="Aptos"/>
                <w:sz w:val="22"/>
                <w:szCs w:val="22"/>
                <w:lang w:eastAsia="de-AT"/>
              </w:rPr>
              <w:t xml:space="preserve">Der europäische Wirtschaftsraum und die EU-Bürger:innen sind in vielerlei Hinsicht davon abhängig, dass Personen und Güter wirtschaftlich und effizient von einem Ort zum anderen befördert werden. Der Verkehrssektor ist eine kritische Infrastruktur, ein wesentlicher Bestandteil unserer Lebensweise und spielt eine Schlüsselrolle für den Wirtschaftsstandort Europa. Die EU hat sich zum Ziel gesetzt, die verkehrsbedingten Treibhausgasemissionen bis 2050 um 90 % gegenüber 1990 zu reduzieren. Derzeit verursacht der Verkehrssektor jedoch rund ein Viertel der gesamten Treibhausgasemissionen der EU. </w:t>
            </w:r>
            <w:r w:rsidRPr="00233EE5">
              <w:rPr>
                <w:rFonts w:ascii="Aptos" w:eastAsia="Times New Roman" w:hAnsi="Aptos"/>
                <w:b/>
                <w:bCs/>
                <w:sz w:val="22"/>
                <w:szCs w:val="22"/>
                <w:lang w:eastAsia="de-AT"/>
              </w:rPr>
              <w:t>Welche finanziellen Anreize wollen Sie setzen, um den Verkehr (Güter- und Personenverkehr) in Europa zu dekarbonisieren?</w:t>
            </w:r>
          </w:p>
        </w:tc>
      </w:tr>
      <w:tr w:rsidR="00623AF8" w:rsidRPr="00233EE5" w14:paraId="2E629E6C" w14:textId="77777777" w:rsidTr="00875DD0">
        <w:tc>
          <w:tcPr>
            <w:tcW w:w="9060" w:type="dxa"/>
            <w:shd w:val="clear" w:color="auto" w:fill="D9D9D9" w:themeFill="background1" w:themeFillShade="D9"/>
          </w:tcPr>
          <w:p w14:paraId="0B82A78E"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56C4C95C" w14:textId="77777777" w:rsidTr="00875DD0">
        <w:tc>
          <w:tcPr>
            <w:tcW w:w="9060" w:type="dxa"/>
          </w:tcPr>
          <w:p w14:paraId="186452AE"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Planen Sie, die Finanzierungslücke für die Beschaffung und den Betrieb dekarbonisierter Verkehrsmittel, insbesondere für kleine und mittlere Verkehrsdienstleister, zu schließen? </w:t>
            </w:r>
          </w:p>
          <w:p w14:paraId="5BC48E96"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Wie wollen Sie gewährleisten, dass die Fördermittel ausreichend Zeit für die Umsetzung, insbesondere beim Aufbau neuer Infrastrukturen, bieten? </w:t>
            </w:r>
          </w:p>
          <w:p w14:paraId="1E9F053C"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Förderungen auch für grenzüberschreitende Projekte konzipiert und eingesetzt werden?</w:t>
            </w:r>
          </w:p>
          <w:p w14:paraId="5598821F"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Wird eine neue Betriebsbeihilfe in Betracht gezogen?</w:t>
            </w:r>
          </w:p>
        </w:tc>
      </w:tr>
    </w:tbl>
    <w:p w14:paraId="566DB00D" w14:textId="77777777" w:rsidR="00623AF8" w:rsidRPr="00233EE5"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233EE5" w14:paraId="4CBF251C" w14:textId="77777777" w:rsidTr="00875DD0">
        <w:trPr>
          <w:trHeight w:val="277"/>
        </w:trPr>
        <w:tc>
          <w:tcPr>
            <w:tcW w:w="9066" w:type="dxa"/>
            <w:shd w:val="clear" w:color="auto" w:fill="D9D9D9"/>
          </w:tcPr>
          <w:p w14:paraId="4907D690"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5BFF71FF"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Der Verkehrssektor ist eine kritische Infrastruktur, ein wesentlicher Bestandteil unserer Lebensweise und trägt insgesamt mit über 9 % wesentlich zur Bruttowertschöpfung und zum Wirtschaftsstandort EU bei. Er ist aber auch einer der größten Emittenten in den Städten und verursacht fast ein Viertel der Treibhausgasemissionen in Europa - ein Anstieg von 21 % gegenüber 1990. Um bis 2050 klimaneutral zu werden, müssen daher auch die Voraussetzungen für eine emissionsfreie bzw. emissionsarme Mobilität geschaffen werden. Die Dekarbonisierung des Verkehrssektors ist von entscheidender Bedeutung für die Erreichung der EU-Klimaziele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Steigender Energieverbrauch im Straßenverkehr und wachsendes Verkehrsaufkommen stellen diese Vorhaben jedoch vor Herausforderungen. Derzeit werden über 90 % der im Straßenverkehr verbrauchten Energie durch fossile Energieträger gedeckt. Alternativen wie der Elektroantrieb spielen derzeit noch eine marginale Rolle. Aus Sicht der Daseinsvorsorge ist die Finanzierung einer umweltfreundlichen öffentlichen Infrastruktur ein wesentlicher Hebel, um den gewünschten Modal Split zu erreichen.</w:t>
      </w:r>
    </w:p>
    <w:p w14:paraId="71C520C5" w14:textId="77777777" w:rsidR="00623AF8" w:rsidRPr="00233EE5" w:rsidRDefault="00623AF8" w:rsidP="00623AF8">
      <w:pPr>
        <w:jc w:val="both"/>
        <w:rPr>
          <w:rFonts w:ascii="Aptos" w:hAnsi="Aptos"/>
          <w:bCs/>
          <w:sz w:val="22"/>
          <w:szCs w:val="22"/>
        </w:rPr>
      </w:pPr>
    </w:p>
    <w:p w14:paraId="32871D4E" w14:textId="77777777" w:rsidR="00623AF8" w:rsidRPr="00233EE5" w:rsidRDefault="00623AF8" w:rsidP="00F63BE8">
      <w:pPr>
        <w:numPr>
          <w:ilvl w:val="0"/>
          <w:numId w:val="21"/>
        </w:numPr>
        <w:contextualSpacing/>
        <w:rPr>
          <w:rFonts w:ascii="Aptos" w:hAnsi="Aptos"/>
          <w:sz w:val="18"/>
          <w:szCs w:val="18"/>
          <w:lang w:val="en-GB"/>
        </w:rPr>
      </w:pPr>
      <w:r w:rsidRPr="00233EE5">
        <w:rPr>
          <w:rFonts w:ascii="Aptos" w:hAnsi="Aptos"/>
          <w:sz w:val="18"/>
          <w:szCs w:val="18"/>
          <w:lang w:val="en-GB"/>
        </w:rPr>
        <w:t>EEA 2023:  Progress of EU transport sector towards its environment and climate objectives</w:t>
      </w:r>
    </w:p>
    <w:p w14:paraId="047BF702" w14:textId="77777777" w:rsidR="00623AF8" w:rsidRPr="00233EE5" w:rsidRDefault="00AC460E" w:rsidP="00623AF8">
      <w:pPr>
        <w:ind w:firstLine="360"/>
        <w:jc w:val="both"/>
        <w:rPr>
          <w:sz w:val="18"/>
          <w:szCs w:val="18"/>
          <w:lang w:val="en-GB"/>
        </w:rPr>
      </w:pPr>
      <w:hyperlink r:id="rId33" w:history="1">
        <w:r w:rsidR="00623AF8" w:rsidRPr="00233EE5">
          <w:rPr>
            <w:color w:val="0000FF"/>
            <w:sz w:val="18"/>
            <w:szCs w:val="18"/>
            <w:u w:val="single"/>
            <w:lang w:val="en-GB"/>
          </w:rPr>
          <w:t>https://www.eea.europa.eu/publications/progress-of-eu-transport-sector-1</w:t>
        </w:r>
      </w:hyperlink>
    </w:p>
    <w:p w14:paraId="22BFA7A6" w14:textId="2339940A" w:rsidR="00623AF8" w:rsidRPr="00233EE5" w:rsidRDefault="00CC19B8" w:rsidP="00623AF8">
      <w:pPr>
        <w:jc w:val="both"/>
        <w:rPr>
          <w:rFonts w:ascii="Aptos" w:hAnsi="Aptos"/>
          <w:bCs/>
          <w:sz w:val="22"/>
          <w:szCs w:val="22"/>
          <w:lang w:val="en-GB"/>
        </w:rPr>
      </w:pPr>
      <w:r>
        <w:rPr>
          <w:rFonts w:ascii="Aptos" w:hAnsi="Aptos"/>
          <w:bCs/>
          <w:sz w:val="22"/>
          <w:szCs w:val="22"/>
          <w:lang w:val="en-GB"/>
        </w:rPr>
        <w:br w:type="textWrapping" w:clear="all"/>
      </w:r>
    </w:p>
    <w:p w14:paraId="2D8F4D51" w14:textId="77777777" w:rsidR="00623AF8" w:rsidRPr="00233EE5" w:rsidRDefault="00623AF8" w:rsidP="00623AF8">
      <w:pPr>
        <w:rPr>
          <w:lang w:val="en-GB"/>
        </w:rPr>
      </w:pPr>
    </w:p>
    <w:p w14:paraId="6D95F73D" w14:textId="77777777" w:rsidR="00623AF8" w:rsidRPr="00233EE5" w:rsidRDefault="00623AF8" w:rsidP="00623AF8">
      <w:pPr>
        <w:rPr>
          <w:lang w:val="en-GB"/>
        </w:rPr>
      </w:pPr>
    </w:p>
    <w:p w14:paraId="776F1D6F" w14:textId="77777777" w:rsidR="00623AF8" w:rsidRPr="00233EE5" w:rsidRDefault="00623AF8" w:rsidP="00623AF8">
      <w:pPr>
        <w:rPr>
          <w:lang w:val="en-GB"/>
        </w:rPr>
      </w:pPr>
    </w:p>
    <w:p w14:paraId="7CC911E6" w14:textId="77777777" w:rsidR="00623AF8" w:rsidRPr="00233EE5" w:rsidRDefault="00623AF8" w:rsidP="00623AF8">
      <w:pPr>
        <w:rPr>
          <w:lang w:val="en-GB"/>
        </w:rPr>
      </w:pPr>
    </w:p>
    <w:p w14:paraId="48C09805"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51" w:name="_Toc170378191"/>
      <w:bookmarkStart w:id="252" w:name="_Toc170983724"/>
      <w:r w:rsidRPr="00233EE5">
        <w:rPr>
          <w:rFonts w:ascii="Aptos" w:eastAsiaTheme="majorEastAsia" w:hAnsi="Aptos" w:cstheme="majorBidi"/>
          <w:b/>
          <w:color w:val="E4342D"/>
          <w:szCs w:val="32"/>
        </w:rPr>
        <w:t>Dekarbonisierung des Verkehrssystems – Lade- und Betankungsinfrastruktur</w:t>
      </w:r>
      <w:bookmarkEnd w:id="251"/>
      <w:bookmarkEnd w:id="252"/>
      <w:r w:rsidRPr="00233EE5">
        <w:rPr>
          <w:rFonts w:ascii="Aptos" w:eastAsiaTheme="majorEastAsia" w:hAnsi="Aptos" w:cstheme="majorBidi"/>
          <w:b/>
          <w:color w:val="E4342D"/>
          <w:szCs w:val="32"/>
        </w:rPr>
        <w:t xml:space="preserve"> </w:t>
      </w:r>
    </w:p>
    <w:p w14:paraId="1F94CE36"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64272ACF" w14:textId="77777777" w:rsidTr="00875DD0">
        <w:tc>
          <w:tcPr>
            <w:tcW w:w="9060" w:type="dxa"/>
            <w:shd w:val="clear" w:color="auto" w:fill="D9D9D9" w:themeFill="background1" w:themeFillShade="D9"/>
          </w:tcPr>
          <w:p w14:paraId="2AB7B1A7"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61475DE1" w14:textId="77777777" w:rsidTr="00875DD0">
        <w:tc>
          <w:tcPr>
            <w:tcW w:w="9060" w:type="dxa"/>
          </w:tcPr>
          <w:p w14:paraId="4DA22A8E" w14:textId="77777777" w:rsidR="00623AF8" w:rsidRPr="00233EE5" w:rsidRDefault="00623AF8" w:rsidP="00875DD0">
            <w:pPr>
              <w:spacing w:before="120" w:after="120"/>
              <w:jc w:val="both"/>
              <w:rPr>
                <w:rFonts w:ascii="Aptos" w:hAnsi="Aptos"/>
                <w:b/>
                <w:bCs/>
                <w:sz w:val="22"/>
                <w:szCs w:val="22"/>
              </w:rPr>
            </w:pPr>
            <w:r w:rsidRPr="00233EE5">
              <w:rPr>
                <w:rFonts w:ascii="Aptos" w:eastAsia="Arial MT" w:hAnsi="Aptos" w:cs="Arial MT"/>
                <w:color w:val="0D0D0D"/>
                <w:sz w:val="22"/>
                <w:szCs w:val="22"/>
              </w:rPr>
              <w:t xml:space="preserve">Der </w:t>
            </w:r>
            <w:r w:rsidRPr="00233EE5">
              <w:rPr>
                <w:rFonts w:ascii="Aptos" w:hAnsi="Aptos" w:cs="Segoe UI"/>
                <w:color w:val="0D0D0D"/>
                <w:sz w:val="22"/>
                <w:szCs w:val="22"/>
                <w:shd w:val="clear" w:color="auto" w:fill="FFFFFF"/>
              </w:rPr>
              <w:t>Verkehrssektor ist eine kritische Infrastruktur, ein wesentlicher Bestandteil des gesellschaftlichen Lebens und spielt eine Schlüsselrolle für den Wirtschaftsstandort Europa. Die EU hat sich zum Ziel gesetzt, die verkehrsbedingten Treibhausgasemissionen bis 2050 drastisch zu reduzieren. Derzeit verursacht der Verkehrssektor jedoch rund ein Viertel der gesamten Treibhausgasemissionen der EU. Um den Verkehr (Güter- und Personenverkehr) in Europa zu dekarbonisieren</w:t>
            </w:r>
            <w:r w:rsidRPr="00233EE5">
              <w:rPr>
                <w:rFonts w:ascii="Aptos" w:eastAsia="Arial MT" w:hAnsi="Aptos" w:cs="Arial MT"/>
                <w:color w:val="0D0D0D"/>
                <w:sz w:val="22"/>
                <w:szCs w:val="22"/>
              </w:rPr>
              <w:t xml:space="preserve">, ist der Aufbau einer funktionierenden und nachhaltigen Lade- und Betankungsinfrastruktur von entscheidender Bedeutung. Finanzielle Anreize spielen dabei eine wichtige Rolle, um Investitionen in diese Infrastruktur zu fördern und den Übergang zu emissionsarmen und emissionsfreien Verkehrsmitteln zu beschleunigen. </w:t>
            </w:r>
            <w:r w:rsidRPr="00233EE5">
              <w:rPr>
                <w:rFonts w:ascii="Aptos" w:eastAsia="Arial MT" w:hAnsi="Aptos" w:cs="Arial MT"/>
                <w:b/>
                <w:bCs/>
                <w:color w:val="0D0D0D"/>
                <w:sz w:val="22"/>
                <w:szCs w:val="22"/>
              </w:rPr>
              <w:t>Welche finanziellen Anreize planen Sie für den Aufbau einer funktionierenden und nachhaltigen Lade- und Betankungsinfrastruktur setzen, um den (Güter- und Personen-) Verkehr in Europa zu dekarbonisieren?</w:t>
            </w:r>
          </w:p>
        </w:tc>
      </w:tr>
      <w:tr w:rsidR="00623AF8" w:rsidRPr="00233EE5" w14:paraId="5A417A8C" w14:textId="77777777" w:rsidTr="00875DD0">
        <w:tc>
          <w:tcPr>
            <w:tcW w:w="9060" w:type="dxa"/>
            <w:shd w:val="clear" w:color="auto" w:fill="D9D9D9" w:themeFill="background1" w:themeFillShade="D9"/>
          </w:tcPr>
          <w:p w14:paraId="09E967D8"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1C35C276" w14:textId="77777777" w:rsidTr="00875DD0">
        <w:tc>
          <w:tcPr>
            <w:tcW w:w="9060" w:type="dxa"/>
          </w:tcPr>
          <w:p w14:paraId="1D0725BA"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Mit welchen weiteren EU-Programmen wollen Sie regionale Anbieter beim Aufbau von nachhaltiger Lade- und Betankungsinfrastruktur – auch für Busse und Kommunalfahrzeige – unterstützen?</w:t>
            </w:r>
          </w:p>
          <w:p w14:paraId="363F1462"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werden Sie sicherstellen, dass eine technologieoffene Lade- und Betankungsinfrastruktur im europäischen Verkehrssystem umgesetzt wird?</w:t>
            </w:r>
          </w:p>
          <w:p w14:paraId="2CFDB5D7" w14:textId="77777777" w:rsidR="00623AF8" w:rsidRPr="00233EE5" w:rsidRDefault="00623AF8" w:rsidP="00F63BE8">
            <w:pPr>
              <w:numPr>
                <w:ilvl w:val="0"/>
                <w:numId w:val="11"/>
              </w:numPr>
              <w:contextualSpacing/>
            </w:pPr>
            <w:r w:rsidRPr="00233EE5">
              <w:rPr>
                <w:rFonts w:ascii="Aptos" w:hAnsi="Aptos"/>
                <w:sz w:val="22"/>
                <w:szCs w:val="22"/>
              </w:rPr>
              <w:t>Welche Rolle spielt in Ihren Augen neben der konventionellen Lade- und Betankungsinfrastruktur die Elektrifizierung der Oberleitungstechnologie bei (O-)Bussen als Alternative?</w:t>
            </w:r>
          </w:p>
        </w:tc>
      </w:tr>
    </w:tbl>
    <w:p w14:paraId="5571FC09" w14:textId="77777777" w:rsidR="00623AF8" w:rsidRPr="00233EE5"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233EE5" w14:paraId="4FE87DB8" w14:textId="77777777" w:rsidTr="00875DD0">
        <w:trPr>
          <w:trHeight w:val="277"/>
        </w:trPr>
        <w:tc>
          <w:tcPr>
            <w:tcW w:w="9066" w:type="dxa"/>
            <w:shd w:val="clear" w:color="auto" w:fill="D9D9D9"/>
          </w:tcPr>
          <w:p w14:paraId="10DED6F0"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252BCF17"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Das Europäische Parlament hat im Juli 2023 die AFIR-Verordnung verabschiedet, die den verbindlichen Ausbau der Ladeinfrastruktur für Elektrofahrzeuge in Europa regelt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Der Rechtsakt sieht vor, dass bis 2026 entlang aller Hauptverkehrsstraßen in der EU alle 60 km öffentliche Ladestationen für Elektroautos zur Verfügung stehen müssen. Zusätzlich sollen bis 2028 alle 120 km Ladelösungen für Elektro-Lkw geschaffen werden. Ziel des Gesetzes ist es, den Ausbau, den Betrieb und die Dichte der Ladeinfrastruktur europaweit zu vereinheitlichen und damit mittel- und langfristige Klima- und Energieziele zu erreichen. Die Europäische Kommission fördert den Aufbau von Ladestationen, Wasserstofftankstellen und die Elektrifizierung von Flughäfen bereits mit 424 Millionen Euro für 42 neue Infrastrukturprojekte für alternative Kraftstoffe aus dem Infrastrukturfonds für alternative Kraftstoffe (2). Aus Sicht der Daseinsvorsorge ist dies jedoch zu wenig. Der weitere Ausbau der alternativen Lade- und Betankungsinfrastruktur ist ein wesentlicher Baustein für die grüne Verkehrswende und erfordert die notwendigen öffentlichen Mittel für Investition und Betrieb.</w:t>
      </w:r>
    </w:p>
    <w:p w14:paraId="1CB477A1" w14:textId="77777777" w:rsidR="00623AF8" w:rsidRPr="00233EE5" w:rsidRDefault="00623AF8" w:rsidP="00623AF8">
      <w:pPr>
        <w:jc w:val="both"/>
        <w:rPr>
          <w:rFonts w:ascii="Aptos" w:hAnsi="Aptos"/>
          <w:bCs/>
          <w:sz w:val="22"/>
          <w:szCs w:val="22"/>
        </w:rPr>
      </w:pPr>
    </w:p>
    <w:p w14:paraId="525E1FE6" w14:textId="77777777" w:rsidR="00623AF8" w:rsidRPr="00233EE5" w:rsidRDefault="00623AF8" w:rsidP="00F63BE8">
      <w:pPr>
        <w:numPr>
          <w:ilvl w:val="0"/>
          <w:numId w:val="22"/>
        </w:numPr>
        <w:contextualSpacing/>
        <w:rPr>
          <w:rFonts w:ascii="Aptos" w:hAnsi="Aptos"/>
          <w:sz w:val="18"/>
          <w:szCs w:val="18"/>
          <w:lang w:val="en-GB"/>
        </w:rPr>
      </w:pPr>
      <w:bookmarkStart w:id="253" w:name="_Hlk169697932"/>
      <w:r w:rsidRPr="00233EE5">
        <w:rPr>
          <w:rFonts w:ascii="Aptos" w:hAnsi="Aptos"/>
          <w:sz w:val="18"/>
          <w:szCs w:val="18"/>
          <w:lang w:val="en-GB"/>
        </w:rPr>
        <w:t>EU Commission 2023: Regulation on the development of alternative fuels infrastructure</w:t>
      </w:r>
    </w:p>
    <w:p w14:paraId="7FFA8E2C" w14:textId="77777777" w:rsidR="00623AF8" w:rsidRPr="00233EE5" w:rsidRDefault="00AC460E" w:rsidP="00623AF8">
      <w:pPr>
        <w:ind w:firstLine="360"/>
        <w:jc w:val="both"/>
        <w:rPr>
          <w:rFonts w:ascii="Aptos" w:hAnsi="Aptos"/>
          <w:sz w:val="18"/>
          <w:szCs w:val="18"/>
          <w:lang w:val="en-GB"/>
        </w:rPr>
      </w:pPr>
      <w:hyperlink r:id="rId34" w:history="1">
        <w:r w:rsidR="00623AF8" w:rsidRPr="00233EE5">
          <w:rPr>
            <w:rFonts w:ascii="Aptos" w:hAnsi="Aptos"/>
            <w:color w:val="0000FF"/>
            <w:sz w:val="18"/>
            <w:szCs w:val="18"/>
            <w:u w:val="single"/>
            <w:lang w:val="en-GB"/>
          </w:rPr>
          <w:t>https://eur-lex.europa.eu/legal-content/EN/TXT/PDF/?uri=CELEX:32023R1804</w:t>
        </w:r>
      </w:hyperlink>
    </w:p>
    <w:bookmarkEnd w:id="253"/>
    <w:p w14:paraId="4A2D2319" w14:textId="77777777" w:rsidR="00623AF8" w:rsidRPr="00233EE5" w:rsidRDefault="00623AF8" w:rsidP="00623AF8">
      <w:pPr>
        <w:ind w:firstLine="360"/>
        <w:jc w:val="both"/>
        <w:rPr>
          <w:rFonts w:ascii="Aptos" w:hAnsi="Aptos"/>
          <w:sz w:val="18"/>
          <w:szCs w:val="18"/>
          <w:lang w:val="en-GB"/>
        </w:rPr>
      </w:pPr>
    </w:p>
    <w:p w14:paraId="40A84C53" w14:textId="77777777" w:rsidR="00623AF8" w:rsidRPr="00233EE5" w:rsidRDefault="00623AF8" w:rsidP="00F63BE8">
      <w:pPr>
        <w:numPr>
          <w:ilvl w:val="0"/>
          <w:numId w:val="22"/>
        </w:numPr>
        <w:contextualSpacing/>
        <w:rPr>
          <w:rFonts w:ascii="Aptos" w:hAnsi="Aptos"/>
          <w:sz w:val="18"/>
          <w:szCs w:val="18"/>
          <w:lang w:val="en-GB"/>
        </w:rPr>
      </w:pPr>
      <w:r w:rsidRPr="00233EE5">
        <w:rPr>
          <w:rFonts w:ascii="Aptos" w:hAnsi="Aptos"/>
          <w:sz w:val="18"/>
          <w:szCs w:val="18"/>
          <w:lang w:val="en-GB"/>
        </w:rPr>
        <w:t>EU Commission 2024: Alternative Fuels Infrastructure Facility (AFIF)</w:t>
      </w:r>
    </w:p>
    <w:p w14:paraId="1384E89E" w14:textId="77777777" w:rsidR="00623AF8" w:rsidRPr="00233EE5" w:rsidRDefault="00AC460E" w:rsidP="00623AF8">
      <w:pPr>
        <w:ind w:left="360"/>
        <w:jc w:val="both"/>
        <w:rPr>
          <w:rFonts w:ascii="Aptos" w:hAnsi="Aptos"/>
          <w:sz w:val="18"/>
          <w:szCs w:val="18"/>
          <w:lang w:val="en-GB"/>
        </w:rPr>
      </w:pPr>
      <w:hyperlink r:id="rId35" w:history="1">
        <w:r w:rsidR="00623AF8" w:rsidRPr="00233EE5">
          <w:rPr>
            <w:rFonts w:ascii="Aptos" w:hAnsi="Aptos"/>
            <w:color w:val="0000FF"/>
            <w:sz w:val="18"/>
            <w:szCs w:val="18"/>
            <w:u w:val="single"/>
            <w:lang w:val="en-GB"/>
          </w:rPr>
          <w:t>https://cinea.ec.europa.eu/funding-opportunities/calls-proposals/cef-transport-alternative-fuels-infrastructure-facility-afif-call-proposal_en</w:t>
        </w:r>
      </w:hyperlink>
    </w:p>
    <w:p w14:paraId="6CDCAE6B" w14:textId="77777777" w:rsidR="00623AF8" w:rsidRPr="00233EE5" w:rsidRDefault="00623AF8" w:rsidP="00623AF8">
      <w:pPr>
        <w:ind w:firstLine="360"/>
        <w:jc w:val="both"/>
        <w:rPr>
          <w:sz w:val="18"/>
          <w:szCs w:val="18"/>
          <w:lang w:val="en-GB"/>
        </w:rPr>
      </w:pPr>
    </w:p>
    <w:p w14:paraId="7F1AB6FA" w14:textId="77777777" w:rsidR="00623AF8" w:rsidRPr="00233EE5" w:rsidRDefault="00623AF8" w:rsidP="00623AF8">
      <w:pPr>
        <w:rPr>
          <w:lang w:val="en-GB"/>
        </w:rPr>
      </w:pPr>
    </w:p>
    <w:p w14:paraId="3EEA8F07"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54" w:name="_Toc170378192"/>
      <w:bookmarkStart w:id="255" w:name="_Toc170983725"/>
      <w:r w:rsidRPr="00233EE5">
        <w:rPr>
          <w:rFonts w:ascii="Aptos" w:eastAsiaTheme="majorEastAsia" w:hAnsi="Aptos" w:cstheme="majorBidi"/>
          <w:b/>
          <w:color w:val="E4342D"/>
          <w:szCs w:val="32"/>
        </w:rPr>
        <w:t>Dekarbonisierung des Verkehrssystems – Technologieoffenheit</w:t>
      </w:r>
      <w:bookmarkEnd w:id="254"/>
      <w:bookmarkEnd w:id="255"/>
    </w:p>
    <w:p w14:paraId="477DE346"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578E2E63" w14:textId="77777777" w:rsidTr="00875DD0">
        <w:tc>
          <w:tcPr>
            <w:tcW w:w="9060" w:type="dxa"/>
            <w:shd w:val="clear" w:color="auto" w:fill="D9D9D9" w:themeFill="background1" w:themeFillShade="D9"/>
          </w:tcPr>
          <w:p w14:paraId="4384C534"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18B8426A" w14:textId="77777777" w:rsidTr="00875DD0">
        <w:tc>
          <w:tcPr>
            <w:tcW w:w="9060" w:type="dxa"/>
          </w:tcPr>
          <w:p w14:paraId="04966549" w14:textId="77777777" w:rsidR="00623AF8" w:rsidRPr="00233EE5" w:rsidRDefault="00623AF8" w:rsidP="00875DD0">
            <w:pPr>
              <w:spacing w:before="120" w:after="120"/>
              <w:jc w:val="both"/>
              <w:rPr>
                <w:rFonts w:ascii="Aptos" w:hAnsi="Aptos"/>
                <w:b/>
                <w:bCs/>
                <w:sz w:val="22"/>
                <w:szCs w:val="22"/>
              </w:rPr>
            </w:pPr>
            <w:r w:rsidRPr="00233EE5">
              <w:rPr>
                <w:rFonts w:ascii="Aptos" w:hAnsi="Aptos" w:cs="Open Sans"/>
                <w:sz w:val="22"/>
                <w:szCs w:val="22"/>
              </w:rPr>
              <w:t xml:space="preserve">Die Gesellschaft ist in vielerlei Hinsicht darauf angewiesen, dass Personen und Güter wirtschaftlich und effizient von einem Ort zum anderen befördert werden. Der Verkehrssektor ist ein wesentlicher Bestandteil unserer Lebensweise und spielt eine Schlüsselrolle für den Wirtschaftsstandort Europa. Derzeit ist er jedoch von fossilen Brennstoffen abhängig und belastet Umwelt und Klima erheblich. Die EU hat sich zum Ziel gesetzt, die verkehrsbedingten Treibhausgasemissionen bis 2050 um 90 % gegenüber 1990 zu reduzieren. Derzeit verursacht der Verkehrssektor jedoch rund ein Viertel der gesamten Treibhausgasemissionen der EU. </w:t>
            </w:r>
            <w:r w:rsidRPr="00233EE5">
              <w:rPr>
                <w:rFonts w:ascii="Aptos" w:hAnsi="Aptos" w:cs="Open Sans"/>
                <w:b/>
                <w:bCs/>
                <w:sz w:val="22"/>
                <w:szCs w:val="22"/>
              </w:rPr>
              <w:t>Welche finanziellen Anreize wollen Sie für nachhaltige Antriebssysteme setzen und welche Rolle spielt dabei die Technologieoffenheit, um den (Güter- und Personen-) Verkehr in Europa zu dekarbonisieren?</w:t>
            </w:r>
          </w:p>
        </w:tc>
      </w:tr>
      <w:tr w:rsidR="00623AF8" w:rsidRPr="00233EE5" w14:paraId="6659F734" w14:textId="77777777" w:rsidTr="00875DD0">
        <w:tc>
          <w:tcPr>
            <w:tcW w:w="9060" w:type="dxa"/>
            <w:shd w:val="clear" w:color="auto" w:fill="D9D9D9" w:themeFill="background1" w:themeFillShade="D9"/>
          </w:tcPr>
          <w:p w14:paraId="6FD8AC61"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6DF5822B" w14:textId="77777777" w:rsidTr="00875DD0">
        <w:tc>
          <w:tcPr>
            <w:tcW w:w="9060" w:type="dxa"/>
          </w:tcPr>
          <w:p w14:paraId="246D6A5F"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möchten Sie sicherzustellen, dass alternative Antriebssysteme auch in topografisch schwierigen Gebieten effektiv funktionieren können, und gibt es Überlegungen, je nach Einsatzgebiet Ausnahmen bei der Wahl des Antriebssystems zu machen?</w:t>
            </w:r>
          </w:p>
          <w:p w14:paraId="1496883E"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sieht der Zeitplan für ein Verbot von konventionellen Verbrennungsmotoren aus und welche Steuerungsmaßnahmen werden eingeleitet, um den Zeitplan einzuhalten?</w:t>
            </w:r>
          </w:p>
        </w:tc>
      </w:tr>
    </w:tbl>
    <w:p w14:paraId="7E8FAF0B"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1DC3C5A9" w14:textId="77777777" w:rsidTr="00875DD0">
        <w:trPr>
          <w:trHeight w:val="277"/>
        </w:trPr>
        <w:tc>
          <w:tcPr>
            <w:tcW w:w="9066" w:type="dxa"/>
            <w:shd w:val="clear" w:color="auto" w:fill="D9D9D9"/>
          </w:tcPr>
          <w:p w14:paraId="693B29E9"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7A829B17"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Der Verkehrssektor ist für etwa ein Viertel der gesamten CO</w:t>
      </w:r>
      <w:r w:rsidRPr="00233EE5">
        <w:rPr>
          <w:rFonts w:ascii="Aptos" w:eastAsia="Arial MT" w:hAnsi="Aptos" w:cs="Arial MT"/>
          <w:color w:val="0D0D0D"/>
          <w:sz w:val="22"/>
          <w:szCs w:val="22"/>
          <w:vertAlign w:val="subscript"/>
        </w:rPr>
        <w:t>2</w:t>
      </w:r>
      <w:r w:rsidRPr="00233EE5">
        <w:rPr>
          <w:rFonts w:ascii="Aptos" w:eastAsia="Arial MT" w:hAnsi="Aptos" w:cs="Arial MT"/>
          <w:color w:val="0D0D0D"/>
          <w:sz w:val="22"/>
          <w:szCs w:val="22"/>
        </w:rPr>
        <w:t xml:space="preserve">-Emissionen in der EU verantwortlich. Technologieoffenheit ist eine wesentliche Voraussetzung für die Dekarbonisierung des Verkehrssystems (Güter- und Personenverkehr) in der EU. Technologieoffenheit sollte jedoch nicht als Selbstzweck verstanden werden, sondern lediglich die optimale Ausgestaltung von Technologieoptionen ermöglichen. Bei der Auswahl einer Technologie muss eine objektive Entscheidung auf Basis der tatsächlich benötigten Kapazitäten und Fähigkeiten eines Flottensystems getroffen werden. Dabei sind die Total Costs of Ownership einschließlich der Energie- und Energieinfrastrukturkosten zu berücksichtigen und zu analysieren. Förderprogramme sollten an eine objektive Analyse und fundierte Auswahl der Technologie geknüpft sein und die Kosten dieser Analysen übernehmen. Es gibt Technologien, die in bestimmten Situationen nicht notwendig oder effizient sind. Ein Beispiel hierfür ist die Zillertalbahn, bei der durch eine gründliche Analyse Pfadabhängigkeiten vermieden werden konnten (Wasserstoff versus Batterieantrieb für die Bahn) </w:t>
      </w:r>
      <w:r w:rsidRPr="00233EE5">
        <w:rPr>
          <w:rFonts w:ascii="Aptos" w:eastAsia="Arial MT" w:hAnsi="Aptos" w:cs="Arial MT"/>
          <w:color w:val="0D0D0D"/>
          <w:sz w:val="22"/>
          <w:szCs w:val="22"/>
          <w:vertAlign w:val="subscript"/>
        </w:rPr>
        <w:t xml:space="preserve">(1) </w:t>
      </w:r>
      <w:r w:rsidRPr="00233EE5">
        <w:rPr>
          <w:rFonts w:ascii="Aptos" w:eastAsia="Arial MT" w:hAnsi="Aptos" w:cs="Arial MT"/>
          <w:color w:val="0D0D0D"/>
          <w:sz w:val="22"/>
          <w:szCs w:val="22"/>
        </w:rPr>
        <w:t>. Besondere Herausforderungen ergeben sich in topografisch schwierigen Gebieten, wie sie in Österreich häufig anzutreffen sind. Die Fahrzeuge müssen in der Lage sein, steile Anstiege und extreme Witterungsbedingungen zu bewältigen. Hier könnte der Einsatz von Hybridsystemen, die Elektro- und Verbrennungsmotor kombinieren, eine effiziente Lösung darstellen. Aus Perspektive der Daseinsvorsorge ist es wichtig, dass die EU-Politik und die EU-Förderprogramme sowohl im Güter- als auch im Personenverkehr nach dem Prinzip der Technologieoffenheit entwickelt werden.</w:t>
      </w:r>
    </w:p>
    <w:p w14:paraId="7F84B21E" w14:textId="77777777" w:rsidR="00623AF8" w:rsidRPr="00233EE5" w:rsidRDefault="00623AF8" w:rsidP="00623AF8">
      <w:pPr>
        <w:jc w:val="both"/>
        <w:rPr>
          <w:rFonts w:ascii="Aptos" w:eastAsia="Arial MT" w:hAnsi="Aptos" w:cs="Arial MT"/>
          <w:color w:val="0D0D0D"/>
          <w:sz w:val="22"/>
          <w:szCs w:val="22"/>
        </w:rPr>
      </w:pPr>
    </w:p>
    <w:p w14:paraId="20B23757" w14:textId="77777777" w:rsidR="00623AF8" w:rsidRPr="00233EE5" w:rsidRDefault="00623AF8" w:rsidP="00F63BE8">
      <w:pPr>
        <w:numPr>
          <w:ilvl w:val="0"/>
          <w:numId w:val="23"/>
        </w:numPr>
        <w:contextualSpacing/>
        <w:rPr>
          <w:rFonts w:ascii="Aptos" w:hAnsi="Aptos"/>
          <w:sz w:val="18"/>
          <w:szCs w:val="18"/>
        </w:rPr>
      </w:pPr>
      <w:r w:rsidRPr="00233EE5">
        <w:rPr>
          <w:rFonts w:ascii="Aptos" w:hAnsi="Aptos"/>
          <w:sz w:val="18"/>
          <w:szCs w:val="18"/>
        </w:rPr>
        <w:t>Green Energy Center 2024: Expertenstreit zum Projekt „Zillertalbahn 2020+“</w:t>
      </w:r>
    </w:p>
    <w:p w14:paraId="7001C39E" w14:textId="77777777" w:rsidR="00623AF8" w:rsidRPr="00233EE5" w:rsidRDefault="00AC460E" w:rsidP="00623AF8">
      <w:pPr>
        <w:ind w:firstLine="360"/>
        <w:jc w:val="both"/>
        <w:rPr>
          <w:rFonts w:ascii="Aptos" w:hAnsi="Aptos"/>
          <w:sz w:val="18"/>
          <w:szCs w:val="18"/>
        </w:rPr>
      </w:pPr>
      <w:hyperlink r:id="rId36" w:history="1">
        <w:r w:rsidR="00623AF8" w:rsidRPr="00233EE5">
          <w:rPr>
            <w:rFonts w:ascii="Aptos" w:hAnsi="Aptos"/>
            <w:color w:val="0000FF"/>
            <w:sz w:val="18"/>
            <w:szCs w:val="18"/>
            <w:u w:val="single"/>
          </w:rPr>
          <w:t>https://www.green-energy-center.com/infos/54918/</w:t>
        </w:r>
      </w:hyperlink>
    </w:p>
    <w:p w14:paraId="231C4987" w14:textId="77777777" w:rsidR="00623AF8" w:rsidRDefault="00623AF8" w:rsidP="00623AF8">
      <w:pPr>
        <w:spacing w:after="120"/>
        <w:jc w:val="both"/>
        <w:outlineLvl w:val="0"/>
        <w:rPr>
          <w:rFonts w:ascii="Aptos" w:eastAsiaTheme="majorEastAsia" w:hAnsi="Aptos" w:cstheme="majorBidi"/>
          <w:b/>
          <w:color w:val="E4342D"/>
          <w:szCs w:val="32"/>
        </w:rPr>
      </w:pPr>
      <w:bookmarkStart w:id="256" w:name="_Toc170378193"/>
    </w:p>
    <w:p w14:paraId="0F3D7B3D"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57" w:name="_Toc170983726"/>
      <w:r w:rsidRPr="00233EE5">
        <w:rPr>
          <w:rFonts w:ascii="Aptos" w:eastAsiaTheme="majorEastAsia" w:hAnsi="Aptos" w:cstheme="majorBidi"/>
          <w:b/>
          <w:color w:val="E4342D"/>
          <w:szCs w:val="32"/>
        </w:rPr>
        <w:lastRenderedPageBreak/>
        <w:t>Digitale Infrastruktur</w:t>
      </w:r>
      <w:bookmarkEnd w:id="256"/>
      <w:bookmarkEnd w:id="257"/>
    </w:p>
    <w:p w14:paraId="44AD99AB"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6AF3AA15" w14:textId="77777777" w:rsidTr="00875DD0">
        <w:tc>
          <w:tcPr>
            <w:tcW w:w="9060" w:type="dxa"/>
            <w:shd w:val="clear" w:color="auto" w:fill="D9D9D9" w:themeFill="background1" w:themeFillShade="D9"/>
          </w:tcPr>
          <w:p w14:paraId="52ED0C09"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04A07EA7" w14:textId="77777777" w:rsidTr="00875DD0">
        <w:tc>
          <w:tcPr>
            <w:tcW w:w="9060" w:type="dxa"/>
          </w:tcPr>
          <w:p w14:paraId="20D0C84A" w14:textId="77777777" w:rsidR="00623AF8" w:rsidRPr="00233EE5" w:rsidRDefault="00623AF8" w:rsidP="00875DD0">
            <w:pPr>
              <w:spacing w:before="120" w:after="120"/>
              <w:jc w:val="both"/>
              <w:rPr>
                <w:rFonts w:ascii="Aptos" w:hAnsi="Aptos"/>
                <w:b/>
                <w:bCs/>
                <w:sz w:val="22"/>
                <w:szCs w:val="22"/>
              </w:rPr>
            </w:pPr>
            <w:r w:rsidRPr="00233EE5">
              <w:rPr>
                <w:rFonts w:ascii="Aptos" w:hAnsi="Aptos"/>
                <w:sz w:val="22"/>
                <w:szCs w:val="22"/>
              </w:rPr>
              <w:t>Die Europäische Union steht vor der Herausforderung, ihren Schienenverkehrssektor zu stärken, um effiziente, nachhaltige und zuverlässige Verkehrslösungen zu fördern. Angesichts der wachsenden Bedeutung des Schienenverkehrs für die Erreichung umwelt- und klimapolitischer Ziele spielen digitale Technologien eine S</w:t>
            </w:r>
            <w:r w:rsidRPr="00233EE5">
              <w:t>chlüsselrolle</w:t>
            </w:r>
            <w:r w:rsidRPr="00233EE5">
              <w:rPr>
                <w:rFonts w:ascii="Aptos" w:hAnsi="Aptos"/>
                <w:sz w:val="22"/>
                <w:szCs w:val="22"/>
              </w:rPr>
              <w:t xml:space="preserve">. Diese Technologien bieten innovative Lösungen zur Optimierung der Infrastruktur, zur Verbesserung der Betriebsabläufe und zur Steigerung der Kundenzufriedenheit, die den Schienenverkehr in Europa als Rückgrat des transeuropäischen Verkehrsnetzes weiter stärken können. </w:t>
            </w:r>
            <w:r w:rsidRPr="00233EE5">
              <w:rPr>
                <w:rFonts w:ascii="Aptos" w:hAnsi="Aptos"/>
                <w:b/>
                <w:bCs/>
                <w:sz w:val="22"/>
                <w:szCs w:val="22"/>
              </w:rPr>
              <w:t>Welche Bedeutung haben aus Ihrer Sicht digitale Technologien in der Infrastruktur, insbesondere Digitale Automatisierte Kupplungen, für die Stärkung des Schienenverkehrs in Europa?</w:t>
            </w:r>
          </w:p>
        </w:tc>
      </w:tr>
      <w:tr w:rsidR="00623AF8" w:rsidRPr="00233EE5" w14:paraId="2FFC192E" w14:textId="77777777" w:rsidTr="00875DD0">
        <w:tc>
          <w:tcPr>
            <w:tcW w:w="9060" w:type="dxa"/>
            <w:shd w:val="clear" w:color="auto" w:fill="D9D9D9" w:themeFill="background1" w:themeFillShade="D9"/>
          </w:tcPr>
          <w:p w14:paraId="1C276FE3"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2CB52462" w14:textId="77777777" w:rsidTr="00875DD0">
        <w:tc>
          <w:tcPr>
            <w:tcW w:w="9060" w:type="dxa"/>
          </w:tcPr>
          <w:p w14:paraId="755EB8A6"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Welche EU-Programme sind konkret zur Förderung der digitalen Infrastruktur geplant?</w:t>
            </w:r>
          </w:p>
          <w:p w14:paraId="4DDEA852"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Inwieweit spielt die Digitale Automatische Kupplung (DAK) in Ihren Überlegungen eine Rolle? </w:t>
            </w:r>
          </w:p>
          <w:p w14:paraId="71EC40E8"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Sind neue Förderprogramme oder Finanzierungsinstrumente geplant, um die Digitale Automatische Kupplung flächendeckend auszurollen?</w:t>
            </w:r>
          </w:p>
          <w:p w14:paraId="0F82EC6F"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beabsichtigen Sie, die Digitale Automatische Kupplung zum europäischen Standard zu machen?</w:t>
            </w:r>
          </w:p>
        </w:tc>
      </w:tr>
    </w:tbl>
    <w:p w14:paraId="3C419712"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25836EE4" w14:textId="77777777" w:rsidTr="00875DD0">
        <w:trPr>
          <w:trHeight w:val="277"/>
        </w:trPr>
        <w:tc>
          <w:tcPr>
            <w:tcW w:w="9066" w:type="dxa"/>
            <w:shd w:val="clear" w:color="auto" w:fill="D9D9D9"/>
          </w:tcPr>
          <w:p w14:paraId="3B4D74B7"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3E41F593"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Die Einführung digitaler Technologien in die Infrastruktur, wie z.B. die Digitale Automatische Kupplung (DAK), hat das Potenzial, den Schienengüterverkehr in Europa grundlegend zu verbessern. Die DAK ermöglicht das automatische mechanische Kuppeln und Verbinden von Luft-, Strom- und Datenleitungen, was bisher manuell erfolgte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xml:space="preserve"> . Die Technologie ist somit ein zentraler Baustein für die Automatisierung und Digitalisierung von Bahnbetriebsprozessen. Um diese Innovation erfolgreich umzusetzen, bedarf es eines starken europäischen Engagements und einer ausreichenden finanziellen Unterstützung für die transnationale Umsetzung. Eine große Herausforderung stellt in diesem Zusammenhang insbesondere die Implementierung von DAK in die veraltete Fahrzeugflotte dar, deren Modernisierung häufig technisch und wirtschaftlich nicht sinnvoll ist. Analog zur physischen Infrastruktur ist auch bei der Dateninfrastruktur eine vielschichtige und verzahnte Zusammenarbeit erforderlich. Zu den digitalen Infrastrukturen gehören der Mobilitätsdatenraum </w:t>
      </w:r>
      <w:r w:rsidRPr="00233EE5">
        <w:rPr>
          <w:rFonts w:ascii="Aptos" w:eastAsia="Arial MT" w:hAnsi="Aptos" w:cs="Arial MT"/>
          <w:color w:val="0D0D0D"/>
          <w:sz w:val="22"/>
          <w:szCs w:val="22"/>
          <w:vertAlign w:val="subscript"/>
        </w:rPr>
        <w:t xml:space="preserve">(1) </w:t>
      </w:r>
      <w:r w:rsidRPr="00233EE5">
        <w:rPr>
          <w:rFonts w:ascii="Aptos" w:eastAsia="Arial MT" w:hAnsi="Aptos" w:cs="Arial MT"/>
          <w:color w:val="0D0D0D"/>
          <w:sz w:val="22"/>
          <w:szCs w:val="22"/>
        </w:rPr>
        <w:t>und das Europäische Eisenbahnverkehrsleitsystem (ERTMS). Der Mobilitätsdatenraum stellt umfassende Mobilitätsdaten zur Verfügung, während ERTMS die Interoperabilität der nationalen Eisenbahnsysteme sicherstellt. Diese Systeme tragen dazu bei, die Zuggeschwindigkeiten zu erhöhen, die Netzkapazität zu steigern und die Sicherheit des Schienenverkehrs zu verbessern. Aus Perspektive der Daseinsvorsorge ist der Aufbau einer Dateninfrastruktur durch die EU bzw. die Mitgliedstaaten eine wichtige Voraussetzung, aber auch Förderprogramme, die Kommunen, Länder, Verkehrsverbünde und Verkehrsunternehmen in die Lage versetzen, ihre Systeme anzupassen und qualitativ hochwertige Daten zu generieren.</w:t>
      </w:r>
    </w:p>
    <w:p w14:paraId="0376CC97" w14:textId="77777777" w:rsidR="00623AF8" w:rsidRPr="00233EE5" w:rsidRDefault="00623AF8" w:rsidP="00623AF8">
      <w:pPr>
        <w:jc w:val="both"/>
        <w:rPr>
          <w:rFonts w:ascii="Aptos" w:eastAsia="Arial MT" w:hAnsi="Aptos" w:cs="Arial MT"/>
          <w:color w:val="0D0D0D"/>
          <w:sz w:val="22"/>
          <w:szCs w:val="22"/>
        </w:rPr>
      </w:pPr>
    </w:p>
    <w:p w14:paraId="7F937B91" w14:textId="77777777" w:rsidR="00623AF8" w:rsidRPr="00233EE5" w:rsidRDefault="00623AF8" w:rsidP="00F63BE8">
      <w:pPr>
        <w:numPr>
          <w:ilvl w:val="0"/>
          <w:numId w:val="24"/>
        </w:numPr>
        <w:contextualSpacing/>
        <w:rPr>
          <w:rFonts w:ascii="Aptos" w:hAnsi="Aptos"/>
          <w:sz w:val="18"/>
          <w:szCs w:val="18"/>
        </w:rPr>
      </w:pPr>
      <w:r w:rsidRPr="00233EE5">
        <w:rPr>
          <w:rFonts w:ascii="Aptos" w:hAnsi="Aptos"/>
          <w:sz w:val="18"/>
          <w:szCs w:val="18"/>
        </w:rPr>
        <w:t>ÖBB 2024: Die Digitale Automatische Kupplung (DAK) Expertenstreit zum Projekt „Zillertalbahn 2020+“</w:t>
      </w:r>
    </w:p>
    <w:p w14:paraId="57F86B27" w14:textId="77777777" w:rsidR="00623AF8" w:rsidRPr="00233EE5" w:rsidRDefault="00AC460E" w:rsidP="00623AF8">
      <w:pPr>
        <w:ind w:firstLine="360"/>
        <w:jc w:val="both"/>
        <w:rPr>
          <w:rFonts w:ascii="Aptos" w:hAnsi="Aptos"/>
          <w:sz w:val="18"/>
          <w:szCs w:val="18"/>
        </w:rPr>
      </w:pPr>
      <w:hyperlink r:id="rId37" w:history="1">
        <w:r w:rsidR="00623AF8" w:rsidRPr="00233EE5">
          <w:rPr>
            <w:rFonts w:ascii="Aptos" w:hAnsi="Aptos"/>
            <w:color w:val="0000FF"/>
            <w:sz w:val="18"/>
            <w:szCs w:val="18"/>
            <w:u w:val="single"/>
          </w:rPr>
          <w:t>https://www.unsereoebb.at/de/dak-22</w:t>
        </w:r>
      </w:hyperlink>
    </w:p>
    <w:p w14:paraId="70338C35" w14:textId="77777777" w:rsidR="00623AF8" w:rsidRPr="00233EE5" w:rsidRDefault="00623AF8" w:rsidP="00623AF8">
      <w:pPr>
        <w:ind w:firstLine="360"/>
        <w:jc w:val="both"/>
        <w:rPr>
          <w:rFonts w:ascii="Aptos" w:hAnsi="Aptos"/>
          <w:sz w:val="18"/>
          <w:szCs w:val="18"/>
        </w:rPr>
      </w:pPr>
    </w:p>
    <w:p w14:paraId="0496D3AE" w14:textId="77777777" w:rsidR="00623AF8" w:rsidRPr="00233EE5" w:rsidRDefault="00623AF8" w:rsidP="00F63BE8">
      <w:pPr>
        <w:numPr>
          <w:ilvl w:val="0"/>
          <w:numId w:val="24"/>
        </w:numPr>
        <w:contextualSpacing/>
        <w:rPr>
          <w:rFonts w:ascii="Aptos" w:hAnsi="Aptos"/>
          <w:sz w:val="18"/>
          <w:szCs w:val="18"/>
        </w:rPr>
      </w:pPr>
      <w:r w:rsidRPr="00233EE5">
        <w:rPr>
          <w:rFonts w:ascii="Aptos" w:hAnsi="Aptos"/>
          <w:sz w:val="18"/>
          <w:szCs w:val="18"/>
        </w:rPr>
        <w:t xml:space="preserve">European Commission 2023: Schaffung eines gemeinsamen europäischen Mobilitätsdatenraum (Mitteilung) </w:t>
      </w:r>
    </w:p>
    <w:p w14:paraId="29436898" w14:textId="77777777" w:rsidR="00623AF8" w:rsidRDefault="00AC460E" w:rsidP="00623AF8">
      <w:pPr>
        <w:ind w:left="360"/>
        <w:jc w:val="both"/>
        <w:rPr>
          <w:rFonts w:ascii="Aptos" w:hAnsi="Aptos"/>
          <w:color w:val="0000FF"/>
          <w:sz w:val="18"/>
          <w:szCs w:val="18"/>
          <w:u w:val="single"/>
        </w:rPr>
      </w:pPr>
      <w:hyperlink r:id="rId38" w:history="1">
        <w:r w:rsidR="00623AF8" w:rsidRPr="00233EE5">
          <w:rPr>
            <w:rFonts w:ascii="Aptos" w:hAnsi="Aptos"/>
            <w:color w:val="0000FF"/>
            <w:sz w:val="18"/>
            <w:szCs w:val="18"/>
            <w:u w:val="single"/>
          </w:rPr>
          <w:t>https://ec.europa.eu/info/law/better-regulation/have-your-say/initiatives/13566-Transport-data-creating-a-common-European-mobility-data-space-communication-_en</w:t>
        </w:r>
      </w:hyperlink>
    </w:p>
    <w:p w14:paraId="732B7B1B" w14:textId="77777777" w:rsidR="001C3931" w:rsidRPr="00233EE5" w:rsidRDefault="001C3931" w:rsidP="00623AF8">
      <w:pPr>
        <w:ind w:left="360"/>
        <w:jc w:val="both"/>
        <w:rPr>
          <w:rFonts w:ascii="Aptos" w:hAnsi="Aptos"/>
          <w:sz w:val="18"/>
          <w:szCs w:val="18"/>
        </w:rPr>
      </w:pPr>
    </w:p>
    <w:p w14:paraId="7F5C7B7E" w14:textId="661EAE1F" w:rsidR="00623AF8" w:rsidRPr="001C3931" w:rsidRDefault="00623AF8" w:rsidP="001C3931">
      <w:pPr>
        <w:spacing w:after="120"/>
        <w:jc w:val="both"/>
        <w:outlineLvl w:val="0"/>
        <w:rPr>
          <w:rFonts w:ascii="Aptos" w:eastAsiaTheme="majorEastAsia" w:hAnsi="Aptos" w:cstheme="majorBidi"/>
          <w:b/>
          <w:color w:val="E4342D"/>
          <w:szCs w:val="32"/>
        </w:rPr>
      </w:pPr>
      <w:bookmarkStart w:id="258" w:name="_Toc170378194"/>
      <w:bookmarkStart w:id="259" w:name="_Toc170983727"/>
      <w:r w:rsidRPr="00233EE5">
        <w:rPr>
          <w:rFonts w:ascii="Aptos" w:eastAsiaTheme="majorEastAsia" w:hAnsi="Aptos" w:cstheme="majorBidi"/>
          <w:b/>
          <w:color w:val="E4342D"/>
          <w:szCs w:val="32"/>
        </w:rPr>
        <w:lastRenderedPageBreak/>
        <w:t>Stärkung des Einzelwagenverkehrs</w:t>
      </w:r>
      <w:bookmarkEnd w:id="258"/>
      <w:bookmarkEnd w:id="259"/>
    </w:p>
    <w:tbl>
      <w:tblPr>
        <w:tblStyle w:val="Tabellenraster"/>
        <w:tblW w:w="0" w:type="auto"/>
        <w:tblLook w:val="04A0" w:firstRow="1" w:lastRow="0" w:firstColumn="1" w:lastColumn="0" w:noHBand="0" w:noVBand="1"/>
      </w:tblPr>
      <w:tblGrid>
        <w:gridCol w:w="9060"/>
      </w:tblGrid>
      <w:tr w:rsidR="00623AF8" w:rsidRPr="00233EE5" w14:paraId="3CC9764B" w14:textId="77777777" w:rsidTr="00875DD0">
        <w:tc>
          <w:tcPr>
            <w:tcW w:w="9060" w:type="dxa"/>
            <w:shd w:val="clear" w:color="auto" w:fill="D9D9D9" w:themeFill="background1" w:themeFillShade="D9"/>
          </w:tcPr>
          <w:p w14:paraId="19FA9241"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0774B3EF" w14:textId="77777777" w:rsidTr="00875DD0">
        <w:tc>
          <w:tcPr>
            <w:tcW w:w="9060" w:type="dxa"/>
          </w:tcPr>
          <w:p w14:paraId="17CBFB4F" w14:textId="77777777" w:rsidR="00623AF8" w:rsidRPr="00233EE5" w:rsidRDefault="00623AF8" w:rsidP="00875DD0">
            <w:pPr>
              <w:spacing w:before="120" w:after="120"/>
              <w:jc w:val="both"/>
              <w:rPr>
                <w:rFonts w:ascii="Aptos" w:hAnsi="Aptos"/>
                <w:b/>
                <w:bCs/>
                <w:sz w:val="22"/>
                <w:szCs w:val="22"/>
                <w:lang w:val="de-DE"/>
              </w:rPr>
            </w:pPr>
            <w:r w:rsidRPr="00233EE5">
              <w:rPr>
                <w:rFonts w:ascii="Aptos" w:hAnsi="Aptos"/>
                <w:sz w:val="22"/>
                <w:szCs w:val="22"/>
              </w:rPr>
              <w:t>Der Einzelwagenverkehr (EWV) stellt als kundennahe, flexible, CO</w:t>
            </w:r>
            <w:r w:rsidRPr="00233EE5">
              <w:rPr>
                <w:rFonts w:ascii="Aptos" w:hAnsi="Aptos"/>
                <w:sz w:val="22"/>
                <w:szCs w:val="22"/>
                <w:vertAlign w:val="subscript"/>
              </w:rPr>
              <w:t>2</w:t>
            </w:r>
            <w:r w:rsidRPr="00233EE5">
              <w:rPr>
                <w:rFonts w:ascii="Aptos" w:hAnsi="Aptos"/>
                <w:sz w:val="22"/>
                <w:szCs w:val="22"/>
              </w:rPr>
              <w:t xml:space="preserve">-arme und energieeffiziente End-to-End-Logistikoption eine wichtige Alternative zum LKW dar. Als Basis für die Entwicklung anderer Güterverkehrssegmente bildet ein tragfähiges EWV-Netz das Rückgrat eines starken Güterverkehrs. Trotz eines Anteils von ca. 25-30% am gesamten Schienengüterverkehr in Europa, wovon zwei Drittel grenzüberschreitend sind, ist der EWV aufgrund seiner hohen Fixkosten wirtschaftlich sehr sensibel und bedarf zu seiner Aufrechterhaltung staatlicher Beihilfen. </w:t>
            </w:r>
            <w:r w:rsidRPr="00233EE5">
              <w:rPr>
                <w:rFonts w:ascii="Aptos" w:hAnsi="Aptos"/>
                <w:b/>
                <w:bCs/>
                <w:sz w:val="22"/>
                <w:szCs w:val="22"/>
              </w:rPr>
              <w:t>Welche Initiativen planen Sie, um den Einzelwagenverkehr (EWV) nachhaltig zu fördern?</w:t>
            </w:r>
          </w:p>
        </w:tc>
      </w:tr>
      <w:tr w:rsidR="00623AF8" w:rsidRPr="00233EE5" w14:paraId="3F8235DC" w14:textId="77777777" w:rsidTr="00875DD0">
        <w:tc>
          <w:tcPr>
            <w:tcW w:w="9060" w:type="dxa"/>
            <w:shd w:val="clear" w:color="auto" w:fill="D9D9D9" w:themeFill="background1" w:themeFillShade="D9"/>
          </w:tcPr>
          <w:p w14:paraId="23278E13"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25622E4B" w14:textId="77777777" w:rsidTr="00875DD0">
        <w:tc>
          <w:tcPr>
            <w:tcW w:w="9060" w:type="dxa"/>
          </w:tcPr>
          <w:p w14:paraId="0159134A"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Welche Rolle spielt Ihrer Meinung nach der Einzelwagenverkehr bei der Stärkung des Schienenverkehrs?</w:t>
            </w:r>
          </w:p>
          <w:p w14:paraId="5145B39B"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soll aus Ihrer Sicht der Rahmen für operative und Investitionsförderungen angepasst werden, um die Stabilität und Rentabilität des Systems EWV sicherzustellen?</w:t>
            </w:r>
          </w:p>
          <w:p w14:paraId="7A082436"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Sehen Sie Förderprogramme für die Forschung in Fernsteuerungstechnik für das Abholen und Zustellen von Einzelwagen(gruppen) vor?</w:t>
            </w:r>
          </w:p>
        </w:tc>
      </w:tr>
    </w:tbl>
    <w:p w14:paraId="4296C4B1" w14:textId="77777777" w:rsidR="00623AF8" w:rsidRPr="00233EE5" w:rsidRDefault="00623AF8" w:rsidP="00623AF8">
      <w:pPr>
        <w:jc w:val="both"/>
        <w:rPr>
          <w:rFonts w:ascii="Aptos" w:hAnsi="Aptos"/>
          <w:sz w:val="20"/>
          <w:szCs w:val="20"/>
        </w:rPr>
      </w:pPr>
    </w:p>
    <w:p w14:paraId="2D04A526" w14:textId="77777777" w:rsidR="00623AF8" w:rsidRPr="00233EE5" w:rsidRDefault="00623AF8" w:rsidP="00623AF8">
      <w:pPr>
        <w:jc w:val="both"/>
        <w:rPr>
          <w:rFonts w:ascii="Aptos" w:hAnsi="Aptos"/>
          <w:sz w:val="20"/>
          <w:szCs w:val="20"/>
        </w:rPr>
      </w:pPr>
    </w:p>
    <w:tbl>
      <w:tblPr>
        <w:tblStyle w:val="TableNormal2"/>
        <w:tblW w:w="0" w:type="auto"/>
        <w:tblLayout w:type="fixed"/>
        <w:tblLook w:val="01E0" w:firstRow="1" w:lastRow="1" w:firstColumn="1" w:lastColumn="1" w:noHBand="0" w:noVBand="0"/>
      </w:tblPr>
      <w:tblGrid>
        <w:gridCol w:w="9066"/>
      </w:tblGrid>
      <w:tr w:rsidR="00623AF8" w:rsidRPr="00233EE5" w14:paraId="13175653" w14:textId="77777777" w:rsidTr="00875DD0">
        <w:trPr>
          <w:trHeight w:val="277"/>
        </w:trPr>
        <w:tc>
          <w:tcPr>
            <w:tcW w:w="9066" w:type="dxa"/>
            <w:shd w:val="clear" w:color="auto" w:fill="D9D9D9"/>
          </w:tcPr>
          <w:p w14:paraId="26407D65"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01575E56"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Beim Einzelwagenverkehr (EWV) werden Einzelwagen oder Wagengruppen verschiedener Versender zu einem Zug zusammengestellt. Die Einzelwagen werden im Verladebahnhof beladen, zu einem Sammelpunkt transportiert, zu einem Güterzug gebündelt, vom Abgangs- zum Zielort befördert und im Empfangsbahnhof verteilt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xml:space="preserve">. Das System umfasst mehrere Schnittstellen und damit komplexere Prozesse als der Ganzzugverkehr. Der EWV zeichnet sich insbesondere durch seine flexible Planung und individuelle Buchung nach Menge, Zeit und Relation aus. So ist es möglich, Güter kurzfristig zu transportieren und Wirtschaftszentren in ganz Europa und darüber hinaus bis nach Asien zu verbinden. Die EWV übernimmt dabei die Sammlung und Verteilung von Einzelwagen oder Wagengruppen und bietet ihren Kunden eine kundennahe und flexible End-2-End-Logistik als CO2-freundliche und energieeffiziente Alternative zum Lkw. Ein leistungsfähiges EWV-Netzwerk bildet zudem die Basis für die Potenzialentwicklung anderer Güterverkehrssegmente. Der Einzelwagenverkehr stellt somit das Rückgrat eines starken Güterverkehrs dar, ist aber aufgrund seiner komplexen Kostenstruktur mit hohen Fixkosten, die durch die Einnahmen allein nicht gedeckt werden können, wirtschaftlich sehr sensibel und ohne staatliche Unterstützung nicht aufrecht zu erhalten. In EU-Mitgliedsstaaten wie Italien oder Spanien, in denen der EWV nicht gefördert wird, hat sich der EWV daher bereits vollständig zurückgezogen oder befindet sich im Rückzug. Die von der Europäischen Kommission in den EU-Leitlinien für staatliche Beihilfen an Eisenbahnunternehmen („Eisenbahnleitlinien“) festgelegte maximale Beihilfeintensität reicht jedoch nicht aus </w:t>
      </w:r>
      <w:r w:rsidRPr="00233EE5">
        <w:rPr>
          <w:rFonts w:ascii="Aptos" w:eastAsia="Arial MT" w:hAnsi="Aptos" w:cs="Arial MT"/>
          <w:color w:val="0D0D0D"/>
          <w:sz w:val="22"/>
          <w:szCs w:val="22"/>
          <w:vertAlign w:val="subscript"/>
        </w:rPr>
        <w:t>(2)</w:t>
      </w:r>
      <w:r w:rsidRPr="00233EE5">
        <w:rPr>
          <w:rFonts w:ascii="Aptos" w:eastAsia="Arial MT" w:hAnsi="Aptos" w:cs="Arial MT"/>
          <w:color w:val="0D0D0D"/>
          <w:sz w:val="22"/>
          <w:szCs w:val="22"/>
        </w:rPr>
        <w:t xml:space="preserve"> , um die EWV wirtschaftlich nachhaltig zu stabilisieren. Aus Sicht der Daseinsvorsorge wäre eine Überarbeitung der Beihilfeleitlinien bzw. die Schaffung neuer EU-Programme wünschenswert, um die Verlagerung des Güterverkehrs von der Straße auf die Schiene zu fördern.</w:t>
      </w:r>
    </w:p>
    <w:p w14:paraId="0FCAB4DB" w14:textId="77777777" w:rsidR="00623AF8" w:rsidRPr="00233EE5" w:rsidRDefault="00623AF8" w:rsidP="00623AF8">
      <w:pPr>
        <w:jc w:val="both"/>
      </w:pPr>
    </w:p>
    <w:p w14:paraId="6E88DE18" w14:textId="77777777" w:rsidR="00623AF8" w:rsidRPr="00233EE5" w:rsidRDefault="00623AF8" w:rsidP="00F63BE8">
      <w:pPr>
        <w:numPr>
          <w:ilvl w:val="0"/>
          <w:numId w:val="25"/>
        </w:numPr>
        <w:contextualSpacing/>
        <w:rPr>
          <w:rFonts w:ascii="Aptos" w:hAnsi="Aptos"/>
          <w:sz w:val="18"/>
          <w:szCs w:val="18"/>
        </w:rPr>
      </w:pPr>
      <w:r w:rsidRPr="00233EE5">
        <w:rPr>
          <w:rFonts w:ascii="Aptos" w:hAnsi="Aptos"/>
          <w:sz w:val="18"/>
          <w:szCs w:val="18"/>
        </w:rPr>
        <w:t>Rail Cargo 2024: Blogbeitrag – Einzelwagenverkehr in Österreich</w:t>
      </w:r>
    </w:p>
    <w:p w14:paraId="13BD2E54" w14:textId="77777777" w:rsidR="00623AF8" w:rsidRPr="00233EE5" w:rsidRDefault="00AC460E" w:rsidP="00623AF8">
      <w:pPr>
        <w:ind w:firstLine="360"/>
        <w:jc w:val="both"/>
        <w:rPr>
          <w:rFonts w:ascii="Aptos" w:hAnsi="Aptos"/>
          <w:sz w:val="18"/>
          <w:szCs w:val="18"/>
        </w:rPr>
      </w:pPr>
      <w:hyperlink r:id="rId39" w:history="1">
        <w:r w:rsidR="00623AF8" w:rsidRPr="00233EE5">
          <w:rPr>
            <w:rFonts w:ascii="Aptos" w:hAnsi="Aptos"/>
            <w:color w:val="0000FF"/>
            <w:sz w:val="18"/>
            <w:szCs w:val="18"/>
            <w:u w:val="single"/>
          </w:rPr>
          <w:t>https://blog.railcargo.com/de/artikel/einzelwagenverkehr</w:t>
        </w:r>
      </w:hyperlink>
    </w:p>
    <w:p w14:paraId="5BA70217" w14:textId="77777777" w:rsidR="00623AF8" w:rsidRPr="00233EE5" w:rsidRDefault="00623AF8" w:rsidP="00623AF8">
      <w:pPr>
        <w:ind w:firstLine="360"/>
        <w:jc w:val="both"/>
        <w:rPr>
          <w:rFonts w:ascii="Aptos" w:hAnsi="Aptos"/>
          <w:sz w:val="18"/>
          <w:szCs w:val="18"/>
        </w:rPr>
      </w:pPr>
    </w:p>
    <w:p w14:paraId="31080153" w14:textId="77777777" w:rsidR="00623AF8" w:rsidRPr="00233EE5" w:rsidRDefault="00623AF8" w:rsidP="00F63BE8">
      <w:pPr>
        <w:numPr>
          <w:ilvl w:val="0"/>
          <w:numId w:val="25"/>
        </w:numPr>
        <w:contextualSpacing/>
        <w:rPr>
          <w:rFonts w:ascii="Aptos" w:hAnsi="Aptos"/>
          <w:sz w:val="18"/>
          <w:szCs w:val="18"/>
          <w:lang w:val="en-GB"/>
        </w:rPr>
      </w:pPr>
      <w:r w:rsidRPr="00233EE5">
        <w:rPr>
          <w:rFonts w:ascii="Aptos" w:hAnsi="Aptos"/>
          <w:sz w:val="18"/>
          <w:szCs w:val="18"/>
          <w:lang w:val="en-GB"/>
        </w:rPr>
        <w:t>European Commission 2024: State aid – draft Land and Multimodal Transport Guidelnies</w:t>
      </w:r>
    </w:p>
    <w:p w14:paraId="1B27A63F" w14:textId="77777777" w:rsidR="00623AF8" w:rsidRPr="00233EE5" w:rsidRDefault="00AC460E" w:rsidP="00623AF8">
      <w:pPr>
        <w:ind w:firstLine="360"/>
        <w:jc w:val="both"/>
        <w:rPr>
          <w:rFonts w:ascii="Aptos" w:hAnsi="Aptos"/>
          <w:sz w:val="18"/>
          <w:szCs w:val="18"/>
          <w:lang w:val="en-GB"/>
        </w:rPr>
      </w:pPr>
      <w:hyperlink r:id="rId40" w:history="1">
        <w:r w:rsidR="00623AF8" w:rsidRPr="00233EE5">
          <w:rPr>
            <w:rFonts w:ascii="Aptos" w:hAnsi="Aptos"/>
            <w:color w:val="0000FF"/>
            <w:sz w:val="18"/>
            <w:szCs w:val="18"/>
            <w:u w:val="single"/>
            <w:lang w:val="en-GB"/>
          </w:rPr>
          <w:t>https://competition-policy.ec.europa.eu/public-consultations/2024-lmtg-and-tber_en?prefLang=de</w:t>
        </w:r>
      </w:hyperlink>
    </w:p>
    <w:p w14:paraId="5B21713D" w14:textId="77777777" w:rsidR="00623AF8" w:rsidRPr="00233EE5" w:rsidRDefault="00623AF8" w:rsidP="00623AF8">
      <w:pPr>
        <w:rPr>
          <w:lang w:val="en-GB"/>
        </w:rPr>
      </w:pPr>
    </w:p>
    <w:p w14:paraId="2D020D66" w14:textId="77777777" w:rsidR="00623AF8" w:rsidRPr="00233EE5" w:rsidRDefault="00623AF8" w:rsidP="00623AF8">
      <w:pPr>
        <w:rPr>
          <w:lang w:val="en-GB"/>
        </w:rPr>
      </w:pPr>
    </w:p>
    <w:p w14:paraId="42C8CC89" w14:textId="77777777" w:rsidR="00623AF8" w:rsidRPr="00233EE5" w:rsidRDefault="00623AF8" w:rsidP="00623AF8">
      <w:pPr>
        <w:rPr>
          <w:lang w:val="en-GB"/>
        </w:rPr>
      </w:pPr>
    </w:p>
    <w:p w14:paraId="2C5B6C60"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60" w:name="_Toc170378195"/>
      <w:bookmarkStart w:id="261" w:name="_Toc170983728"/>
      <w:r w:rsidRPr="00233EE5">
        <w:rPr>
          <w:rFonts w:ascii="Aptos" w:eastAsiaTheme="majorEastAsia" w:hAnsi="Aptos" w:cstheme="majorBidi"/>
          <w:b/>
          <w:color w:val="E4342D"/>
          <w:szCs w:val="32"/>
        </w:rPr>
        <w:t>Level-Playing-Field: Schienen- und Flugverkehr</w:t>
      </w:r>
      <w:bookmarkEnd w:id="260"/>
      <w:bookmarkEnd w:id="261"/>
    </w:p>
    <w:p w14:paraId="4A597917"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0F1C8104" w14:textId="77777777" w:rsidTr="00875DD0">
        <w:tc>
          <w:tcPr>
            <w:tcW w:w="9060" w:type="dxa"/>
            <w:shd w:val="clear" w:color="auto" w:fill="D9D9D9" w:themeFill="background1" w:themeFillShade="D9"/>
          </w:tcPr>
          <w:p w14:paraId="65873581"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0E75B1F3" w14:textId="77777777" w:rsidTr="00875DD0">
        <w:tc>
          <w:tcPr>
            <w:tcW w:w="9060" w:type="dxa"/>
          </w:tcPr>
          <w:p w14:paraId="538E2030" w14:textId="77777777" w:rsidR="00623AF8" w:rsidRPr="00233EE5" w:rsidRDefault="00623AF8" w:rsidP="00875DD0">
            <w:pPr>
              <w:spacing w:before="120" w:after="120"/>
              <w:jc w:val="both"/>
              <w:rPr>
                <w:rFonts w:ascii="Aptos" w:hAnsi="Aptos" w:cs="Open Sans"/>
                <w:sz w:val="22"/>
                <w:szCs w:val="22"/>
              </w:rPr>
            </w:pPr>
            <w:r w:rsidRPr="00233EE5">
              <w:rPr>
                <w:rFonts w:ascii="Aptos" w:hAnsi="Aptos" w:cs="Open Sans"/>
                <w:sz w:val="22"/>
                <w:szCs w:val="22"/>
              </w:rPr>
              <w:t xml:space="preserve">Die EU hat sich zum Ziel gesetzt, die verkehrsbedingten Treibhausgasemissionen bis 2050 um 90 % </w:t>
            </w:r>
            <w:r w:rsidRPr="00233EE5">
              <w:rPr>
                <w:rFonts w:ascii="Aptos" w:hAnsi="Aptos" w:cs="Segoe UI"/>
                <w:color w:val="0D0D0D"/>
                <w:sz w:val="22"/>
                <w:szCs w:val="22"/>
                <w:shd w:val="clear" w:color="auto" w:fill="FFFFFF"/>
              </w:rPr>
              <w:t>gegenüber 1990 zu reduzieren. Derzeit verursacht der Verkehrssektor jedoch rund ein Viertel der gesamten Treibhausgasemissionen der EU.  Der Luftverkehr gehört dabei zu den Sektoren mit den am stärksten steigenden Emissionen und Umweltbelastungen und trägt zur Luftverschmutzung und Lärmbelästigung bei. Während der Schienenverkehr als umweltfreundliche Alternative gilt, trägt der Luftverkehr nur einen Bruchteil seiner externen Kosten. Die daraus</w:t>
            </w:r>
            <w:r w:rsidRPr="00233EE5">
              <w:rPr>
                <w:rFonts w:ascii="Aptos" w:hAnsi="Aptos" w:cs="Open Sans"/>
                <w:sz w:val="22"/>
                <w:szCs w:val="22"/>
              </w:rPr>
              <w:t xml:space="preserve"> resultierenden günstigen Flugpreise für Konsument:innen verursachen eine Wettbewerbsverzerrung zu Ungunsten des Schienenverkehrs. </w:t>
            </w:r>
            <w:r w:rsidRPr="00233EE5">
              <w:rPr>
                <w:rFonts w:ascii="Aptos" w:hAnsi="Aptos" w:cs="Open Sans"/>
                <w:b/>
                <w:bCs/>
                <w:sz w:val="22"/>
                <w:szCs w:val="22"/>
              </w:rPr>
              <w:t>Welche Maßnahmen planen Sie, um ein Level-Playing-Field zwischen Luft- und Schienenverkehr zu gewährleisten?</w:t>
            </w:r>
          </w:p>
        </w:tc>
      </w:tr>
      <w:tr w:rsidR="00623AF8" w:rsidRPr="00233EE5" w14:paraId="131F42E4" w14:textId="77777777" w:rsidTr="00875DD0">
        <w:tc>
          <w:tcPr>
            <w:tcW w:w="9060" w:type="dxa"/>
            <w:shd w:val="clear" w:color="auto" w:fill="D9D9D9" w:themeFill="background1" w:themeFillShade="D9"/>
          </w:tcPr>
          <w:p w14:paraId="543868F4"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0A943FEE" w14:textId="77777777" w:rsidTr="00875DD0">
        <w:tc>
          <w:tcPr>
            <w:tcW w:w="9060" w:type="dxa"/>
          </w:tcPr>
          <w:p w14:paraId="3155EE09"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Planen Sie eine EU-weit verbindliche Kerosinsteuer im Sinne des Verursacherprinzips?</w:t>
            </w:r>
          </w:p>
          <w:p w14:paraId="48999481"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Sollen Flüge aus Drittstaaten, die den europäischen Luftraum nutzen, in den Carbon-Border-Adjustment-Mechanismus einbezogen werden? </w:t>
            </w:r>
          </w:p>
          <w:p w14:paraId="46E2EC69"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Sind Beschränkungen für Kurzstreckenflüge und/oder Privatjets geplant (z.B. Verbot von Inlandsflügen oder von Flügen unter einer bestimmten Kilometerzahl)?</w:t>
            </w:r>
          </w:p>
        </w:tc>
      </w:tr>
    </w:tbl>
    <w:p w14:paraId="74654162"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32FC34A8" w14:textId="77777777" w:rsidTr="00875DD0">
        <w:trPr>
          <w:trHeight w:val="277"/>
        </w:trPr>
        <w:tc>
          <w:tcPr>
            <w:tcW w:w="9066" w:type="dxa"/>
            <w:shd w:val="clear" w:color="auto" w:fill="D9D9D9"/>
          </w:tcPr>
          <w:p w14:paraId="6B8A4815"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107CE195" w14:textId="77777777" w:rsidR="00623AF8" w:rsidRPr="00233EE5" w:rsidRDefault="00623AF8" w:rsidP="00623AF8">
      <w:pPr>
        <w:spacing w:after="120"/>
        <w:jc w:val="both"/>
        <w:rPr>
          <w:rFonts w:ascii="Aptos" w:eastAsia="Arial MT" w:hAnsi="Aptos" w:cs="Arial MT"/>
          <w:color w:val="0D0D0D"/>
          <w:sz w:val="22"/>
          <w:szCs w:val="22"/>
        </w:rPr>
      </w:pPr>
      <w:r w:rsidRPr="00233EE5">
        <w:rPr>
          <w:rFonts w:ascii="Aptos" w:eastAsia="Arial MT" w:hAnsi="Aptos" w:cs="Arial MT"/>
          <w:color w:val="0D0D0D"/>
          <w:sz w:val="22"/>
          <w:szCs w:val="22"/>
        </w:rPr>
        <w:t>Die ökologischen und ökonomischen Vorteile des Schienenverkehrs gegenüber dem Luftverkehr sind erheblich. Dennoch bestehen derzeit Wettbewerbsverzerrungen zugunsten des Luftverkehrs. Diese Verzerrungen sind auf die unzureichende Berücksichtigung externer Kosten und verschiedene Subventionen zurückzuführen. Der Luftverkehr verursacht erhebliche Umweltkosten, insbesondere durch Treibhausgasemissionen, Lärmbelästigung und Luftverschmutzung, doch werden diese externen Kosten oft nicht vollständig in die Ticketpreise eingerechnet. Zudem wird der Luftverkehr in vielen Ländern subventioniert und steuerlich begünstigt - so ist Kerosin in der EU von der Energiesteuer befreit und auf internationale Flugtickets wird häufig keine Mehrwertsteuer erhoben. So werden Flughäfen und Flugsicherungssysteme häufig staatlich unterstützt, während der Schienenverkehr höhere Infrastrukturkosten zu tragen hat, die auf die Ticketpreise umgelegt werden. Diese Subventionen und die unvollständige Internalisierung der Umweltkosten ermöglichen es den Fluggesellschaften, niedrigere Preise anzubieten, was den Flugverkehr für die Verbraucher attraktiver macht. Diese preisliche Wettbewerbsverzerrung benachteiligt den umweltfreundlicheren Schienenverkehr und fördert die Entscheidung für das Flugzeug, obwohl die langfristigen ökologischen und sozialen Kosten höher sind. Aus der Perspektive der Daseinsvorsorge ist es in diesem Zusammenhang von zentraler Bedeutung, dass politische Maßnahmen diese Ungleichbehandlung aufgreifen und die Wettbewerbsbedingungen so angleichen („</w:t>
      </w:r>
      <w:r w:rsidRPr="00233EE5">
        <w:t>Level-Playing-Field“)</w:t>
      </w:r>
      <w:r w:rsidRPr="00233EE5">
        <w:rPr>
          <w:rFonts w:ascii="Aptos" w:eastAsia="Arial MT" w:hAnsi="Aptos" w:cs="Arial MT"/>
          <w:color w:val="0D0D0D"/>
          <w:sz w:val="22"/>
          <w:szCs w:val="22"/>
        </w:rPr>
        <w:t>, dass sich die tatsächlichen Kosten des Luftverkehrs im Preis widerspiegeln. Nur so können faire Wettbewerbsbedingungen geschaffen und nachhaltige Mobilität in Europa langfristig gefördert werden.</w:t>
      </w:r>
    </w:p>
    <w:p w14:paraId="21E6CEB9" w14:textId="77777777" w:rsidR="00623AF8" w:rsidRPr="00233EE5" w:rsidRDefault="00623AF8" w:rsidP="00623AF8">
      <w:pPr>
        <w:spacing w:after="120"/>
        <w:jc w:val="both"/>
        <w:rPr>
          <w:rFonts w:ascii="Aptos" w:eastAsia="Arial MT" w:hAnsi="Aptos" w:cs="Arial MT"/>
          <w:color w:val="0D0D0D"/>
          <w:sz w:val="22"/>
          <w:szCs w:val="22"/>
        </w:rPr>
      </w:pPr>
    </w:p>
    <w:p w14:paraId="2E954E86" w14:textId="77777777" w:rsidR="00623AF8" w:rsidRPr="00233EE5" w:rsidRDefault="00623AF8" w:rsidP="00623AF8">
      <w:pPr>
        <w:spacing w:after="120"/>
        <w:jc w:val="both"/>
        <w:rPr>
          <w:rFonts w:ascii="Aptos" w:eastAsia="Arial MT" w:hAnsi="Aptos" w:cs="Arial MT"/>
          <w:color w:val="0D0D0D"/>
          <w:sz w:val="22"/>
          <w:szCs w:val="22"/>
        </w:rPr>
      </w:pPr>
    </w:p>
    <w:p w14:paraId="30F230D0" w14:textId="77777777" w:rsidR="00623AF8" w:rsidRPr="00233EE5" w:rsidRDefault="00623AF8" w:rsidP="00623AF8"/>
    <w:p w14:paraId="56477600"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62" w:name="_Toc170378196"/>
      <w:bookmarkStart w:id="263" w:name="_Toc170983729"/>
      <w:r w:rsidRPr="00233EE5">
        <w:rPr>
          <w:rFonts w:ascii="Aptos" w:eastAsiaTheme="majorEastAsia" w:hAnsi="Aptos" w:cstheme="majorBidi"/>
          <w:b/>
          <w:color w:val="E4342D"/>
          <w:szCs w:val="32"/>
        </w:rPr>
        <w:t>Level-Playing-Field Straßen- und Schienenverkehr: Gigaliner</w:t>
      </w:r>
      <w:bookmarkEnd w:id="262"/>
      <w:bookmarkEnd w:id="263"/>
    </w:p>
    <w:tbl>
      <w:tblPr>
        <w:tblStyle w:val="Tabellenraster"/>
        <w:tblW w:w="0" w:type="auto"/>
        <w:tblLook w:val="04A0" w:firstRow="1" w:lastRow="0" w:firstColumn="1" w:lastColumn="0" w:noHBand="0" w:noVBand="1"/>
      </w:tblPr>
      <w:tblGrid>
        <w:gridCol w:w="9060"/>
      </w:tblGrid>
      <w:tr w:rsidR="00623AF8" w:rsidRPr="00233EE5" w14:paraId="62A914DE" w14:textId="77777777" w:rsidTr="00875DD0">
        <w:tc>
          <w:tcPr>
            <w:tcW w:w="9060" w:type="dxa"/>
            <w:shd w:val="clear" w:color="auto" w:fill="D9D9D9" w:themeFill="background1" w:themeFillShade="D9"/>
          </w:tcPr>
          <w:p w14:paraId="0E86C10F"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0E4E53BE" w14:textId="77777777" w:rsidTr="00875DD0">
        <w:tc>
          <w:tcPr>
            <w:tcW w:w="9060" w:type="dxa"/>
          </w:tcPr>
          <w:p w14:paraId="0B92803D" w14:textId="77777777" w:rsidR="00623AF8" w:rsidRPr="00233EE5" w:rsidRDefault="00623AF8" w:rsidP="00875DD0">
            <w:pPr>
              <w:spacing w:before="120" w:after="120"/>
              <w:jc w:val="both"/>
              <w:rPr>
                <w:rFonts w:ascii="Aptos" w:hAnsi="Aptos"/>
                <w:b/>
                <w:bCs/>
                <w:sz w:val="22"/>
                <w:szCs w:val="22"/>
                <w:lang w:val="de-DE"/>
              </w:rPr>
            </w:pPr>
            <w:r w:rsidRPr="00233EE5">
              <w:rPr>
                <w:rFonts w:ascii="Aptos" w:hAnsi="Aptos"/>
                <w:sz w:val="22"/>
                <w:szCs w:val="22"/>
              </w:rPr>
              <w:t xml:space="preserve">Zwischen dem Schienengüterverkehr und dem Straßengüterverkehr besteht derzeit kein faires „Level-Playing-Field“. Die fehlende EU-weite Harmonisierung auf betrieblicher, technischer und regulatorischer Ebene sowie die Tatsache, dass die externen Kosten des Straßengüterverkehrs derzeit auf den Steuerzahler abgewälzt werden, machen den Schienengüterverkehr im Vergleich zum LKW-Güterverkehr teurer. Die Zulassung von noch längeren und schwereren LKW-Konfigurationen schwächt die Wettbewerbsfähigkeit des Schienengüterverkehrs weiter. Dies kann zu einer massiven Rückverlagerung von der Schiene auf die Straße führen. </w:t>
            </w:r>
            <w:r w:rsidRPr="00233EE5">
              <w:rPr>
                <w:rFonts w:ascii="Aptos" w:hAnsi="Aptos"/>
                <w:b/>
                <w:bCs/>
                <w:sz w:val="22"/>
                <w:szCs w:val="22"/>
              </w:rPr>
              <w:t>Wie beurteilen Sie die aktuelle Diskussion um die Weights-and-Dimensions-Richtlinie im Hinblick auf die externen Kosten der Gigaliner?</w:t>
            </w:r>
          </w:p>
        </w:tc>
      </w:tr>
      <w:tr w:rsidR="00623AF8" w:rsidRPr="00233EE5" w14:paraId="135A308B" w14:textId="77777777" w:rsidTr="00875DD0">
        <w:tc>
          <w:tcPr>
            <w:tcW w:w="9060" w:type="dxa"/>
            <w:shd w:val="clear" w:color="auto" w:fill="D9D9D9" w:themeFill="background1" w:themeFillShade="D9"/>
          </w:tcPr>
          <w:p w14:paraId="6DEF609C"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51899DA9" w14:textId="77777777" w:rsidTr="00875DD0">
        <w:tc>
          <w:tcPr>
            <w:tcW w:w="9060" w:type="dxa"/>
          </w:tcPr>
          <w:p w14:paraId="0604FF52"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Welche Priorität hat der Gigaliner in Ihrer Zukunftsvision für den Güterverkehr? </w:t>
            </w:r>
          </w:p>
          <w:p w14:paraId="08C39075" w14:textId="77777777" w:rsidR="00623AF8" w:rsidRPr="00233EE5" w:rsidRDefault="00623AF8" w:rsidP="00F63BE8">
            <w:pPr>
              <w:numPr>
                <w:ilvl w:val="0"/>
                <w:numId w:val="11"/>
              </w:numPr>
              <w:contextualSpacing/>
              <w:rPr>
                <w:rFonts w:ascii="Aptos" w:hAnsi="Aptos"/>
                <w:sz w:val="22"/>
                <w:szCs w:val="22"/>
                <w:lang w:val="de-DE"/>
              </w:rPr>
            </w:pPr>
            <w:r w:rsidRPr="00233EE5">
              <w:rPr>
                <w:rFonts w:ascii="Aptos" w:hAnsi="Aptos"/>
                <w:sz w:val="22"/>
                <w:szCs w:val="22"/>
              </w:rPr>
              <w:t>Wie wollen Sie sicherstellen, dass die Dekarbonisierungsmaßnahmen im Straßenverkehr nicht zu einer Verschärfung der unfairen Wettbewerbsbedingungen zwischen Straße und Schiene führen und Rückverlagerungen von der Schiene auf die Straße verhindert werden?</w:t>
            </w:r>
          </w:p>
        </w:tc>
      </w:tr>
    </w:tbl>
    <w:p w14:paraId="27724F56" w14:textId="77777777" w:rsidR="00623AF8" w:rsidRPr="00233EE5" w:rsidRDefault="00623AF8" w:rsidP="00623AF8">
      <w:pPr>
        <w:jc w:val="both"/>
        <w:rPr>
          <w:noProof/>
          <w:sz w:val="20"/>
          <w:szCs w:val="20"/>
          <w:lang w:eastAsia="en-GB"/>
        </w:rPr>
      </w:pPr>
    </w:p>
    <w:tbl>
      <w:tblPr>
        <w:tblStyle w:val="TableNormal2"/>
        <w:tblW w:w="0" w:type="auto"/>
        <w:tblLayout w:type="fixed"/>
        <w:tblLook w:val="01E0" w:firstRow="1" w:lastRow="1" w:firstColumn="1" w:lastColumn="1" w:noHBand="0" w:noVBand="0"/>
      </w:tblPr>
      <w:tblGrid>
        <w:gridCol w:w="9066"/>
      </w:tblGrid>
      <w:tr w:rsidR="00623AF8" w:rsidRPr="00233EE5" w14:paraId="1173FF5C" w14:textId="77777777" w:rsidTr="00875DD0">
        <w:trPr>
          <w:trHeight w:val="277"/>
        </w:trPr>
        <w:tc>
          <w:tcPr>
            <w:tcW w:w="9066" w:type="dxa"/>
            <w:shd w:val="clear" w:color="auto" w:fill="D9D9D9"/>
          </w:tcPr>
          <w:p w14:paraId="675A6224"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2A181EB3"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Zwischen dem Schienengüterverkehr und dem Straßengüterverkehr besteht derzeit kein faires „</w:t>
      </w:r>
      <w:r w:rsidRPr="00233EE5">
        <w:t xml:space="preserve">Level-Playing-Field“. </w:t>
      </w:r>
      <w:r w:rsidRPr="00233EE5">
        <w:rPr>
          <w:rFonts w:ascii="Aptos" w:eastAsia="Arial MT" w:hAnsi="Aptos" w:cs="Arial MT"/>
          <w:color w:val="0D0D0D"/>
          <w:sz w:val="22"/>
          <w:szCs w:val="22"/>
        </w:rPr>
        <w:t xml:space="preserve">Die fehlende EU-weite Harmonisierung auf betrieblicher, technischer und regulatorischer Ebene sowie die Tatsache, dass die externen Kosten des Straßengüterverkehrs derzeit auf den Steuerzahler abgewälzt werden, machen den Schienengüterverkehr im Vergleich zum LKW-Güterverkehr teurer. Der Schienengüterverkehr verursacht 30-mal weniger CO2-Emissionen als der LKW-Güterverkehr und verbraucht 6-mal weniger Energie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xml:space="preserve">. Die Logistikbranche ist wirtschaftlich sehr preissensitiv, weshalb die Bereitschaft, höhere Kosten für den Schienengüterverkehr zu akzeptieren, sehr gering ist. Aufgrund der komplexen Kostenstruktur des Schienengüterverkehrs mit hohen Fix-, Betriebs- und Instandhaltungskosten sind daher staatliche Subventionen notwendig. Insbesondere der Einzelwagenverkehr (EWV), der das Rückgrat eines starken Güterverkehrs darstellt, und der intermodale Verkehr auf der Schiene, der in direkter Konkurrenz zur Straße steht, benötigen Unterstützung. Die hohen Betriebs- und Investitionskosten können durch die Einnahmen allein nicht gedeckt werden, so dass diese Verkehrsträger ohne Förderung nicht aufrechterhalten werden können. Aus der Perspektive der Daseinsvorsorge ist es wichtig, dass der Schienengüterverkehr ausgebaut wird. Hierzu ist eine Anpassung der Beihilfeleitlinien erforderlich, um volkswirtschaftlich sinnvolle Beihilfemodelle zu etablieren. Darüber hinaus ist die Zulassung von noch längeren und schwereren Lkw-Konfigurationen wie Gigalinern auf dem europäischen Straßennetz kontraproduktiv und schwächt die Wettbewerbsfähigkeit des Schienengüterverkehrs weiter </w:t>
      </w:r>
      <w:r w:rsidRPr="00233EE5">
        <w:rPr>
          <w:rFonts w:ascii="Aptos" w:eastAsia="Arial MT" w:hAnsi="Aptos" w:cs="Arial MT"/>
          <w:color w:val="0D0D0D"/>
          <w:sz w:val="22"/>
          <w:szCs w:val="22"/>
          <w:vertAlign w:val="subscript"/>
        </w:rPr>
        <w:t>(2)</w:t>
      </w:r>
      <w:r w:rsidRPr="00233EE5">
        <w:rPr>
          <w:rFonts w:ascii="Aptos" w:eastAsia="Arial MT" w:hAnsi="Aptos" w:cs="Arial MT"/>
          <w:color w:val="0D0D0D"/>
          <w:sz w:val="22"/>
          <w:szCs w:val="22"/>
        </w:rPr>
        <w:t>.  Dies betrifft insbesondere den unbegleiteten kombinierten Verkehr (UKV) und den EWV.</w:t>
      </w:r>
    </w:p>
    <w:p w14:paraId="7A5E8E4B" w14:textId="77777777" w:rsidR="00623AF8" w:rsidRPr="00233EE5" w:rsidRDefault="00623AF8" w:rsidP="00623AF8">
      <w:pPr>
        <w:jc w:val="both"/>
        <w:rPr>
          <w:rFonts w:ascii="Aptos" w:eastAsia="Arial MT" w:hAnsi="Aptos" w:cs="Arial MT"/>
          <w:color w:val="0D0D0D"/>
          <w:sz w:val="22"/>
          <w:szCs w:val="22"/>
        </w:rPr>
      </w:pPr>
    </w:p>
    <w:p w14:paraId="1885C836" w14:textId="77777777" w:rsidR="00623AF8" w:rsidRPr="00233EE5" w:rsidRDefault="00623AF8" w:rsidP="00F63BE8">
      <w:pPr>
        <w:numPr>
          <w:ilvl w:val="0"/>
          <w:numId w:val="26"/>
        </w:numPr>
        <w:contextualSpacing/>
        <w:rPr>
          <w:rFonts w:ascii="Aptos" w:hAnsi="Aptos"/>
          <w:sz w:val="18"/>
          <w:szCs w:val="18"/>
        </w:rPr>
      </w:pPr>
      <w:r w:rsidRPr="00233EE5">
        <w:rPr>
          <w:rFonts w:ascii="Aptos" w:hAnsi="Aptos"/>
          <w:sz w:val="18"/>
          <w:szCs w:val="18"/>
        </w:rPr>
        <w:t>VCÖ 2020: Mobilität mit Zukunft – Güterverkehr auf Klimakurs bringen</w:t>
      </w:r>
    </w:p>
    <w:p w14:paraId="5F5E87EC" w14:textId="77777777" w:rsidR="00623AF8" w:rsidRPr="00233EE5" w:rsidRDefault="00AC460E" w:rsidP="00623AF8">
      <w:pPr>
        <w:ind w:left="360"/>
        <w:jc w:val="both"/>
        <w:rPr>
          <w:rFonts w:ascii="Aptos" w:hAnsi="Aptos"/>
          <w:sz w:val="18"/>
          <w:szCs w:val="18"/>
        </w:rPr>
      </w:pPr>
      <w:hyperlink r:id="rId41" w:history="1">
        <w:r w:rsidR="00623AF8" w:rsidRPr="00233EE5">
          <w:rPr>
            <w:rFonts w:ascii="Aptos" w:hAnsi="Aptos"/>
            <w:color w:val="0000FF"/>
            <w:sz w:val="18"/>
            <w:szCs w:val="18"/>
            <w:u w:val="single"/>
          </w:rPr>
          <w:t>https://vcoe.at/publikationen/vcoe-factsheets/detail/vcoe-factsheet-2020-06-gueterverkehr-auf-klimakurs-bringen</w:t>
        </w:r>
      </w:hyperlink>
    </w:p>
    <w:p w14:paraId="48914D70" w14:textId="77777777" w:rsidR="00623AF8" w:rsidRPr="00233EE5" w:rsidRDefault="00623AF8" w:rsidP="00623AF8">
      <w:pPr>
        <w:ind w:left="360"/>
        <w:jc w:val="both"/>
        <w:rPr>
          <w:rFonts w:ascii="Aptos" w:hAnsi="Aptos"/>
          <w:sz w:val="18"/>
          <w:szCs w:val="18"/>
        </w:rPr>
      </w:pPr>
    </w:p>
    <w:p w14:paraId="0954A053" w14:textId="77777777" w:rsidR="00623AF8" w:rsidRPr="00233EE5" w:rsidRDefault="00623AF8" w:rsidP="00F63BE8">
      <w:pPr>
        <w:numPr>
          <w:ilvl w:val="0"/>
          <w:numId w:val="26"/>
        </w:numPr>
        <w:contextualSpacing/>
        <w:jc w:val="both"/>
        <w:rPr>
          <w:rFonts w:ascii="Aptos" w:hAnsi="Aptos"/>
          <w:sz w:val="18"/>
          <w:szCs w:val="18"/>
        </w:rPr>
      </w:pPr>
      <w:bookmarkStart w:id="264" w:name="_Hlk169701839"/>
      <w:r w:rsidRPr="00233EE5">
        <w:rPr>
          <w:rFonts w:ascii="Aptos" w:hAnsi="Aptos"/>
          <w:sz w:val="18"/>
          <w:szCs w:val="18"/>
        </w:rPr>
        <w:t xml:space="preserve">EUR-Lex. 2021: Zulässige Höchstmaße und -gewichte für Lkw, Busse und Reisebusse. </w:t>
      </w:r>
      <w:bookmarkEnd w:id="264"/>
    </w:p>
    <w:p w14:paraId="0E975371" w14:textId="77777777" w:rsidR="00623AF8" w:rsidRPr="00233EE5" w:rsidRDefault="00AC460E" w:rsidP="00623AF8">
      <w:pPr>
        <w:ind w:left="360"/>
        <w:contextualSpacing/>
        <w:jc w:val="both"/>
        <w:rPr>
          <w:rFonts w:ascii="Aptos" w:hAnsi="Aptos"/>
          <w:sz w:val="18"/>
          <w:szCs w:val="18"/>
        </w:rPr>
      </w:pPr>
      <w:hyperlink r:id="rId42" w:history="1">
        <w:r w:rsidR="00623AF8" w:rsidRPr="00233EE5">
          <w:rPr>
            <w:rFonts w:ascii="Aptos" w:hAnsi="Aptos"/>
            <w:color w:val="0000FF"/>
            <w:sz w:val="18"/>
            <w:szCs w:val="18"/>
            <w:u w:val="single"/>
          </w:rPr>
          <w:t>https://eur-lex.europa.eu/DE/legal-content/summary/authorised-maximum-dimensions-and-weights-for-trucks-buses-and-coaches.html</w:t>
        </w:r>
      </w:hyperlink>
      <w:r w:rsidR="00623AF8" w:rsidRPr="00233EE5">
        <w:rPr>
          <w:rFonts w:ascii="Aptos" w:hAnsi="Aptos"/>
          <w:sz w:val="18"/>
          <w:szCs w:val="18"/>
        </w:rPr>
        <w:t xml:space="preserve"> </w:t>
      </w:r>
    </w:p>
    <w:p w14:paraId="5E68CDDF" w14:textId="77777777" w:rsidR="00623AF8" w:rsidRPr="00233EE5" w:rsidRDefault="00623AF8" w:rsidP="00623AF8">
      <w:pPr>
        <w:ind w:left="360"/>
        <w:jc w:val="both"/>
        <w:rPr>
          <w:rFonts w:ascii="Aptos" w:hAnsi="Aptos"/>
          <w:sz w:val="18"/>
          <w:szCs w:val="18"/>
        </w:rPr>
      </w:pPr>
    </w:p>
    <w:p w14:paraId="75AECA36" w14:textId="77777777" w:rsidR="00623AF8" w:rsidRPr="00233EE5" w:rsidRDefault="00623AF8" w:rsidP="00623AF8"/>
    <w:p w14:paraId="4D907087" w14:textId="77777777" w:rsidR="00623AF8" w:rsidRPr="00233EE5" w:rsidRDefault="00623AF8" w:rsidP="00623AF8"/>
    <w:p w14:paraId="3939CF13" w14:textId="77777777" w:rsidR="00623AF8" w:rsidRPr="00233EE5" w:rsidRDefault="00623AF8" w:rsidP="00623AF8"/>
    <w:p w14:paraId="79C9D22F"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65" w:name="_Toc170378197"/>
      <w:bookmarkStart w:id="266" w:name="_Toc170983730"/>
      <w:r w:rsidRPr="00233EE5">
        <w:rPr>
          <w:rFonts w:ascii="Aptos" w:eastAsiaTheme="majorEastAsia" w:hAnsi="Aptos" w:cstheme="majorBidi"/>
          <w:b/>
          <w:color w:val="E4342D"/>
          <w:szCs w:val="32"/>
        </w:rPr>
        <w:t>Ausbau des TEN-T Infrastruktur: Kompensationszahlungen für Korridorsperren</w:t>
      </w:r>
      <w:bookmarkEnd w:id="265"/>
      <w:bookmarkEnd w:id="266"/>
    </w:p>
    <w:p w14:paraId="4E913D73"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596A4342" w14:textId="77777777" w:rsidTr="00875DD0">
        <w:tc>
          <w:tcPr>
            <w:tcW w:w="9060" w:type="dxa"/>
            <w:shd w:val="clear" w:color="auto" w:fill="D9D9D9" w:themeFill="background1" w:themeFillShade="D9"/>
          </w:tcPr>
          <w:p w14:paraId="34EF3FAB"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7A2B4786" w14:textId="77777777" w:rsidTr="00875DD0">
        <w:tc>
          <w:tcPr>
            <w:tcW w:w="9060" w:type="dxa"/>
          </w:tcPr>
          <w:p w14:paraId="5CA32765" w14:textId="77777777" w:rsidR="00623AF8" w:rsidRPr="00233EE5" w:rsidRDefault="00623AF8" w:rsidP="00875DD0">
            <w:pPr>
              <w:spacing w:before="120" w:after="120"/>
              <w:jc w:val="both"/>
              <w:rPr>
                <w:rFonts w:ascii="Aptos" w:hAnsi="Aptos"/>
                <w:b/>
                <w:bCs/>
                <w:sz w:val="22"/>
                <w:szCs w:val="22"/>
              </w:rPr>
            </w:pPr>
            <w:r w:rsidRPr="00233EE5">
              <w:rPr>
                <w:rFonts w:ascii="Aptos" w:hAnsi="Aptos"/>
                <w:sz w:val="22"/>
                <w:szCs w:val="22"/>
              </w:rPr>
              <w:t xml:space="preserve">Die Transeuropäischen Verkehrsnetze (TEN-T) sind für die Verwirklichung und Weiterentwicklung des Binnenmarktes und für die Verbesserung des wirtschaftlichen und sozialen Zusammenhalts der EU von entscheidender Bedeutung. Für eine nachhaltige und belastbare Verkehrsinfrastruktur in der gesamten EU spielt der Auf- und Ausbau des grenzüberschreitenden Schienengüterverkehrs eine wesentliche Rolle. Die damit verbundenen baubedingten Sperrungen von Korridoren haben erhebliche Auswirkungen auf die Kapazität, die Stabilität und die Kosten des Güterverkehrsangebots. </w:t>
            </w:r>
            <w:r w:rsidRPr="00233EE5">
              <w:rPr>
                <w:rFonts w:ascii="Aptos" w:hAnsi="Aptos"/>
                <w:b/>
                <w:bCs/>
                <w:sz w:val="22"/>
                <w:szCs w:val="22"/>
              </w:rPr>
              <w:t>Wie wollen Sie sicherstellen, dass es entsprechende legistische Vorgaben gibt, damit der entgangene Güterverkehr bei Korridorsperrungen kompensiert wird?</w:t>
            </w:r>
          </w:p>
        </w:tc>
      </w:tr>
      <w:tr w:rsidR="00623AF8" w:rsidRPr="00233EE5" w14:paraId="33D09E0B" w14:textId="77777777" w:rsidTr="00875DD0">
        <w:tc>
          <w:tcPr>
            <w:tcW w:w="9060" w:type="dxa"/>
            <w:shd w:val="clear" w:color="auto" w:fill="D9D9D9" w:themeFill="background1" w:themeFillShade="D9"/>
          </w:tcPr>
          <w:p w14:paraId="6963C6DB"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2C04F12F" w14:textId="77777777" w:rsidTr="00875DD0">
        <w:tc>
          <w:tcPr>
            <w:tcW w:w="9060" w:type="dxa"/>
          </w:tcPr>
          <w:p w14:paraId="654BE7B5"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Sehen sie ein eigenes beschleunigtes Genehmigungsverfahren vor, sollten die Mitgliedstaaten finanzielle Kompensationszahlungen gewähren?</w:t>
            </w:r>
          </w:p>
        </w:tc>
      </w:tr>
    </w:tbl>
    <w:p w14:paraId="54A5572A"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383914A2" w14:textId="77777777" w:rsidTr="00875DD0">
        <w:trPr>
          <w:trHeight w:val="277"/>
        </w:trPr>
        <w:tc>
          <w:tcPr>
            <w:tcW w:w="9066" w:type="dxa"/>
            <w:shd w:val="clear" w:color="auto" w:fill="D9D9D9"/>
          </w:tcPr>
          <w:p w14:paraId="660DBDD9"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00D96CC9" w14:textId="77777777" w:rsidR="00623AF8" w:rsidRPr="00233EE5" w:rsidRDefault="00623AF8" w:rsidP="00623AF8">
      <w:pPr>
        <w:spacing w:after="120"/>
        <w:jc w:val="both"/>
        <w:rPr>
          <w:rFonts w:ascii="Aptos" w:hAnsi="Aptos"/>
        </w:rPr>
      </w:pPr>
      <w:r w:rsidRPr="00233EE5">
        <w:rPr>
          <w:rFonts w:ascii="Aptos" w:eastAsia="Arial MT" w:hAnsi="Aptos" w:cs="Arial MT"/>
          <w:color w:val="0D0D0D"/>
          <w:sz w:val="22"/>
          <w:szCs w:val="22"/>
        </w:rPr>
        <w:t>Die systemimmanente Wettbewerbsverzerrung zwischen dem Schienengüterverkehr und dem Straßengüterverkehr wird durch die phasenweise Sperrung systemrelevanter Korridorstrecken aufgrund von Netzbaumaßnahmen noch verstärkt. Generalsanierungen des Streckennetzes sind zwar grundsätzlich zu begrüßen, schwächen aber die Wettbewerbsfähigkeit der operativ tätigen Eisenbahnverkehrsunternehmen erheblich. Die Auswirkungen auf Kapazität, Stabilität und Kosten des Güterverkehrsangebots sind erheblich. Die Korridorsperrungen verursachen gravierende betriebliche Mehrkosten und sind mit Zeitverlusten und messbaren Umwegen bzw. Umleitungen für den Güterverkehr verbunden. Konkrete Auswirkungen sind höhere Betriebs- und Logistikkosten pro Zugkilometer aufgrund von Umleitungen und Umwegen, ungedeckte Fixkosten für Zugausfälle, Energie-, Personal- und Fahrzeugnutzungskosten für kürzere Züge auf längeren Umleitungsstrecken sowie negative volkswirtschaftliche Effekte aufgrund geringerer Kapazitäten auf den Umleitungsstrecken. Ein Beispiel für die Relevanz dieses Themas ist die Situation in Deutschland, wo 40 Streckenabschnitte mit einer Gesamtlänge von über 4.300 km betroffen sind. Die genannten Sperrungen wirken sich unmittelbar negativ auf den gesamteuropäischen Güterverkehr aus. Am Beispiel des Knotens Passau lässt sich verdeutlichen, welche externen Kosten durch eine Verlagerung auf die Straße vermieden werden könnten. Bei einem Güterexport von rund 12,3 Mio. Nettotonnen und einem Güterimport von 11,6 Mio. Nettotonnen könnten über 631.000 Tonnen CO</w:t>
      </w:r>
      <w:r w:rsidRPr="00233EE5">
        <w:rPr>
          <w:rFonts w:ascii="Aptos" w:eastAsia="Arial MT" w:hAnsi="Aptos" w:cs="Arial MT"/>
          <w:color w:val="0D0D0D"/>
          <w:sz w:val="22"/>
          <w:szCs w:val="22"/>
          <w:vertAlign w:val="subscript"/>
        </w:rPr>
        <w:t>2</w:t>
      </w:r>
      <w:r w:rsidRPr="00233EE5">
        <w:rPr>
          <w:rFonts w:ascii="Aptos" w:eastAsia="Arial MT" w:hAnsi="Aptos" w:cs="Arial MT"/>
          <w:color w:val="0D0D0D"/>
          <w:sz w:val="22"/>
          <w:szCs w:val="22"/>
        </w:rPr>
        <w:t>-Emissionen und über 290 Mio. Euro an externen Kosten eingespart werden. Aus der Perspektive der Daseinsvorsorge ist es wichtig, die Rahmenbedingungen für die Wettbewerbsfähigkeit des Schienengüterverkehrs zu verbessern. Dazu gehören eine bessere Koordinierung von Bauarbeiten, die Bereitstellung von Ausweich- und Umfahrungsmöglichkeiten sowie finanzielle Unterstützungsmaßnahmen (z.B. Kompensationszahlungen) zur Deckung der durch Korridorsperrungen entstehenden Mehrkosten.</w:t>
      </w:r>
    </w:p>
    <w:p w14:paraId="302F1E02" w14:textId="77777777" w:rsidR="00623AF8" w:rsidRPr="00233EE5" w:rsidRDefault="00623AF8" w:rsidP="00623AF8"/>
    <w:p w14:paraId="1A9EF50B" w14:textId="77777777" w:rsidR="00623AF8" w:rsidRPr="00233EE5" w:rsidRDefault="00623AF8" w:rsidP="00623AF8"/>
    <w:p w14:paraId="5F2B5C75" w14:textId="77777777" w:rsidR="00623AF8" w:rsidRPr="00233EE5" w:rsidRDefault="00623AF8" w:rsidP="00623AF8"/>
    <w:p w14:paraId="1D86D234" w14:textId="77777777" w:rsidR="00623AF8" w:rsidRDefault="00623AF8" w:rsidP="00623AF8"/>
    <w:p w14:paraId="583AE104" w14:textId="77777777" w:rsidR="00623AF8" w:rsidRPr="00233EE5" w:rsidRDefault="00623AF8" w:rsidP="00623AF8"/>
    <w:p w14:paraId="65D74545" w14:textId="77777777" w:rsidR="00623AF8" w:rsidRPr="00233EE5" w:rsidRDefault="00623AF8" w:rsidP="00623AF8"/>
    <w:p w14:paraId="0E895AB6" w14:textId="77777777" w:rsidR="00623AF8" w:rsidRPr="00233EE5" w:rsidRDefault="00623AF8" w:rsidP="00623AF8"/>
    <w:p w14:paraId="4669A825"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67" w:name="_Toc170378198"/>
      <w:bookmarkStart w:id="268" w:name="_Toc170983731"/>
      <w:r w:rsidRPr="00233EE5">
        <w:rPr>
          <w:rFonts w:ascii="Aptos" w:eastAsiaTheme="majorEastAsia" w:hAnsi="Aptos" w:cstheme="majorBidi"/>
          <w:b/>
          <w:color w:val="E4342D"/>
          <w:szCs w:val="32"/>
        </w:rPr>
        <w:t>Europäischer Mobilitätsdatenraum</w:t>
      </w:r>
      <w:bookmarkEnd w:id="267"/>
      <w:bookmarkEnd w:id="268"/>
      <w:r w:rsidRPr="00233EE5">
        <w:rPr>
          <w:rFonts w:ascii="Aptos" w:eastAsiaTheme="majorEastAsia" w:hAnsi="Aptos" w:cstheme="majorBidi"/>
          <w:b/>
          <w:color w:val="E4342D"/>
          <w:szCs w:val="32"/>
        </w:rPr>
        <w:t xml:space="preserve"> </w:t>
      </w:r>
    </w:p>
    <w:p w14:paraId="5E647DD7"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3ADDEC3E" w14:textId="77777777" w:rsidTr="00875DD0">
        <w:tc>
          <w:tcPr>
            <w:tcW w:w="9060" w:type="dxa"/>
            <w:shd w:val="clear" w:color="auto" w:fill="D9D9D9" w:themeFill="background1" w:themeFillShade="D9"/>
          </w:tcPr>
          <w:p w14:paraId="503C783F"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 xml:space="preserve">Frage </w:t>
            </w:r>
          </w:p>
        </w:tc>
      </w:tr>
      <w:tr w:rsidR="00623AF8" w:rsidRPr="00233EE5" w14:paraId="5E236B07" w14:textId="77777777" w:rsidTr="00875DD0">
        <w:tc>
          <w:tcPr>
            <w:tcW w:w="9060" w:type="dxa"/>
          </w:tcPr>
          <w:p w14:paraId="6EBCDAD1" w14:textId="77777777" w:rsidR="00623AF8" w:rsidRPr="00233EE5" w:rsidRDefault="00623AF8" w:rsidP="00875DD0">
            <w:pPr>
              <w:spacing w:before="120" w:after="120"/>
              <w:jc w:val="both"/>
              <w:rPr>
                <w:rFonts w:ascii="Aptos" w:hAnsi="Aptos"/>
                <w:b/>
                <w:bCs/>
                <w:sz w:val="22"/>
                <w:szCs w:val="22"/>
              </w:rPr>
            </w:pPr>
            <w:r w:rsidRPr="00233EE5">
              <w:rPr>
                <w:rFonts w:ascii="Aptos" w:hAnsi="Aptos"/>
                <w:sz w:val="22"/>
                <w:szCs w:val="22"/>
              </w:rPr>
              <w:t xml:space="preserve">Der europäische Mobilitätsdatenraum ist eine wesentliche Voraussetzung für einen nachhaltigen Modal Split. Da Mobilitätsdaten für Innovation und Wirtschaft immer wichtiger werden, müssen Maßnahmen ergriffen werden, um die Kontrolle über diese Daten zu behalten und ihre Nutzung im Interesse der europäischen Bürger und Unternehmen zu steuern. Vor diesem Hintergrund sind Rahmenbedingungen relevant, die einen sicheren Umgang mit Mobilitätsdaten gewährleisten, den Wirtschaftsstandort Europa stärken, die europäische Wertschöpfung fördern und Innovationen voranzutreiben. </w:t>
            </w:r>
            <w:r w:rsidRPr="00233EE5">
              <w:rPr>
                <w:rFonts w:ascii="Aptos" w:hAnsi="Aptos"/>
                <w:b/>
                <w:bCs/>
                <w:sz w:val="22"/>
                <w:szCs w:val="22"/>
              </w:rPr>
              <w:t>Welche Maßnahmen werden Sie ergreifen, um den Mobilitätsdatenraum weiterzuentwickeln und gleichzeitig die Cybersicherheit zu gewährleisten?</w:t>
            </w:r>
          </w:p>
        </w:tc>
      </w:tr>
      <w:tr w:rsidR="00623AF8" w:rsidRPr="00233EE5" w14:paraId="63BE1669" w14:textId="77777777" w:rsidTr="00875DD0">
        <w:tc>
          <w:tcPr>
            <w:tcW w:w="9060" w:type="dxa"/>
            <w:shd w:val="clear" w:color="auto" w:fill="D9D9D9" w:themeFill="background1" w:themeFillShade="D9"/>
          </w:tcPr>
          <w:p w14:paraId="0FCDC2FD"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0AE1F5E7" w14:textId="77777777" w:rsidTr="00875DD0">
        <w:tc>
          <w:tcPr>
            <w:tcW w:w="9060" w:type="dxa"/>
          </w:tcPr>
          <w:p w14:paraId="0E6EA452"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Welche Maßnahmen werden Sie ergreifen, damit öffentliche Daten von möglichst unterschiedlichen Akteur:innen (Wissenschaft, öffentliche Wirtschaft, innovative Unternehmen, etc.) transparent und nachvollziehbar genutzt werden können?</w:t>
            </w:r>
          </w:p>
          <w:p w14:paraId="45A2A007"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Welche Rolle spielen europäische Unternehmen und welche Anreize wollen Sie setzen, damit diese die Datenerhebung und -verarbeitung ausbauen?</w:t>
            </w:r>
          </w:p>
        </w:tc>
      </w:tr>
    </w:tbl>
    <w:p w14:paraId="19A34BBA" w14:textId="77777777" w:rsidR="00623AF8" w:rsidRPr="00233EE5"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233EE5" w14:paraId="26C4FEE8" w14:textId="77777777" w:rsidTr="00875DD0">
        <w:trPr>
          <w:trHeight w:val="277"/>
        </w:trPr>
        <w:tc>
          <w:tcPr>
            <w:tcW w:w="9066" w:type="dxa"/>
            <w:shd w:val="clear" w:color="auto" w:fill="D9D9D9"/>
          </w:tcPr>
          <w:p w14:paraId="289CE9E0"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6E73DD86" w14:textId="77777777" w:rsidR="00623AF8" w:rsidRPr="00233EE5" w:rsidRDefault="00623AF8" w:rsidP="00623AF8">
      <w:pPr>
        <w:spacing w:after="120"/>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Der europäische Mobilitätsdatenraum ist ein wesentlicher Bestandteil der Vision und Strategie der Europäischen Kommission für einen einheitlichen europäischen Datenraum. Dieser „Binnenmarkt für Daten“ soll die Wettbewerbsfähigkeit und Datensouveränität in Europa stärken. Durch die Zusammenführung von Governance und Infrastruktur ermöglicht der Mobilitätsdatenraum die sichere und gemeinsame Nutzung von Daten. Der Mobilitätsdatenraum ist einer von neun gemeinsamen europäischen Datenräumen, die jeweils spezifische Bereiche abdecken. Er ermöglicht den Zugang zu Mobilitätsdaten von privaten und öffentlichen Akteuren, die bisher als Open Data ohne Kontrolle der (kommerziellen) Nutzung zur Verfügung gestellt wurden. Der Datenraum bietet die Möglichkeit, diese Daten mit klaren Nutzungsbedingungen zu versehen. Dabei gibt es allerdings auch Herausforderungen - so könnte die Digitalisierung zwar die Sicherheit im Straßenverkehr erhöhen, gleichzeitig aber die Sicherheit und Integrität von Verbraucherdaten gefährden. Ein wichtiges Element für die nationale Umsetzung des Mobilitätsdatenraums ist die IVS-Richtlinie, die die Verfügbarkeit und Zugänglichkeit multimodaler Verkehrs- und Reisedaten an nationalen Zugangspunkten vorsieht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xml:space="preserve"> . Diese Daten unterstützen moderne Fahrerassistenzsysteme und sollen die Effizienz und Sicherheit im Verkehr erhöhen. Daher muss der Frage des Dateneigentums und des Rechtsrahmens für den Zugang zu den Daten und deren Nutzung ausreichend Aufmerksamkeit geschenkt werden. Aus der Perspektive der Daseinsvorsorge ist die Umsetzung eines solchen Mobilitätsdatenraums eine wesentliche Grundlage für eine nachhaltige, sichere und effiziente Mobilität der Zukunft in Europa. Dazu bedarf es transparenter und nachvollziehbarer Spielregeln sowie entsprechender Rahmenbedingungen und Förderungen für öffentliche und kommunale Verkehrsunternehmen.</w:t>
      </w:r>
    </w:p>
    <w:p w14:paraId="6E065650" w14:textId="77777777" w:rsidR="00623AF8" w:rsidRPr="00233EE5" w:rsidRDefault="00623AF8" w:rsidP="00F63BE8">
      <w:pPr>
        <w:numPr>
          <w:ilvl w:val="0"/>
          <w:numId w:val="27"/>
        </w:numPr>
        <w:contextualSpacing/>
        <w:rPr>
          <w:rFonts w:ascii="Aptos" w:hAnsi="Aptos"/>
          <w:sz w:val="18"/>
          <w:szCs w:val="18"/>
        </w:rPr>
      </w:pPr>
      <w:r w:rsidRPr="00233EE5">
        <w:rPr>
          <w:rFonts w:ascii="Aptos" w:hAnsi="Aptos"/>
          <w:sz w:val="18"/>
          <w:szCs w:val="18"/>
        </w:rPr>
        <w:t>EUR-Lex. 2010: Rahmen für die Einführung intelligenter Verkehrssysteme im Straßenverkehr und für deren Schnittstellen zu anderen Verkehrsträgern</w:t>
      </w:r>
    </w:p>
    <w:p w14:paraId="37F6F43C" w14:textId="57E93AB2" w:rsidR="00623AF8" w:rsidRDefault="00AC460E" w:rsidP="00B00F29">
      <w:pPr>
        <w:ind w:left="360"/>
        <w:jc w:val="both"/>
        <w:rPr>
          <w:rFonts w:ascii="Aptos" w:hAnsi="Aptos"/>
          <w:sz w:val="18"/>
          <w:szCs w:val="18"/>
        </w:rPr>
      </w:pPr>
      <w:hyperlink r:id="rId43" w:history="1">
        <w:r w:rsidR="00623AF8" w:rsidRPr="00233EE5">
          <w:rPr>
            <w:rFonts w:ascii="Aptos" w:hAnsi="Aptos"/>
            <w:color w:val="0000FF"/>
            <w:sz w:val="18"/>
            <w:szCs w:val="18"/>
            <w:u w:val="single"/>
          </w:rPr>
          <w:t>https://eur-lex.europa.eu/legal-content/DE/TXT/?uri=CELEX%3A32010L0040</w:t>
        </w:r>
      </w:hyperlink>
    </w:p>
    <w:p w14:paraId="526FFD1D" w14:textId="77777777" w:rsidR="00B00F29" w:rsidRPr="00B00F29" w:rsidRDefault="00B00F29" w:rsidP="00B00F29">
      <w:pPr>
        <w:ind w:left="360"/>
        <w:jc w:val="both"/>
        <w:rPr>
          <w:rFonts w:ascii="Aptos" w:hAnsi="Aptos"/>
          <w:sz w:val="18"/>
          <w:szCs w:val="18"/>
        </w:rPr>
      </w:pPr>
    </w:p>
    <w:p w14:paraId="180470B3" w14:textId="77777777" w:rsidR="00623AF8" w:rsidRPr="00233EE5" w:rsidRDefault="00623AF8" w:rsidP="00623AF8">
      <w:pPr>
        <w:spacing w:after="120"/>
        <w:jc w:val="both"/>
        <w:rPr>
          <w:rFonts w:ascii="Aptos" w:hAnsi="Aptos"/>
          <w:bCs/>
          <w:iCs/>
          <w:sz w:val="22"/>
          <w:szCs w:val="22"/>
        </w:rPr>
      </w:pPr>
    </w:p>
    <w:p w14:paraId="7D6440C4"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69" w:name="_Toc164686690"/>
      <w:bookmarkStart w:id="270" w:name="_Toc164843202"/>
      <w:bookmarkStart w:id="271" w:name="_Hlk166490284"/>
      <w:bookmarkStart w:id="272" w:name="_Toc170378199"/>
      <w:bookmarkStart w:id="273" w:name="_Toc170983732"/>
      <w:r w:rsidRPr="00233EE5">
        <w:rPr>
          <w:rFonts w:ascii="Aptos" w:eastAsiaTheme="majorEastAsia" w:hAnsi="Aptos" w:cstheme="majorBidi"/>
          <w:b/>
          <w:color w:val="E4342D"/>
          <w:szCs w:val="32"/>
        </w:rPr>
        <w:t>Multimodale Mobilität – Kosten für öffentliche/kommunale Verkehrsbetriebe</w:t>
      </w:r>
      <w:bookmarkEnd w:id="269"/>
      <w:bookmarkEnd w:id="270"/>
      <w:bookmarkEnd w:id="271"/>
      <w:bookmarkEnd w:id="272"/>
      <w:bookmarkEnd w:id="273"/>
    </w:p>
    <w:p w14:paraId="0A1592D2"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4FE3DFC5" w14:textId="77777777" w:rsidTr="00875DD0">
        <w:tc>
          <w:tcPr>
            <w:tcW w:w="9060" w:type="dxa"/>
            <w:shd w:val="clear" w:color="auto" w:fill="D9D9D9" w:themeFill="background1" w:themeFillShade="D9"/>
          </w:tcPr>
          <w:p w14:paraId="78AE4040"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 xml:space="preserve">Frage </w:t>
            </w:r>
          </w:p>
        </w:tc>
      </w:tr>
      <w:tr w:rsidR="00623AF8" w:rsidRPr="00233EE5" w14:paraId="19E3048F" w14:textId="77777777" w:rsidTr="00875DD0">
        <w:tc>
          <w:tcPr>
            <w:tcW w:w="9060" w:type="dxa"/>
            <w:shd w:val="clear" w:color="auto" w:fill="FFFFFF" w:themeFill="background1"/>
          </w:tcPr>
          <w:p w14:paraId="740C609B" w14:textId="77777777" w:rsidR="00623AF8" w:rsidRPr="00233EE5" w:rsidRDefault="00623AF8" w:rsidP="00875DD0">
            <w:pPr>
              <w:spacing w:before="120" w:after="120"/>
              <w:jc w:val="both"/>
              <w:rPr>
                <w:rFonts w:ascii="Aptos" w:hAnsi="Aptos"/>
                <w:sz w:val="22"/>
                <w:szCs w:val="22"/>
                <w:highlight w:val="yellow"/>
              </w:rPr>
            </w:pPr>
            <w:r w:rsidRPr="00233EE5">
              <w:rPr>
                <w:rFonts w:ascii="Aptos" w:hAnsi="Aptos"/>
                <w:sz w:val="22"/>
                <w:szCs w:val="22"/>
              </w:rPr>
              <w:t xml:space="preserve">Die Integration externer Dienstleister in die Plattformen der öffentlichen Betreiber des Personennahverkehrs (z.B. Car-Sharing-Anbieter) ist für öffentliche und kommunale Unternehmen mit erheblichen Zusatzkosten verbunden. Die Kosten für solche Schnittstellen müssen vom öffentlichen und kommunalen Betreiber getragen werden, die auch im Falle des Rückzugs externer Dienstleister die finanziellen Folgen allein zu tragen hat. </w:t>
            </w:r>
            <w:r w:rsidRPr="00233EE5">
              <w:rPr>
                <w:rFonts w:ascii="Aptos" w:hAnsi="Aptos"/>
                <w:b/>
                <w:bCs/>
                <w:sz w:val="22"/>
                <w:szCs w:val="22"/>
              </w:rPr>
              <w:t>Wie kann sichergestellt werden, dass die Kosten für die Einbindung externer Akteure nicht ausschließlich von den öffentlichen und kommunalen Plattformbetreibern getragen werden müssen?</w:t>
            </w:r>
          </w:p>
        </w:tc>
      </w:tr>
      <w:tr w:rsidR="00623AF8" w:rsidRPr="00233EE5" w14:paraId="73E2A281" w14:textId="77777777" w:rsidTr="00875DD0">
        <w:tc>
          <w:tcPr>
            <w:tcW w:w="9060" w:type="dxa"/>
            <w:shd w:val="clear" w:color="auto" w:fill="D9D9D9" w:themeFill="background1" w:themeFillShade="D9"/>
          </w:tcPr>
          <w:p w14:paraId="3532AB4E"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1457AF4E" w14:textId="77777777" w:rsidTr="00875DD0">
        <w:tc>
          <w:tcPr>
            <w:tcW w:w="9060" w:type="dxa"/>
          </w:tcPr>
          <w:p w14:paraId="58812087"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möchten Sie sicherstellen, dass die Organisation, die den tatsächlichen oder relativen Mehrwert/Nutzen einer Integration in öffentliche Plattformen erhält, auch die Kosten dieser Integration trägt - z.B. die Integration privater Sharing-Anbieter in Anwendungen kommunaler/öffentlicher Betreiber?</w:t>
            </w:r>
          </w:p>
          <w:p w14:paraId="6CC9CA02"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Welche Rolle spielen aus Ihrer Sicht Kofinanzierungsmodelle zwischen privaten und öffentlichen Betreibern, um Anreize für neue Formen multimodaler Mobilität zu fördern?</w:t>
            </w:r>
          </w:p>
        </w:tc>
      </w:tr>
    </w:tbl>
    <w:p w14:paraId="02ED117D" w14:textId="77777777" w:rsidR="00623AF8" w:rsidRPr="00233EE5" w:rsidRDefault="00623AF8" w:rsidP="00623AF8">
      <w:pPr>
        <w:spacing w:after="120"/>
        <w:jc w:val="both"/>
        <w:rPr>
          <w:rFonts w:ascii="Aptos" w:hAnsi="Aptos"/>
          <w:bCs/>
          <w:iCs/>
          <w:sz w:val="20"/>
          <w:szCs w:val="20"/>
        </w:rPr>
      </w:pPr>
    </w:p>
    <w:tbl>
      <w:tblPr>
        <w:tblStyle w:val="TableNormal2"/>
        <w:tblW w:w="0" w:type="auto"/>
        <w:tblLayout w:type="fixed"/>
        <w:tblLook w:val="01E0" w:firstRow="1" w:lastRow="1" w:firstColumn="1" w:lastColumn="1" w:noHBand="0" w:noVBand="0"/>
      </w:tblPr>
      <w:tblGrid>
        <w:gridCol w:w="9066"/>
      </w:tblGrid>
      <w:tr w:rsidR="00623AF8" w:rsidRPr="00233EE5" w14:paraId="23352744" w14:textId="77777777" w:rsidTr="00875DD0">
        <w:trPr>
          <w:trHeight w:val="277"/>
        </w:trPr>
        <w:tc>
          <w:tcPr>
            <w:tcW w:w="9066" w:type="dxa"/>
            <w:shd w:val="clear" w:color="auto" w:fill="D9D9D9"/>
          </w:tcPr>
          <w:p w14:paraId="5BC4AD31"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49302CDA" w14:textId="77777777" w:rsidR="00623AF8" w:rsidRPr="00233EE5" w:rsidRDefault="00623AF8" w:rsidP="00623AF8">
      <w:pPr>
        <w:spacing w:after="120"/>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Die Förderung der multimodalen Mobilität ist ein zentrales Ziel der EU, das durch die geänderte MMTIS-Verordnung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xml:space="preserve"> unterstützt wird. Mit dieser Verordnung soll sichergestellt werden, dass EU-weite multimodale Reiseinformationsdienste und damit intelligente Verkehrssysteme den Reisenden grenzüberschreitend zur Verfügung stehen. Zur Bereitstellung genauer und leicht zugänglicher multimodaler Reiseinformationen werden zusätzliche statische, historische, beobachtete und dynamische Daten benötigt. Die Erfassung, Bereitstellung, Speicherung und Konvertierung dieser Datensätze stellt jedoch eine erhebliche finanzielle Herausforderung für die Betreiber des öffentlichen Verkehrs dar. Besonders hoch sind die Kosten für die Erhebung und Übermittlung dynamischer Reisedaten bei Verkehrsfrequenzen im maximalen Halbstundentakt, die Berechnung von Fahrplänen sowie die Datenkonvertierung. Hinzu kommen die Kosten für Entwicklung, Implementierung bzw. Integration, digitale Infrastruktur sowie Wartung und Support. Personalkosten, rechtliche und regulatorische Kosten im Bereich des Datenschutzes sowie operative Kosten einschließlich Marketing und Kommunikation sind ebenfalls zu berücksichtigen. Um die Integration externer Mobilitätsanbieter (z.B. Car-Sharing-Angebote) in die Plattformen der öffentlichen Betreiber zu gewährleisten, ist zudem eine kontinuierliche Überprüfung der Richtigkeit und Zuverlässigkeit der angebotenen Informationen erforderlich. Sollten externe Anbieter ihre Zusagen nicht einhalten oder ungenaue Daten liefern, könnten die öffentlichen Betreiber für daraus resultierende Probleme oder Unannehmlichkeiten haftbar gemacht werden. Aus der Perspektive der Daseinsvorsorge ist es von entscheidender Bedeutung, dass die Umsetzung multimodaler Mobilität praktikabel ist und den öffentlichen und kommunalen Verkehrsunternehmen keine außergewöhnlichen Kosten entstehen.</w:t>
      </w:r>
    </w:p>
    <w:p w14:paraId="5835762B" w14:textId="77777777" w:rsidR="00623AF8" w:rsidRPr="00233EE5" w:rsidRDefault="00623AF8" w:rsidP="00F63BE8">
      <w:pPr>
        <w:numPr>
          <w:ilvl w:val="0"/>
          <w:numId w:val="28"/>
        </w:numPr>
        <w:contextualSpacing/>
        <w:rPr>
          <w:rFonts w:ascii="Aptos" w:hAnsi="Aptos"/>
          <w:sz w:val="18"/>
          <w:szCs w:val="18"/>
        </w:rPr>
      </w:pPr>
      <w:r w:rsidRPr="00233EE5">
        <w:rPr>
          <w:rFonts w:ascii="Aptos" w:hAnsi="Aptos"/>
          <w:sz w:val="18"/>
          <w:szCs w:val="18"/>
        </w:rPr>
        <w:lastRenderedPageBreak/>
        <w:t>EUR-Lex. 2023: Änderung hinsichtlich der Bereitstellung EU-weiter multimodaler Reiseinformationsdienste</w:t>
      </w:r>
    </w:p>
    <w:p w14:paraId="16033AB2" w14:textId="77777777" w:rsidR="00623AF8" w:rsidRPr="00233EE5" w:rsidRDefault="00AC460E" w:rsidP="00623AF8">
      <w:pPr>
        <w:ind w:left="360"/>
        <w:contextualSpacing/>
        <w:jc w:val="both"/>
        <w:rPr>
          <w:rFonts w:ascii="Aptos" w:hAnsi="Aptos"/>
          <w:sz w:val="18"/>
          <w:szCs w:val="18"/>
        </w:rPr>
      </w:pPr>
      <w:hyperlink r:id="rId44" w:history="1">
        <w:r w:rsidR="00623AF8" w:rsidRPr="00233EE5">
          <w:rPr>
            <w:rFonts w:ascii="Aptos" w:hAnsi="Aptos"/>
            <w:color w:val="0000FF"/>
            <w:sz w:val="18"/>
            <w:szCs w:val="18"/>
            <w:u w:val="single"/>
          </w:rPr>
          <w:t>https://eur-lex.europa.eu/legal-content/DE/TXT/?uri=CELEX%3A32010L0040</w:t>
        </w:r>
      </w:hyperlink>
    </w:p>
    <w:p w14:paraId="14EF87CC" w14:textId="77777777" w:rsidR="00623AF8" w:rsidRPr="00233EE5" w:rsidRDefault="00623AF8" w:rsidP="00623AF8">
      <w:pPr>
        <w:rPr>
          <w:sz w:val="22"/>
          <w:szCs w:val="22"/>
        </w:rPr>
      </w:pPr>
    </w:p>
    <w:p w14:paraId="44395B60" w14:textId="77777777" w:rsidR="00623AF8" w:rsidRPr="00233EE5" w:rsidRDefault="00623AF8" w:rsidP="00623AF8"/>
    <w:p w14:paraId="6773498A" w14:textId="77777777" w:rsidR="00623AF8" w:rsidRPr="00233EE5" w:rsidRDefault="00623AF8" w:rsidP="00623AF8"/>
    <w:p w14:paraId="4CD920E7"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74" w:name="_Toc170378200"/>
      <w:bookmarkStart w:id="275" w:name="_Toc170983733"/>
      <w:r w:rsidRPr="00233EE5">
        <w:rPr>
          <w:rFonts w:ascii="Aptos" w:eastAsiaTheme="majorEastAsia" w:hAnsi="Aptos" w:cstheme="majorBidi"/>
          <w:b/>
          <w:color w:val="E4342D"/>
          <w:szCs w:val="32"/>
        </w:rPr>
        <w:t>Multimodales Verkehrsmanagement</w:t>
      </w:r>
      <w:bookmarkEnd w:id="274"/>
      <w:bookmarkEnd w:id="275"/>
    </w:p>
    <w:p w14:paraId="40D01BBA"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33135A67" w14:textId="77777777" w:rsidTr="00875DD0">
        <w:tc>
          <w:tcPr>
            <w:tcW w:w="9060" w:type="dxa"/>
            <w:shd w:val="clear" w:color="auto" w:fill="D9D9D9" w:themeFill="background1" w:themeFillShade="D9"/>
          </w:tcPr>
          <w:p w14:paraId="0AC4984C"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2C5358A4" w14:textId="77777777" w:rsidTr="00875DD0">
        <w:tc>
          <w:tcPr>
            <w:tcW w:w="9060" w:type="dxa"/>
          </w:tcPr>
          <w:p w14:paraId="087FDD24" w14:textId="77777777" w:rsidR="00623AF8" w:rsidRPr="00233EE5" w:rsidRDefault="00623AF8" w:rsidP="00875DD0">
            <w:pPr>
              <w:spacing w:before="120" w:after="120"/>
              <w:jc w:val="both"/>
              <w:rPr>
                <w:rFonts w:ascii="Aptos" w:hAnsi="Aptos"/>
                <w:sz w:val="22"/>
                <w:szCs w:val="22"/>
              </w:rPr>
            </w:pPr>
            <w:r w:rsidRPr="00233EE5">
              <w:rPr>
                <w:rFonts w:ascii="Aptos" w:hAnsi="Aptos"/>
                <w:sz w:val="22"/>
                <w:szCs w:val="22"/>
              </w:rPr>
              <w:t xml:space="preserve">Ein wesentlicher Faktor zur Erreichung eines nachhaltigen Modal Splits und der Ziele des Green New Deal sowie des Fit for 55-Pakets ist das multimodale Verkehrsmanagement. Fahrgäste erwarten in im Falle einer spontanen Veränderung der Reiseplanung ein Höchstmaß an Spontaneität und Zuverlässigkeit. Beispielsweise erwarten sich Kundinnen und Kunden, die mit dem Kinderwagen unterwegs sind, Informationen darüber, wo sich die nächste Station mit Lift befindet. Ein multimodales Verkehrsmanagement erleichtert die Reiseplanung für Reisende, die verschiedene Verkehrsmittel kombinieren möchten.  </w:t>
            </w:r>
            <w:r w:rsidRPr="00233EE5">
              <w:rPr>
                <w:rFonts w:ascii="Aptos" w:hAnsi="Aptos"/>
                <w:b/>
                <w:bCs/>
                <w:sz w:val="22"/>
                <w:szCs w:val="22"/>
              </w:rPr>
              <w:t>Welche Initiativen planen Sie, um die nationale Umsetzung eines nahtlosen multimodalen Verkehrsmanagements in Europa zu ermöglichen bzw. zu unterstützen?</w:t>
            </w:r>
          </w:p>
        </w:tc>
      </w:tr>
      <w:tr w:rsidR="00623AF8" w:rsidRPr="00233EE5" w14:paraId="7E88C260" w14:textId="77777777" w:rsidTr="00875DD0">
        <w:tc>
          <w:tcPr>
            <w:tcW w:w="9060" w:type="dxa"/>
            <w:shd w:val="clear" w:color="auto" w:fill="D9D9D9" w:themeFill="background1" w:themeFillShade="D9"/>
          </w:tcPr>
          <w:p w14:paraId="147C45A7"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572F5378" w14:textId="77777777" w:rsidTr="00875DD0">
        <w:tc>
          <w:tcPr>
            <w:tcW w:w="9060" w:type="dxa"/>
          </w:tcPr>
          <w:p w14:paraId="5F95CB3E"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Wie wollen Sie im Güterverkehr ein multimodales Verkehrsmanagement fördern, das ein Level-Playing-Field zwischen Straße und Schiene ermöglicht? </w:t>
            </w:r>
          </w:p>
          <w:p w14:paraId="10A2F8CC" w14:textId="77777777" w:rsidR="00623AF8" w:rsidRPr="00233EE5" w:rsidRDefault="00623AF8" w:rsidP="00F63BE8">
            <w:pPr>
              <w:numPr>
                <w:ilvl w:val="0"/>
                <w:numId w:val="11"/>
              </w:numPr>
              <w:contextualSpacing/>
              <w:rPr>
                <w:rFonts w:ascii="Aptos" w:hAnsi="Aptos"/>
                <w:sz w:val="22"/>
                <w:szCs w:val="22"/>
                <w:lang w:val="de-DE"/>
              </w:rPr>
            </w:pPr>
            <w:r w:rsidRPr="00233EE5">
              <w:rPr>
                <w:rFonts w:ascii="Aptos" w:hAnsi="Aptos"/>
                <w:sz w:val="22"/>
                <w:szCs w:val="22"/>
              </w:rPr>
              <w:t>Wie gedenken Sie im Personenverkehr ein multimodales Verkehrsmanagement zu fördern, das ein Level-Playing-Field zwischen öffentlichen und privaten Verkehrsanbietern ermöglicht?</w:t>
            </w:r>
          </w:p>
        </w:tc>
      </w:tr>
    </w:tbl>
    <w:p w14:paraId="4DA2069F"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789AF427" w14:textId="77777777" w:rsidTr="00875DD0">
        <w:trPr>
          <w:trHeight w:val="277"/>
        </w:trPr>
        <w:tc>
          <w:tcPr>
            <w:tcW w:w="9066" w:type="dxa"/>
            <w:shd w:val="clear" w:color="auto" w:fill="D9D9D9"/>
          </w:tcPr>
          <w:p w14:paraId="5BE4EE68"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6B957D58"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Der öffentliche Verkehr ist eine kritische Infrastruktur, die nicht nur einen wesentlichen Beitrag zur Bruttowertschöpfung der EU leistet, sondern auch zur Versorgungssicherheit, zur Sicherheitsarchitektur und zur Widerstandsfähigkeit unserer Gesellschaft beiträgt. Sie ist ein zentraler Pfeiler der sozialen, wirtschaftlichen und ökologischen Nachhaltigkeit und spielt eine Schlüsselrolle bei der Erreichung der Klima- und Energieziele der EU. In diesem Zusammenhang ist die multimodale Mobilität und damit auch die MMTIS-Verordnung ein wichtiger Schritt, um den öffentlichen Verkehr für die Fahrgäste attraktiver zu machen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Konkret bedeutet multimodale Mobilität die Verbesserung der Verkehrsdienstleistungen für die Fahrgäste, um ihnen die Planung von Reisen zu erleichtern, bei denen verschiedene Verkehrsmittel kombiniert werden. Die Verordnung, die Ende Januar 2024 in Kraft tritt und nun auf nationaler Ebene umgesetzt werden muss, ist ein zentrales Element der EU-Strategie zur Förderung eines intelligenten und nachhaltigen Verkehrssystems. Für genaue und leicht zugängliche multimodale Reiseinformationsdienste werden zusätzliche Arten von statischen, historischen, beobachteten und dynamischen Daten benötigt. Die Umsetzung der MMTIS-Verordnung muss daher technische und finanzielle Hürden überwinden, um den operativen Betrieb der Verkehrsdienstleister nicht zu beeinträchtigen. Aus der Perspektive der Daseinsvorsorge ist es von entscheidender Bedeutung, dass die Umsetzung praktikabel ist und den öffentlichen und kommunalen Verkehrsunternehmen keine außergewöhnlichen Kosten entstehen.</w:t>
      </w:r>
    </w:p>
    <w:p w14:paraId="60F67880" w14:textId="77777777" w:rsidR="00623AF8" w:rsidRPr="00233EE5" w:rsidRDefault="00623AF8" w:rsidP="00623AF8">
      <w:pPr>
        <w:jc w:val="both"/>
        <w:rPr>
          <w:rFonts w:ascii="Aptos" w:eastAsia="Arial MT" w:hAnsi="Aptos" w:cs="Arial MT"/>
          <w:color w:val="0D0D0D"/>
          <w:sz w:val="22"/>
          <w:szCs w:val="22"/>
        </w:rPr>
      </w:pPr>
    </w:p>
    <w:p w14:paraId="6A79B71D" w14:textId="77777777" w:rsidR="00623AF8" w:rsidRPr="00233EE5" w:rsidRDefault="00623AF8" w:rsidP="00F63BE8">
      <w:pPr>
        <w:numPr>
          <w:ilvl w:val="0"/>
          <w:numId w:val="29"/>
        </w:numPr>
        <w:contextualSpacing/>
        <w:rPr>
          <w:rFonts w:ascii="Aptos" w:hAnsi="Aptos"/>
          <w:sz w:val="18"/>
          <w:szCs w:val="18"/>
        </w:rPr>
      </w:pPr>
      <w:r w:rsidRPr="00233EE5">
        <w:rPr>
          <w:rFonts w:ascii="Aptos" w:hAnsi="Aptos"/>
          <w:sz w:val="18"/>
          <w:szCs w:val="18"/>
        </w:rPr>
        <w:t>EUR-Lex. 2023: Änderung hinsichtlich der Bereitstellung EU-weiter multimodaler Reiseinformationsdienste</w:t>
      </w:r>
    </w:p>
    <w:p w14:paraId="5A72D3F6" w14:textId="77777777" w:rsidR="00623AF8" w:rsidRPr="00233EE5" w:rsidRDefault="00AC460E" w:rsidP="00623AF8">
      <w:pPr>
        <w:ind w:left="360"/>
        <w:contextualSpacing/>
        <w:jc w:val="both"/>
        <w:rPr>
          <w:rFonts w:ascii="Aptos" w:hAnsi="Aptos"/>
          <w:sz w:val="18"/>
          <w:szCs w:val="18"/>
        </w:rPr>
      </w:pPr>
      <w:hyperlink r:id="rId45" w:history="1">
        <w:r w:rsidR="00623AF8" w:rsidRPr="00233EE5">
          <w:rPr>
            <w:rFonts w:ascii="Aptos" w:hAnsi="Aptos"/>
            <w:color w:val="0000FF"/>
            <w:sz w:val="18"/>
            <w:szCs w:val="18"/>
            <w:u w:val="single"/>
          </w:rPr>
          <w:t>https://eur-lex.europa.eu/legal-content/DE/TXT/?uri=CELEX%3A32010L0040</w:t>
        </w:r>
      </w:hyperlink>
    </w:p>
    <w:p w14:paraId="023A6AF3" w14:textId="77777777" w:rsidR="00623AF8" w:rsidRPr="00233EE5" w:rsidRDefault="00623AF8" w:rsidP="00623AF8">
      <w:pPr>
        <w:jc w:val="both"/>
        <w:rPr>
          <w:rFonts w:ascii="Aptos" w:eastAsia="Arial MT" w:hAnsi="Aptos" w:cs="Arial MT"/>
          <w:color w:val="0D0D0D"/>
          <w:sz w:val="22"/>
          <w:szCs w:val="22"/>
        </w:rPr>
      </w:pPr>
    </w:p>
    <w:p w14:paraId="162592F1" w14:textId="77777777" w:rsidR="00623AF8" w:rsidRPr="00233EE5" w:rsidRDefault="00623AF8" w:rsidP="00623AF8">
      <w:pPr>
        <w:jc w:val="both"/>
        <w:rPr>
          <w:rFonts w:ascii="Aptos" w:eastAsia="Arial MT" w:hAnsi="Aptos" w:cs="Arial MT"/>
          <w:color w:val="0D0D0D"/>
          <w:sz w:val="22"/>
          <w:szCs w:val="22"/>
        </w:rPr>
      </w:pPr>
    </w:p>
    <w:p w14:paraId="3A82F6E7" w14:textId="77777777" w:rsidR="00623AF8" w:rsidRPr="00233EE5" w:rsidRDefault="00623AF8" w:rsidP="00623AF8">
      <w:pPr>
        <w:jc w:val="both"/>
        <w:rPr>
          <w:rFonts w:ascii="Aptos" w:eastAsia="Arial MT" w:hAnsi="Aptos" w:cs="Arial MT"/>
          <w:color w:val="0D0D0D"/>
          <w:sz w:val="22"/>
          <w:szCs w:val="22"/>
        </w:rPr>
      </w:pPr>
    </w:p>
    <w:p w14:paraId="0C5DB804"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76" w:name="_Toc170378201"/>
      <w:bookmarkStart w:id="277" w:name="_Toc170983734"/>
      <w:r w:rsidRPr="00233EE5">
        <w:rPr>
          <w:rFonts w:ascii="Aptos" w:eastAsiaTheme="majorEastAsia" w:hAnsi="Aptos" w:cstheme="majorBidi"/>
          <w:b/>
          <w:color w:val="E4342D"/>
          <w:szCs w:val="32"/>
        </w:rPr>
        <w:t>Ausbau der Terminalkapazitäten</w:t>
      </w:r>
      <w:bookmarkEnd w:id="276"/>
      <w:bookmarkEnd w:id="277"/>
    </w:p>
    <w:p w14:paraId="026923E2"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065E7747" w14:textId="77777777" w:rsidTr="00875DD0">
        <w:tc>
          <w:tcPr>
            <w:tcW w:w="9060" w:type="dxa"/>
            <w:shd w:val="clear" w:color="auto" w:fill="D9D9D9" w:themeFill="background1" w:themeFillShade="D9"/>
          </w:tcPr>
          <w:p w14:paraId="169251F2"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716DE821" w14:textId="77777777" w:rsidTr="00875DD0">
        <w:tc>
          <w:tcPr>
            <w:tcW w:w="9060" w:type="dxa"/>
          </w:tcPr>
          <w:p w14:paraId="71129869" w14:textId="77777777" w:rsidR="00623AF8" w:rsidRPr="00233EE5" w:rsidRDefault="00623AF8" w:rsidP="00875DD0">
            <w:pPr>
              <w:spacing w:after="120"/>
              <w:jc w:val="both"/>
              <w:rPr>
                <w:rFonts w:ascii="Aptos" w:hAnsi="Aptos"/>
                <w:bCs/>
                <w:iCs/>
                <w:sz w:val="22"/>
                <w:szCs w:val="22"/>
              </w:rPr>
            </w:pPr>
            <w:r w:rsidRPr="00233EE5">
              <w:rPr>
                <w:rFonts w:ascii="Aptos" w:hAnsi="Aptos"/>
                <w:bCs/>
                <w:iCs/>
                <w:sz w:val="22"/>
                <w:szCs w:val="22"/>
              </w:rPr>
              <w:t xml:space="preserve">Ausreichende Terminalkapazitäten sind die Voraussetzung für das multimodale Verkehrsmanagement und den weiteren Modal Shift Richtung Schiene. Derzeit gibt es jedoch zu wenige Terminals und bestehende Terminals erfüllen oft nicht die Kriterien der TEN-T Core Terminals. Terminalbetreibern kann nicht zugemutet werden, die Investitionslast und das Risiko für die Errichtung, Erweiterung oder das Upgrade der Terminals im Sinne der TEN-T Regulation zu tragen. </w:t>
            </w:r>
            <w:r w:rsidRPr="00233EE5">
              <w:rPr>
                <w:rFonts w:ascii="Aptos" w:hAnsi="Aptos"/>
                <w:b/>
                <w:iCs/>
                <w:sz w:val="22"/>
                <w:szCs w:val="22"/>
              </w:rPr>
              <w:t>Wie wollen Sie sicherstellen, dass es in Europa genügend Terminals, die den Kriterien der überarbeiteten TEN-T Verordnung entsprechen, gibt?</w:t>
            </w:r>
          </w:p>
        </w:tc>
      </w:tr>
      <w:tr w:rsidR="00623AF8" w:rsidRPr="00233EE5" w14:paraId="6720AFA6" w14:textId="77777777" w:rsidTr="00875DD0">
        <w:tc>
          <w:tcPr>
            <w:tcW w:w="9060" w:type="dxa"/>
            <w:shd w:val="clear" w:color="auto" w:fill="D9D9D9" w:themeFill="background1" w:themeFillShade="D9"/>
          </w:tcPr>
          <w:p w14:paraId="206F4116"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37463DEE" w14:textId="77777777" w:rsidTr="00875DD0">
        <w:tc>
          <w:tcPr>
            <w:tcW w:w="9060" w:type="dxa"/>
          </w:tcPr>
          <w:p w14:paraId="6BFF5828"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Sind konkrete Förderungen geplant, um zusätzliche Terminalkapazitäten zu schaffen? </w:t>
            </w:r>
          </w:p>
          <w:p w14:paraId="3DE5E31A"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Über welche Förderinstrumente sollen diese zusätzlichen Kapazitäten finanziert werden?</w:t>
            </w:r>
          </w:p>
        </w:tc>
      </w:tr>
    </w:tbl>
    <w:p w14:paraId="1CC29301"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3F8847B5" w14:textId="77777777" w:rsidTr="00875DD0">
        <w:trPr>
          <w:trHeight w:val="277"/>
        </w:trPr>
        <w:tc>
          <w:tcPr>
            <w:tcW w:w="9066" w:type="dxa"/>
            <w:shd w:val="clear" w:color="auto" w:fill="D9D9D9"/>
          </w:tcPr>
          <w:p w14:paraId="6F8E4209"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6A33CF15" w14:textId="77777777" w:rsidR="00623AF8" w:rsidRPr="00233EE5" w:rsidRDefault="00623AF8" w:rsidP="00623AF8">
      <w:pPr>
        <w:spacing w:after="120"/>
        <w:jc w:val="both"/>
        <w:rPr>
          <w:rFonts w:ascii="Aptos" w:eastAsia="Arial MT" w:hAnsi="Aptos" w:cs="Arial MT"/>
          <w:color w:val="0D0D0D"/>
          <w:sz w:val="22"/>
          <w:szCs w:val="22"/>
        </w:rPr>
      </w:pPr>
      <w:r w:rsidRPr="00233EE5">
        <w:rPr>
          <w:rFonts w:ascii="Aptos" w:eastAsia="Arial MT" w:hAnsi="Aptos" w:cs="Arial MT"/>
          <w:color w:val="0D0D0D"/>
          <w:sz w:val="22"/>
          <w:szCs w:val="22"/>
        </w:rPr>
        <w:t>Der Ausbau der Terminalkapazitäten ist für die Verkehrslogistik und die Entwicklung des TEN-V-Netzes von entscheidender Bedeutung, da Terminals als zentrale Knotenpunkte fungieren, an denen verschiedene Verkehrsträger wie Schiff, Schiene, Lkw und Flugzeug zusammentreffen (1 ). Diese Standorte sind für den effizienten Umschlag von Ladeeinheiten wie Containern, Wechselbehältern und Sattelanhängern unerlässlich. Für die angestrebte Verlagerung auf die Schiene und die (Weiter-)Entwicklung einer durchgängigen intermodalen Transportkette sind entsprechende Verfügbarkeiten und Kapazitäten im Zugang zum Schienennetz, d.h. Terminals, sowie Fördermodelle, die die damit verbundenen Investitionen abfedern, unabdingbar. Insbesondere für den Kombinierten Verkehr fungieren intermodale Terminals als Drehscheibe zwischen den verschiedenen Verkehrsträgern. Der Ausbau und die Modernisierung der Terminals wurden in den letzten Jahren jedoch vernachlässigt. Die vorhandenen Kapazitäten reichen oft nicht aus, um die steigende Nachfrage im Kombinierten Verkehr zu befriedigen. Um diesem Engpass entgegenzuwirken, muss das europäische Terminalnetz durch Ausbau, Modernisierung und Erweiterung gestärkt werden. Dies umfasst unter anderem die Verbesserung der Infrastruktur wie Ladegleise und Umschlagflächen sowie den Ausbau von Dienstleistungen wie Zollabfertigung und Ladungsvorbereitung. Aus der Perspektive der Daseinsvorsorge ist die Verfügbarkeit ausreichender Terminalkapazitäten eine wesentliche Voraussetzung für die weitere Verkehrsverlagerung auf die Schiene im Sinne der Nachhaltigkeitsziele der EU. Nach heutigem Stand fehlen an vielen Stellen in Europa ausreichend Terminals, die den Anforderungen des Kombinierten Verkehrs entsprechen. Bestehende Terminals müssen daher gezielt modernisiert und neue Terminals unter Berücksichtigung der TEN-T-Kernanforderungen entwickelt werden, um Effizienz und Kapazität zu steigern. Öffentliche und private Investitionen sowie Fördermodelle zur finanziellen Entlastung der Terminalbetreiber sind dabei unerlässlich.</w:t>
      </w:r>
    </w:p>
    <w:p w14:paraId="609C3AC9" w14:textId="77777777" w:rsidR="00623AF8" w:rsidRPr="00233EE5" w:rsidRDefault="00623AF8" w:rsidP="00F63BE8">
      <w:pPr>
        <w:numPr>
          <w:ilvl w:val="0"/>
          <w:numId w:val="30"/>
        </w:numPr>
        <w:contextualSpacing/>
        <w:rPr>
          <w:rFonts w:ascii="Aptos" w:hAnsi="Aptos"/>
          <w:sz w:val="18"/>
          <w:szCs w:val="18"/>
        </w:rPr>
      </w:pPr>
      <w:r w:rsidRPr="00233EE5">
        <w:rPr>
          <w:rFonts w:ascii="Aptos" w:hAnsi="Aptos"/>
          <w:sz w:val="18"/>
          <w:szCs w:val="18"/>
        </w:rPr>
        <w:t>European Commission 2024: Trans-European Transport Network (TEN-T)</w:t>
      </w:r>
    </w:p>
    <w:p w14:paraId="648808E9" w14:textId="77777777" w:rsidR="00623AF8" w:rsidRPr="00233EE5" w:rsidRDefault="00AC460E" w:rsidP="00623AF8">
      <w:pPr>
        <w:ind w:left="360"/>
        <w:contextualSpacing/>
        <w:jc w:val="both"/>
        <w:rPr>
          <w:rFonts w:ascii="Aptos" w:hAnsi="Aptos"/>
          <w:sz w:val="18"/>
          <w:szCs w:val="18"/>
        </w:rPr>
      </w:pPr>
      <w:hyperlink r:id="rId46" w:history="1">
        <w:r w:rsidR="00623AF8" w:rsidRPr="00233EE5">
          <w:rPr>
            <w:rFonts w:ascii="Aptos" w:hAnsi="Aptos"/>
            <w:color w:val="0000FF"/>
            <w:sz w:val="18"/>
            <w:szCs w:val="18"/>
            <w:u w:val="single"/>
          </w:rPr>
          <w:t>https://transport.ec.europa.eu/transport-themes/infrastructure-and-investment/trans-european-transport-network-ten-t_en</w:t>
        </w:r>
      </w:hyperlink>
    </w:p>
    <w:p w14:paraId="51CAAEF5" w14:textId="77777777" w:rsidR="00623AF8" w:rsidRPr="00233EE5" w:rsidRDefault="00623AF8" w:rsidP="00623AF8">
      <w:pPr>
        <w:rPr>
          <w:rFonts w:ascii="Aptos" w:hAnsi="Aptos"/>
          <w:bCs/>
          <w:sz w:val="22"/>
          <w:szCs w:val="22"/>
        </w:rPr>
      </w:pPr>
    </w:p>
    <w:p w14:paraId="67A6BE73" w14:textId="77777777" w:rsidR="00623AF8" w:rsidRPr="00233EE5" w:rsidRDefault="00623AF8" w:rsidP="00623AF8">
      <w:pPr>
        <w:rPr>
          <w:rFonts w:ascii="Aptos" w:hAnsi="Aptos"/>
          <w:bCs/>
          <w:sz w:val="22"/>
          <w:szCs w:val="22"/>
        </w:rPr>
      </w:pPr>
      <w:r w:rsidRPr="00233EE5">
        <w:rPr>
          <w:rFonts w:ascii="Aptos" w:hAnsi="Aptos"/>
          <w:bCs/>
          <w:sz w:val="22"/>
          <w:szCs w:val="22"/>
        </w:rPr>
        <w:br w:type="page"/>
      </w:r>
    </w:p>
    <w:p w14:paraId="02E52CA1" w14:textId="77777777" w:rsidR="00623AF8" w:rsidRPr="00233EE5" w:rsidRDefault="00623AF8" w:rsidP="00623AF8"/>
    <w:p w14:paraId="2CEDD0B7" w14:textId="77777777" w:rsidR="00623AF8" w:rsidRPr="00233EE5" w:rsidRDefault="00623AF8" w:rsidP="00623AF8"/>
    <w:p w14:paraId="3A6CC71D"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78" w:name="_Toc170378202"/>
      <w:bookmarkStart w:id="279" w:name="_Toc170983735"/>
      <w:r w:rsidRPr="00233EE5">
        <w:rPr>
          <w:rFonts w:ascii="Aptos" w:eastAsiaTheme="majorEastAsia" w:hAnsi="Aptos" w:cstheme="majorBidi"/>
          <w:b/>
          <w:color w:val="E4342D"/>
          <w:szCs w:val="32"/>
        </w:rPr>
        <w:t>Nachtzüge</w:t>
      </w:r>
      <w:bookmarkEnd w:id="278"/>
      <w:bookmarkEnd w:id="279"/>
    </w:p>
    <w:p w14:paraId="7A1F6AB7"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2040DE8D" w14:textId="77777777" w:rsidTr="00875DD0">
        <w:tc>
          <w:tcPr>
            <w:tcW w:w="9060" w:type="dxa"/>
            <w:shd w:val="clear" w:color="auto" w:fill="D9D9D9" w:themeFill="background1" w:themeFillShade="D9"/>
          </w:tcPr>
          <w:p w14:paraId="224DDDC0"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57503915" w14:textId="77777777" w:rsidTr="00875DD0">
        <w:tc>
          <w:tcPr>
            <w:tcW w:w="9060" w:type="dxa"/>
          </w:tcPr>
          <w:p w14:paraId="73A68BDB" w14:textId="77777777" w:rsidR="00623AF8" w:rsidRPr="00233EE5" w:rsidRDefault="00623AF8" w:rsidP="00875DD0">
            <w:pPr>
              <w:spacing w:before="120" w:after="120"/>
              <w:jc w:val="both"/>
              <w:rPr>
                <w:rFonts w:ascii="Aptos" w:hAnsi="Aptos"/>
                <w:b/>
                <w:bCs/>
                <w:sz w:val="22"/>
                <w:szCs w:val="22"/>
                <w:lang w:val="de-DE"/>
              </w:rPr>
            </w:pPr>
            <w:r w:rsidRPr="00233EE5">
              <w:rPr>
                <w:rFonts w:ascii="Aptos" w:hAnsi="Aptos"/>
                <w:sz w:val="22"/>
                <w:szCs w:val="22"/>
              </w:rPr>
              <w:t>Nachtzüge tragen entscheidend zu einem nachhaltigen Modal Split in Europa bei, da sie eine umweltfreundliche Alternative zum Flugverkehr darstellen und gleichzeitig eine komfortable Reisemöglichkeit über lange Distanzen bieten. Durch die Stärkung und den Ausbau von Nachtzugverbindungen können die CO</w:t>
            </w:r>
            <w:r w:rsidRPr="00233EE5">
              <w:rPr>
                <w:rFonts w:ascii="Aptos" w:hAnsi="Aptos"/>
                <w:sz w:val="22"/>
                <w:szCs w:val="22"/>
                <w:vertAlign w:val="subscript"/>
              </w:rPr>
              <w:t>2</w:t>
            </w:r>
            <w:r w:rsidRPr="00233EE5">
              <w:rPr>
                <w:rFonts w:ascii="Aptos" w:hAnsi="Aptos"/>
                <w:sz w:val="22"/>
                <w:szCs w:val="22"/>
              </w:rPr>
              <w:t xml:space="preserve">-Emissionen des Verkehrssektors reduziert und die Umweltauswirkungen des Reisens verringert werden. Da die Bereitstellung von Nachtzügen in den meisten Fällen jedoch nicht rentabel ist, bedarf es gezielter Maßnahmen und öffentlicher Investitionen, um diesen nachhaltigen Verkehrsträger zu stärken. </w:t>
            </w:r>
            <w:r w:rsidRPr="00233EE5">
              <w:rPr>
                <w:rFonts w:ascii="Aptos" w:hAnsi="Aptos"/>
                <w:b/>
                <w:bCs/>
                <w:sz w:val="22"/>
                <w:szCs w:val="22"/>
              </w:rPr>
              <w:t>Wie wollen Sie Nachtzugverbindungen in Europa nachhaltig finanzieren und ausbauen?</w:t>
            </w:r>
          </w:p>
        </w:tc>
      </w:tr>
      <w:tr w:rsidR="00623AF8" w:rsidRPr="00233EE5" w14:paraId="21191767" w14:textId="77777777" w:rsidTr="00875DD0">
        <w:tc>
          <w:tcPr>
            <w:tcW w:w="9060" w:type="dxa"/>
            <w:shd w:val="clear" w:color="auto" w:fill="D9D9D9" w:themeFill="background1" w:themeFillShade="D9"/>
          </w:tcPr>
          <w:p w14:paraId="3BAAC374"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3DF62E77" w14:textId="77777777" w:rsidTr="00875DD0">
        <w:tc>
          <w:tcPr>
            <w:tcW w:w="9060" w:type="dxa"/>
          </w:tcPr>
          <w:p w14:paraId="5AA39139"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Welche EU-Programme sind geplant, um Nachtzüge wettbewerbsfähiger zu machen?</w:t>
            </w:r>
          </w:p>
          <w:p w14:paraId="50072A7F"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Halten Sie Maßnahmen wie etwa eine Steuerreduktion oder weniger Schienenmaut für Nachtzüge für zielführend, um den Bahnen eine kompetitivere Preisgestaltung zu ermöglichen?</w:t>
            </w:r>
          </w:p>
        </w:tc>
      </w:tr>
    </w:tbl>
    <w:p w14:paraId="28616D63"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04E11BE0" w14:textId="77777777" w:rsidTr="00875DD0">
        <w:trPr>
          <w:trHeight w:val="277"/>
        </w:trPr>
        <w:tc>
          <w:tcPr>
            <w:tcW w:w="9066" w:type="dxa"/>
            <w:shd w:val="clear" w:color="auto" w:fill="D9D9D9"/>
          </w:tcPr>
          <w:p w14:paraId="3CAE46DB"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4AF70B75" w14:textId="77777777" w:rsidR="00623AF8" w:rsidRPr="00233EE5" w:rsidRDefault="00623AF8" w:rsidP="00623AF8">
      <w:pPr>
        <w:spacing w:after="120"/>
        <w:jc w:val="both"/>
        <w:rPr>
          <w:rFonts w:ascii="Aptos" w:eastAsia="Arial MT" w:hAnsi="Aptos" w:cs="Arial MT"/>
          <w:color w:val="0D0D0D"/>
          <w:sz w:val="22"/>
          <w:szCs w:val="22"/>
        </w:rPr>
      </w:pPr>
      <w:r w:rsidRPr="00233EE5">
        <w:rPr>
          <w:rFonts w:ascii="Aptos" w:eastAsia="Arial MT" w:hAnsi="Aptos" w:cs="Arial MT"/>
          <w:color w:val="0D0D0D"/>
          <w:sz w:val="22"/>
          <w:szCs w:val="22"/>
        </w:rPr>
        <w:t>Nachtzüge spielen im europäischen Personenverkehr eine wichtige Rolle als umweltfreundliche Alternative zu Kurz- und Mittelstreckenflügen sowie zu Autofahrten. Die in der Regel mit Schlaf- und Liegewagen ausgestatteten Züge ermöglichen es den Reisenden, lange Strecken mit wenigen Zwischenstopps über Nacht zurückzulegen und so den CO</w:t>
      </w:r>
      <w:r w:rsidRPr="00233EE5">
        <w:rPr>
          <w:rFonts w:ascii="Aptos" w:eastAsia="Arial MT" w:hAnsi="Aptos" w:cs="Arial MT"/>
          <w:color w:val="0D0D0D"/>
          <w:sz w:val="22"/>
          <w:szCs w:val="22"/>
          <w:vertAlign w:val="subscript"/>
        </w:rPr>
        <w:t>2</w:t>
      </w:r>
      <w:r w:rsidRPr="00233EE5">
        <w:rPr>
          <w:rFonts w:ascii="Aptos" w:eastAsia="Arial MT" w:hAnsi="Aptos" w:cs="Arial MT"/>
          <w:color w:val="0D0D0D"/>
          <w:sz w:val="22"/>
          <w:szCs w:val="22"/>
        </w:rPr>
        <w:t xml:space="preserve">-Ausstoß deutlich zu reduzieren. Gleichzeitig können die Fahrgäste die Tageszeit für andere Aktivitäten nutzen. Der Ausbau von Nachtzugverbindungen wird seit langem angestrebt und auch von der Europäischen Kommission unterstützt. Generelles Ziel sollte es sein, Nachtzüge auch auf Hochgeschwindigkeitsstrecken konkurrenzfähig zu machen - sowohl in Bezug auf den Preis als auch hinsichtlich der Qualität und der Reisezeit. Trotz dieser positiven Entwicklungen stehen die Nachtzüge vor Herausforderungen. Die wirtschaftlichen Rahmenbedingungen sind schwierig und müssen grundlegend verbessert werden. Hohe Betriebskosten, unzureichende Infrastruktur und die Konkurrenz durch günstigere Flugangebote stellen Hindernisse dar. Unterschiedliche nationale Standards, z.B. bei den Spurbreiten, verursachen zusätzliche Kosten und erschweren den reibungslosen grenzüberschreitenden Einsatz der Züge. Ein zentraler Faktor in der Kostenstruktur von Nachtzügen sind die Trassengebühren (Infrastrukturbenutzungsentgelt – „IBE“) </w:t>
      </w:r>
      <w:r w:rsidRPr="00233EE5">
        <w:rPr>
          <w:rFonts w:ascii="Aptos" w:eastAsia="Arial MT" w:hAnsi="Aptos" w:cs="Arial MT"/>
          <w:color w:val="0D0D0D"/>
          <w:sz w:val="22"/>
          <w:szCs w:val="22"/>
          <w:vertAlign w:val="subscript"/>
        </w:rPr>
        <w:t xml:space="preserve">(1) </w:t>
      </w:r>
      <w:r w:rsidRPr="00233EE5">
        <w:rPr>
          <w:rFonts w:ascii="Aptos" w:eastAsia="Arial MT" w:hAnsi="Aptos" w:cs="Arial MT"/>
          <w:color w:val="0D0D0D"/>
          <w:sz w:val="22"/>
          <w:szCs w:val="22"/>
        </w:rPr>
        <w:t xml:space="preserve">. Ein eigenes, günstigeres IBE-Segment für Nachtzüge könnte die Wirtschaftlichkeit dieser Verkehre deutlich verbessern, ohne die Fahrpreise zu erhöhen. Beispiele wie das belgische Modell, das eine vollständige Rückerstattung der IBE vorsieht, unterstreichen die Dringlichkeit dieser Maßnahme. Gleichzeitig ist es wichtig, dass die Infrastrukturbetreiber angemessen entschädigt werden, um mögliche Einnahmeverluste auszugleichen. Aus der Perspektive der Daseinsvorsorge ist es wichtig, das Potenzial der Nachtzüge mittel- und langfristig voll auszuschöpfen. Dazu sind Investitionen in moderne Züge und eine verstärkte internationale Zusammenarbeit notwendig. </w:t>
      </w:r>
    </w:p>
    <w:p w14:paraId="027F725B" w14:textId="77777777" w:rsidR="00623AF8" w:rsidRPr="00233EE5" w:rsidRDefault="00623AF8" w:rsidP="00F63BE8">
      <w:pPr>
        <w:numPr>
          <w:ilvl w:val="0"/>
          <w:numId w:val="31"/>
        </w:numPr>
        <w:contextualSpacing/>
        <w:rPr>
          <w:rFonts w:ascii="Aptos" w:hAnsi="Aptos"/>
          <w:sz w:val="18"/>
          <w:szCs w:val="18"/>
        </w:rPr>
      </w:pPr>
      <w:r w:rsidRPr="00233EE5">
        <w:rPr>
          <w:rFonts w:ascii="Aptos" w:hAnsi="Aptos"/>
          <w:sz w:val="18"/>
          <w:szCs w:val="18"/>
        </w:rPr>
        <w:t>Schienen Control  2024: Infrastrukturbenützungsentgelt</w:t>
      </w:r>
    </w:p>
    <w:p w14:paraId="6E52C148" w14:textId="77777777" w:rsidR="00623AF8" w:rsidRPr="00233EE5" w:rsidRDefault="00AC460E" w:rsidP="00623AF8">
      <w:pPr>
        <w:ind w:left="360"/>
        <w:contextualSpacing/>
        <w:jc w:val="both"/>
        <w:rPr>
          <w:rFonts w:ascii="Aptos" w:hAnsi="Aptos"/>
          <w:sz w:val="18"/>
          <w:szCs w:val="18"/>
        </w:rPr>
      </w:pPr>
      <w:hyperlink r:id="rId47" w:history="1">
        <w:r w:rsidR="00623AF8" w:rsidRPr="00233EE5">
          <w:rPr>
            <w:rFonts w:ascii="Aptos" w:hAnsi="Aptos"/>
            <w:color w:val="0000FF"/>
            <w:sz w:val="18"/>
            <w:szCs w:val="18"/>
            <w:u w:val="single"/>
          </w:rPr>
          <w:t>https://www.schienencontrol.gv.at/de/IBE.html</w:t>
        </w:r>
      </w:hyperlink>
    </w:p>
    <w:p w14:paraId="77CDD826" w14:textId="77777777" w:rsidR="00623AF8" w:rsidRPr="00233EE5" w:rsidRDefault="00623AF8" w:rsidP="00623AF8">
      <w:pPr>
        <w:spacing w:after="120"/>
        <w:jc w:val="both"/>
        <w:rPr>
          <w:rFonts w:ascii="Aptos" w:eastAsia="Arial MT" w:hAnsi="Aptos" w:cs="Arial MT"/>
          <w:color w:val="0D0D0D"/>
          <w:sz w:val="22"/>
          <w:szCs w:val="22"/>
        </w:rPr>
      </w:pPr>
      <w:r w:rsidRPr="00233EE5">
        <w:rPr>
          <w:rFonts w:ascii="Aptos" w:eastAsia="Arial MT" w:hAnsi="Aptos" w:cs="Arial MT"/>
          <w:color w:val="0D0D0D"/>
          <w:sz w:val="22"/>
          <w:szCs w:val="22"/>
        </w:rPr>
        <w:br w:type="page"/>
      </w:r>
    </w:p>
    <w:p w14:paraId="2EEA176D" w14:textId="77777777" w:rsidR="00623AF8" w:rsidRPr="00233EE5" w:rsidRDefault="00623AF8" w:rsidP="00623AF8"/>
    <w:p w14:paraId="6591808B" w14:textId="77777777" w:rsidR="00623AF8" w:rsidRPr="00233EE5" w:rsidRDefault="00623AF8" w:rsidP="00623AF8"/>
    <w:p w14:paraId="19FD4D6F"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80" w:name="_Toc170378203"/>
      <w:bookmarkStart w:id="281" w:name="_Toc170983736"/>
      <w:r w:rsidRPr="00233EE5">
        <w:rPr>
          <w:rFonts w:ascii="Aptos" w:eastAsiaTheme="majorEastAsia" w:hAnsi="Aptos" w:cstheme="majorBidi"/>
          <w:b/>
          <w:color w:val="E4342D"/>
          <w:szCs w:val="32"/>
        </w:rPr>
        <w:t>Direktvergabe im öffentlichen Personenverkehr</w:t>
      </w:r>
      <w:bookmarkEnd w:id="280"/>
      <w:bookmarkEnd w:id="281"/>
    </w:p>
    <w:p w14:paraId="2590553F"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35EA576E" w14:textId="77777777" w:rsidTr="00875DD0">
        <w:tc>
          <w:tcPr>
            <w:tcW w:w="9060" w:type="dxa"/>
            <w:shd w:val="clear" w:color="auto" w:fill="D9D9D9" w:themeFill="background1" w:themeFillShade="D9"/>
          </w:tcPr>
          <w:p w14:paraId="2D231506"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0D0178CC" w14:textId="77777777" w:rsidTr="00875DD0">
        <w:tc>
          <w:tcPr>
            <w:tcW w:w="9060" w:type="dxa"/>
          </w:tcPr>
          <w:p w14:paraId="7A28DF0A" w14:textId="77777777" w:rsidR="00623AF8" w:rsidRPr="00233EE5" w:rsidRDefault="00623AF8" w:rsidP="00875DD0">
            <w:pPr>
              <w:spacing w:before="120" w:after="120"/>
              <w:jc w:val="both"/>
              <w:rPr>
                <w:rFonts w:ascii="Aptos" w:hAnsi="Aptos"/>
                <w:b/>
                <w:bCs/>
                <w:sz w:val="22"/>
                <w:szCs w:val="22"/>
                <w:lang w:val="de-DE"/>
              </w:rPr>
            </w:pPr>
            <w:r w:rsidRPr="00233EE5">
              <w:rPr>
                <w:rFonts w:ascii="Aptos" w:hAnsi="Aptos"/>
                <w:sz w:val="22"/>
                <w:szCs w:val="22"/>
              </w:rPr>
              <w:t>Der öffentliche Verkehr spielt eine Schlüsselrolle für die Versorgungssicherheit, Sicherheitsarchitektur und Resilienz Europas. Öffentliche Verkehrsanbieter ermöglichen langfristig stabile Fahrpläne, den nachhaltigen Ausbau und Erhalt des Schienennetzes und sorgen für Stabilität in Krisenzeiten. Die Direktvergabe an bewährte öffentliche Verkehrsdienstleister spielt dabei eine entscheidende Rolle.</w:t>
            </w:r>
            <w:r w:rsidRPr="00233EE5">
              <w:rPr>
                <w:rFonts w:ascii="Aptos" w:hAnsi="Aptos"/>
                <w:b/>
                <w:bCs/>
                <w:sz w:val="22"/>
                <w:szCs w:val="22"/>
              </w:rPr>
              <w:t xml:space="preserve"> Wie stehen Sie zur Direktvergabe im Personenverkehr?</w:t>
            </w:r>
          </w:p>
        </w:tc>
      </w:tr>
      <w:tr w:rsidR="00623AF8" w:rsidRPr="00233EE5" w14:paraId="3C6DB76B" w14:textId="77777777" w:rsidTr="00875DD0">
        <w:tc>
          <w:tcPr>
            <w:tcW w:w="9060" w:type="dxa"/>
            <w:shd w:val="clear" w:color="auto" w:fill="D9D9D9" w:themeFill="background1" w:themeFillShade="D9"/>
          </w:tcPr>
          <w:p w14:paraId="0C83EED2"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07FE5D5B" w14:textId="77777777" w:rsidTr="00875DD0">
        <w:tc>
          <w:tcPr>
            <w:tcW w:w="9060" w:type="dxa"/>
          </w:tcPr>
          <w:p w14:paraId="58226880"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Planen Sie eine Revision der Verordnung über gemeinwirtschaftliche Verpflichtungen (PSO-V)? Sollte diese aus Ihrer Sicht mit einer Einschränkung der Direktvergabe an Betreiber öffentlicher Verkehrsdienste einhergehen?</w:t>
            </w:r>
          </w:p>
          <w:p w14:paraId="3B0FCE2B"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Können Sie sich analog zur PSO-V im Personenverkehr auch eine PSO-V im Güterverkehr vorstellen und wenn ja, unter welchen Rahmenbedingungen?</w:t>
            </w:r>
          </w:p>
          <w:p w14:paraId="68650F07"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sozial-ökologische Kriterien bei der Vergabe berücksichtigt werden?</w:t>
            </w:r>
          </w:p>
        </w:tc>
      </w:tr>
    </w:tbl>
    <w:p w14:paraId="44502F6B"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268C2543" w14:textId="77777777" w:rsidTr="00875DD0">
        <w:trPr>
          <w:trHeight w:val="277"/>
        </w:trPr>
        <w:tc>
          <w:tcPr>
            <w:tcW w:w="9066" w:type="dxa"/>
            <w:shd w:val="clear" w:color="auto" w:fill="D9D9D9"/>
          </w:tcPr>
          <w:p w14:paraId="53380106"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697E4C43" w14:textId="77777777" w:rsidR="00623AF8" w:rsidRPr="00233EE5" w:rsidRDefault="00623AF8" w:rsidP="00623AF8">
      <w:pPr>
        <w:spacing w:after="120"/>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Die Direktvergabe von Schienenpersonenverkehrsdiensten ist von entscheidender Bedeutung für die Stabilität und Nachhaltigkeit des Schienennetzes, insbesondere in Krisenzeiten wie der COVID-19-Pandemie. Während andere Verkehrsträger stark eingeschränkt waren, konnte durch die Direktvergabe an ÖPNV-Dienstleister der Zugverkehr aufrechterhalten werden. Dies war von entscheidender Bedeutung für Pendler, Schüler und Reisende, die weiterhin zur Arbeit und zu wichtigen Terminen gelangen mussten. Auch während der ukrainischen Flüchtlingskrise im Frühjahr 2022 konnten die betroffenen Menschen auf der Flucht durch kurzfristig eingesetzte Sonderzüge unterstützt werden. Die Direktvergabe stellt somit einen wichtigen Eckpfeiler für eine sozial-ökologische Mobilitätswende dar, die den nachhaltigen Ausbau und Erhalt des Schienennetzes sicherstellt. Die neuen PSO-Leitlinien der EU-Kommission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xml:space="preserve"> könnten diese bewährte Praxis jedoch gefährden, indem sie die Direktvergabe durch verpflichtende Ausschreibungen ersetzen. Dies hätte gravierende Folgen für den Schienenverkehr in Österreich und anderen Ländern, da es negative Auswirkungen auf Arbeitsplätze, Sicherheit, Fahrpreise und Servicequalität für die Fahrgäste haben könnte. Aus der Perspektive der Daseinsvorsorge ist es entscheidend, dass die Flexibilität der Direktvergabe erhalten bleibt. Nur so kann ein attraktives ÖPNV-Angebot aufrechterhalten und auf die wachsende Bedeutung klimafreundlicher Mobilitätslösungen reagiert werden. Öffentliche Auftraggeber müssen schnell auf Nachfrageänderungen und Krisensituationen reagieren können, um die Mobilität der EU-Bürger:innen zu gewährleisten.</w:t>
      </w:r>
    </w:p>
    <w:p w14:paraId="2D4086C6" w14:textId="77777777" w:rsidR="00623AF8" w:rsidRPr="00233EE5" w:rsidRDefault="00623AF8" w:rsidP="00F63BE8">
      <w:pPr>
        <w:numPr>
          <w:ilvl w:val="0"/>
          <w:numId w:val="32"/>
        </w:numPr>
        <w:contextualSpacing/>
        <w:rPr>
          <w:rFonts w:ascii="Aptos" w:hAnsi="Aptos"/>
          <w:sz w:val="18"/>
          <w:szCs w:val="18"/>
        </w:rPr>
      </w:pPr>
      <w:r w:rsidRPr="00233EE5">
        <w:rPr>
          <w:rFonts w:ascii="Aptos" w:hAnsi="Aptos"/>
          <w:sz w:val="18"/>
          <w:szCs w:val="18"/>
        </w:rPr>
        <w:t>EUR-Lex. 2023: Auslegungsleitlinien zu der Verordnung über öffentliche Personenverkehrsdienste auf Schiene und Straße</w:t>
      </w:r>
    </w:p>
    <w:p w14:paraId="1F7F2B01" w14:textId="77777777" w:rsidR="00623AF8" w:rsidRPr="00233EE5" w:rsidRDefault="00AC460E" w:rsidP="00623AF8">
      <w:pPr>
        <w:ind w:left="360"/>
        <w:contextualSpacing/>
        <w:jc w:val="both"/>
        <w:rPr>
          <w:rFonts w:ascii="Aptos" w:hAnsi="Aptos"/>
          <w:sz w:val="18"/>
          <w:szCs w:val="18"/>
        </w:rPr>
      </w:pPr>
      <w:hyperlink r:id="rId48" w:history="1">
        <w:r w:rsidR="00623AF8" w:rsidRPr="00233EE5">
          <w:rPr>
            <w:rFonts w:ascii="Aptos" w:hAnsi="Aptos"/>
            <w:color w:val="0000FF"/>
            <w:sz w:val="18"/>
            <w:szCs w:val="18"/>
            <w:u w:val="single"/>
          </w:rPr>
          <w:t>https://eur-lex.europa.eu/legal-content/DE/TXT/PDF/?uri=CELEX:52023XC0626(01)</w:t>
        </w:r>
      </w:hyperlink>
    </w:p>
    <w:p w14:paraId="6CA18D5E" w14:textId="77777777" w:rsidR="00623AF8" w:rsidRPr="00233EE5" w:rsidRDefault="00623AF8" w:rsidP="00623AF8">
      <w:pPr>
        <w:rPr>
          <w:rFonts w:ascii="Aptos" w:hAnsi="Aptos"/>
          <w:bCs/>
          <w:sz w:val="22"/>
          <w:szCs w:val="22"/>
        </w:rPr>
      </w:pPr>
    </w:p>
    <w:p w14:paraId="0CB93E58" w14:textId="77777777" w:rsidR="00623AF8" w:rsidRPr="00233EE5" w:rsidRDefault="00623AF8" w:rsidP="00623AF8">
      <w:pPr>
        <w:rPr>
          <w:rFonts w:ascii="Aptos" w:hAnsi="Aptos"/>
          <w:bCs/>
          <w:sz w:val="22"/>
          <w:szCs w:val="22"/>
        </w:rPr>
      </w:pPr>
    </w:p>
    <w:p w14:paraId="39997EBA" w14:textId="77777777" w:rsidR="00623AF8" w:rsidRPr="00233EE5" w:rsidRDefault="00623AF8" w:rsidP="00623AF8"/>
    <w:p w14:paraId="509F675B" w14:textId="77777777" w:rsidR="00623AF8" w:rsidRPr="00233EE5" w:rsidRDefault="00623AF8" w:rsidP="00623AF8"/>
    <w:p w14:paraId="3A2C546A" w14:textId="77777777" w:rsidR="00623AF8" w:rsidRPr="00233EE5" w:rsidRDefault="00623AF8" w:rsidP="00623AF8"/>
    <w:p w14:paraId="51AF2F90" w14:textId="77777777" w:rsidR="00623AF8" w:rsidRPr="00233EE5" w:rsidRDefault="00623AF8" w:rsidP="00623AF8"/>
    <w:p w14:paraId="48C084F9"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82" w:name="_Toc170378204"/>
      <w:bookmarkStart w:id="283" w:name="_Toc170983737"/>
      <w:r w:rsidRPr="00233EE5">
        <w:rPr>
          <w:rFonts w:ascii="Aptos" w:eastAsiaTheme="majorEastAsia" w:hAnsi="Aptos" w:cstheme="majorBidi"/>
          <w:b/>
          <w:color w:val="E4342D"/>
          <w:szCs w:val="32"/>
        </w:rPr>
        <w:t>Stärkung des öffentlichen Verkehrssektors</w:t>
      </w:r>
      <w:bookmarkEnd w:id="282"/>
      <w:bookmarkEnd w:id="283"/>
    </w:p>
    <w:p w14:paraId="1CBA203F"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162F33B5" w14:textId="77777777" w:rsidTr="00875DD0">
        <w:tc>
          <w:tcPr>
            <w:tcW w:w="9060" w:type="dxa"/>
            <w:shd w:val="clear" w:color="auto" w:fill="D9D9D9" w:themeFill="background1" w:themeFillShade="D9"/>
          </w:tcPr>
          <w:p w14:paraId="2B73D7EC"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 xml:space="preserve">Frage </w:t>
            </w:r>
          </w:p>
        </w:tc>
      </w:tr>
      <w:tr w:rsidR="00623AF8" w:rsidRPr="00233EE5" w14:paraId="324D7E57" w14:textId="77777777" w:rsidTr="00875DD0">
        <w:tc>
          <w:tcPr>
            <w:tcW w:w="9060" w:type="dxa"/>
          </w:tcPr>
          <w:p w14:paraId="2BDF585C" w14:textId="77777777" w:rsidR="00623AF8" w:rsidRPr="00233EE5" w:rsidRDefault="00623AF8" w:rsidP="00875DD0">
            <w:pPr>
              <w:spacing w:before="120" w:after="120"/>
              <w:jc w:val="both"/>
              <w:rPr>
                <w:rFonts w:ascii="Aptos" w:hAnsi="Aptos"/>
                <w:sz w:val="22"/>
                <w:szCs w:val="22"/>
              </w:rPr>
            </w:pPr>
            <w:r w:rsidRPr="00233EE5">
              <w:rPr>
                <w:rFonts w:ascii="Aptos" w:hAnsi="Aptos"/>
                <w:sz w:val="22"/>
                <w:szCs w:val="22"/>
              </w:rPr>
              <w:t>Der öffentliche Verkehr spielt eine Schlüsselrolle für die Versorgungssicherheit, die Sicherheitsarchitektur und die Resilienz Europas. Öffentliche Verkehrsunternehmen bieten Tag für Tag erschwingliche und umweltfreundliche Mobilitätslösungen für Einwohner und Besucher. Sie tragen dazu bei, den Verkehrskollaps zu verhindern, die Luftqualität zu verbessern und die CO</w:t>
            </w:r>
            <w:r w:rsidRPr="00233EE5">
              <w:rPr>
                <w:rFonts w:ascii="Aptos" w:hAnsi="Aptos"/>
                <w:sz w:val="22"/>
                <w:szCs w:val="22"/>
                <w:vertAlign w:val="subscript"/>
              </w:rPr>
              <w:t>2</w:t>
            </w:r>
            <w:r w:rsidRPr="00233EE5">
              <w:rPr>
                <w:rFonts w:ascii="Aptos" w:hAnsi="Aptos"/>
                <w:sz w:val="22"/>
                <w:szCs w:val="22"/>
              </w:rPr>
              <w:t xml:space="preserve">-Emissionen zu reduzieren, indem sie Pendlern und Reisenden eine sichere und effiziente Transportmöglichkeit bieten. </w:t>
            </w:r>
            <w:r w:rsidRPr="00233EE5">
              <w:rPr>
                <w:rFonts w:ascii="Aptos" w:hAnsi="Aptos"/>
                <w:b/>
                <w:bCs/>
                <w:sz w:val="22"/>
                <w:szCs w:val="22"/>
              </w:rPr>
              <w:t>Wie wollen Sie sicherstellen, dass bezahlbare, nachhaltige und sichere Verbindungen in die europäischen Städte und Regionen weiter ausgebaut werden?</w:t>
            </w:r>
          </w:p>
        </w:tc>
      </w:tr>
      <w:tr w:rsidR="00623AF8" w:rsidRPr="00233EE5" w14:paraId="003541B0" w14:textId="77777777" w:rsidTr="00875DD0">
        <w:tc>
          <w:tcPr>
            <w:tcW w:w="9060" w:type="dxa"/>
            <w:shd w:val="clear" w:color="auto" w:fill="D9D9D9" w:themeFill="background1" w:themeFillShade="D9"/>
          </w:tcPr>
          <w:p w14:paraId="61F49CEE"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1E3A1564" w14:textId="77777777" w:rsidTr="00875DD0">
        <w:tc>
          <w:tcPr>
            <w:tcW w:w="9060" w:type="dxa"/>
          </w:tcPr>
          <w:p w14:paraId="1625ADA5"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Welche Rolle spielen Ihrer Auffassung nach die öffentlichen und kommunalen Verkehrsbetriebe im europäischen Verkehrssystem?</w:t>
            </w:r>
          </w:p>
          <w:p w14:paraId="3E8348F7"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im Sinne der Versorgungssicherheit auch lokale und unrentable Strecken (Tag und Nacht) bedient werden?</w:t>
            </w:r>
          </w:p>
          <w:p w14:paraId="4D931283" w14:textId="77777777" w:rsidR="00623AF8" w:rsidRPr="00233EE5" w:rsidRDefault="00623AF8" w:rsidP="00F63BE8">
            <w:pPr>
              <w:numPr>
                <w:ilvl w:val="0"/>
                <w:numId w:val="11"/>
              </w:numPr>
              <w:contextualSpacing/>
              <w:rPr>
                <w:rFonts w:ascii="Aptos" w:hAnsi="Aptos"/>
                <w:sz w:val="22"/>
                <w:szCs w:val="22"/>
                <w:lang w:val="de-DE"/>
              </w:rPr>
            </w:pPr>
            <w:r w:rsidRPr="00233EE5">
              <w:rPr>
                <w:rFonts w:ascii="Aptos" w:hAnsi="Aptos"/>
                <w:sz w:val="22"/>
                <w:szCs w:val="22"/>
              </w:rPr>
              <w:t>Sind verbindliche Vorgaben geplant, in welchen Intervallen bei welcher Bevölkerungsdichte und für welche Entfernungen jedenfalls ein öffentlicher Verkehr angeboten werden muss?</w:t>
            </w:r>
          </w:p>
        </w:tc>
      </w:tr>
    </w:tbl>
    <w:p w14:paraId="35536316" w14:textId="77777777" w:rsidR="00623AF8" w:rsidRPr="00233EE5" w:rsidRDefault="00623AF8" w:rsidP="00623AF8">
      <w:pPr>
        <w:jc w:val="both"/>
        <w:rPr>
          <w:rFonts w:ascii="Aptos" w:hAnsi="Aptos"/>
          <w:sz w:val="20"/>
          <w:szCs w:val="20"/>
        </w:rPr>
      </w:pPr>
    </w:p>
    <w:tbl>
      <w:tblPr>
        <w:tblStyle w:val="TableNormal2"/>
        <w:tblW w:w="0" w:type="auto"/>
        <w:tblLayout w:type="fixed"/>
        <w:tblLook w:val="01E0" w:firstRow="1" w:lastRow="1" w:firstColumn="1" w:lastColumn="1" w:noHBand="0" w:noVBand="0"/>
      </w:tblPr>
      <w:tblGrid>
        <w:gridCol w:w="9066"/>
      </w:tblGrid>
      <w:tr w:rsidR="00623AF8" w:rsidRPr="00233EE5" w14:paraId="21B601F1" w14:textId="77777777" w:rsidTr="00875DD0">
        <w:trPr>
          <w:trHeight w:val="277"/>
        </w:trPr>
        <w:tc>
          <w:tcPr>
            <w:tcW w:w="9066" w:type="dxa"/>
            <w:shd w:val="clear" w:color="auto" w:fill="D9D9D9"/>
          </w:tcPr>
          <w:p w14:paraId="5B0D20F3"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5E753119"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Der öffentliche Verkehr spielt eine zentrale Rolle in unserem täglichen Leben und ist von entscheidender Bedeutung für das Wirtschaftswachstum und den sozialen Zusammenhalt. Öffentliche Verkehrsmittel bieten eine Reihe von Vorteilen. Sie sind beispielsweise umweltfreundlicher als Privatfahrzeuge, verursachen weniger Emissionen pro Personenkilometer und tragen somit zur Verringerung der Luftverschmutzung und der CO</w:t>
      </w:r>
      <w:r w:rsidRPr="00233EE5">
        <w:rPr>
          <w:rFonts w:ascii="Aptos" w:eastAsia="Arial MT" w:hAnsi="Aptos" w:cs="Arial MT"/>
          <w:color w:val="0D0D0D"/>
          <w:sz w:val="22"/>
          <w:szCs w:val="22"/>
          <w:vertAlign w:val="subscript"/>
        </w:rPr>
        <w:t>2</w:t>
      </w:r>
      <w:r w:rsidRPr="00233EE5">
        <w:rPr>
          <w:rFonts w:ascii="Aptos" w:eastAsia="Arial MT" w:hAnsi="Aptos" w:cs="Arial MT"/>
          <w:color w:val="0D0D0D"/>
          <w:sz w:val="22"/>
          <w:szCs w:val="22"/>
        </w:rPr>
        <w:t>-Emissionen bei. Sie sind häufig kostengünstiger als Privatfahrzeuge und bieten eine erschwingliche Mobilitätslösung für alle Gesellschaftsschichten, insbesondere für Menschen ohne Zugang zu Privatfahrzeugen. Darüber hinaus entlastet der ÖPNV das Straßennetz, reduziert Staus und fördert die effiziente Nutzung der Verkehrsinfrastruktur. Öffentliche Verkehrsmittel sind statistisch gesehen sicherer als private Pkw und tragen zur wirtschaftlichen Entwicklung und Lebensqualität in städtischen Gebieten bei, indem sie die Stadtentwicklung fördern. Dennoch stehen die öffentlichen Verkehrssysteme vor Herausforderungen. Der Platzmangel in städtischen Gebieten und die hohen CO</w:t>
      </w:r>
      <w:r w:rsidRPr="00233EE5">
        <w:rPr>
          <w:rFonts w:ascii="Aptos" w:eastAsia="Arial MT" w:hAnsi="Aptos" w:cs="Arial MT"/>
          <w:color w:val="0D0D0D"/>
          <w:sz w:val="22"/>
          <w:szCs w:val="22"/>
          <w:vertAlign w:val="subscript"/>
        </w:rPr>
        <w:t>2</w:t>
      </w:r>
      <w:r w:rsidRPr="00233EE5">
        <w:rPr>
          <w:rFonts w:ascii="Aptos" w:eastAsia="Arial MT" w:hAnsi="Aptos" w:cs="Arial MT"/>
          <w:color w:val="0D0D0D"/>
          <w:sz w:val="22"/>
          <w:szCs w:val="22"/>
        </w:rPr>
        <w:t xml:space="preserve">-Emissionen des Straßenverkehrs sind Herausforderungen, die bewältigt werden müssen, um die Lebensqualität und Attraktivität der Städte zu erhalten. Im Rahmen der Überarbeitung der TEN-T-Verordnung hat die EU festgelegt, dass bis 2027 jeder städtische Knoten einen Plan für nachhaltige urbane Mobilität (SUMP) entwickeln soll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Die Pläne sollen effiziente und umweltfreundliche Verkehrssysteme fördern und die Leistungsfähigkeit des gesamten Transeuropäischen Verkehrsnetzes (TEN-T) verbessern. Aus der Perspektive der Daseinsvorsorge sind starke kommunale, regionale und öffentliche Verkehrsunternehmen für eine umweltfreundliche Verkehrswende unerlässlich und ihre Rahmenbedingungen müssen daher verbessert werden.</w:t>
      </w:r>
    </w:p>
    <w:p w14:paraId="50E96EE9" w14:textId="77777777" w:rsidR="00623AF8" w:rsidRPr="00233EE5" w:rsidRDefault="00623AF8" w:rsidP="00623AF8">
      <w:pPr>
        <w:jc w:val="both"/>
      </w:pPr>
    </w:p>
    <w:p w14:paraId="2650D0E4" w14:textId="77777777" w:rsidR="00623AF8" w:rsidRPr="00233EE5" w:rsidRDefault="00623AF8" w:rsidP="00F63BE8">
      <w:pPr>
        <w:numPr>
          <w:ilvl w:val="0"/>
          <w:numId w:val="33"/>
        </w:numPr>
        <w:contextualSpacing/>
        <w:jc w:val="both"/>
        <w:rPr>
          <w:rFonts w:ascii="Aptos" w:hAnsi="Aptos"/>
          <w:sz w:val="18"/>
          <w:szCs w:val="18"/>
        </w:rPr>
      </w:pPr>
      <w:r w:rsidRPr="00233EE5">
        <w:rPr>
          <w:rFonts w:ascii="Aptos" w:hAnsi="Aptos"/>
          <w:sz w:val="18"/>
          <w:szCs w:val="18"/>
        </w:rPr>
        <w:t>EUR-Lex. 2023: Einigung zur Überarbeitung des Transeuropäischen Verkehrsnetzes (TEN-T)</w:t>
      </w:r>
    </w:p>
    <w:p w14:paraId="056A720E" w14:textId="77777777" w:rsidR="00623AF8" w:rsidRPr="00233EE5" w:rsidRDefault="00AC460E" w:rsidP="00623AF8">
      <w:pPr>
        <w:ind w:left="360"/>
        <w:contextualSpacing/>
        <w:jc w:val="both"/>
        <w:rPr>
          <w:rFonts w:ascii="Aptos" w:hAnsi="Aptos"/>
          <w:sz w:val="18"/>
          <w:szCs w:val="18"/>
        </w:rPr>
      </w:pPr>
      <w:hyperlink r:id="rId49" w:anchor=":~:text=Das%20Netz%20wird%20mit%20der,und%20das%20Gesamtnetz%20bis%202050." w:history="1">
        <w:r w:rsidR="00623AF8" w:rsidRPr="00233EE5">
          <w:rPr>
            <w:rFonts w:ascii="Aptos" w:hAnsi="Aptos"/>
            <w:color w:val="0000FF"/>
            <w:sz w:val="18"/>
            <w:szCs w:val="18"/>
            <w:u w:val="single"/>
          </w:rPr>
          <w:t>https://www.consilium.europa.eu/de/press/press-releases/2023/12/18/trans-european-transport-network-ten-t-council-and-parliament-strike-a-deal-to-ensure-sustainable-connectivity-in-europe/#:~:text=Das%20Netz%20wird%20mit%20der,und%20das%20Gesamtnetz%20bis%202050.</w:t>
        </w:r>
      </w:hyperlink>
    </w:p>
    <w:p w14:paraId="5FA6318A" w14:textId="77777777" w:rsidR="00623AF8" w:rsidRPr="00233EE5" w:rsidRDefault="00623AF8" w:rsidP="00623AF8">
      <w:pPr>
        <w:jc w:val="both"/>
      </w:pPr>
    </w:p>
    <w:p w14:paraId="4E9FFD43" w14:textId="77777777" w:rsidR="00623AF8" w:rsidRPr="00233EE5" w:rsidRDefault="00623AF8" w:rsidP="00623AF8"/>
    <w:p w14:paraId="6AC3CED3"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84" w:name="_Toc170378205"/>
      <w:bookmarkStart w:id="285" w:name="_Toc170983738"/>
      <w:r w:rsidRPr="00233EE5">
        <w:rPr>
          <w:rFonts w:ascii="Aptos" w:eastAsiaTheme="majorEastAsia" w:hAnsi="Aptos" w:cstheme="majorBidi"/>
          <w:b/>
          <w:color w:val="E4342D"/>
          <w:szCs w:val="32"/>
        </w:rPr>
        <w:t>EU-Initiativen im Straßenverkehr</w:t>
      </w:r>
      <w:bookmarkEnd w:id="284"/>
      <w:bookmarkEnd w:id="285"/>
    </w:p>
    <w:p w14:paraId="74E26C89"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71C51208" w14:textId="77777777" w:rsidTr="00875DD0">
        <w:tc>
          <w:tcPr>
            <w:tcW w:w="9060" w:type="dxa"/>
            <w:shd w:val="clear" w:color="auto" w:fill="D9D9D9" w:themeFill="background1" w:themeFillShade="D9"/>
          </w:tcPr>
          <w:p w14:paraId="2D6AB596"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49A2DA93" w14:textId="77777777" w:rsidTr="00875DD0">
        <w:tc>
          <w:tcPr>
            <w:tcW w:w="9060" w:type="dxa"/>
          </w:tcPr>
          <w:p w14:paraId="3051B53E" w14:textId="77777777" w:rsidR="00623AF8" w:rsidRPr="00233EE5" w:rsidRDefault="00623AF8" w:rsidP="00875DD0">
            <w:pPr>
              <w:spacing w:before="120" w:after="120"/>
              <w:jc w:val="both"/>
              <w:rPr>
                <w:rFonts w:ascii="Aptos" w:hAnsi="Aptos"/>
                <w:b/>
                <w:bCs/>
                <w:sz w:val="22"/>
                <w:szCs w:val="22"/>
                <w:lang w:val="de-DE"/>
              </w:rPr>
            </w:pPr>
            <w:r w:rsidRPr="00233EE5">
              <w:rPr>
                <w:rFonts w:ascii="Aptos" w:hAnsi="Aptos" w:cs="Open Sans"/>
                <w:sz w:val="22"/>
                <w:szCs w:val="22"/>
              </w:rPr>
              <w:t xml:space="preserve">Die Gesellschaft ist in vielerlei Hinsicht darauf angewiesen, dass Personen und Güter wirtschaftlich und effizient von einem Ort zum anderen befördert werden. Der Verkehrssektor ist eine kritische Infrastruktur, ein wesentlicher Bestandteil unserer Lebensweise und spielt eine Schlüsselrolle für den Wirtschaftsstandort Europa. Die EU hat sich zum Ziel gesetzt, die verkehrsbedingten Treibhausgasemissionen bis 2050 um 90 % gegenüber 1990 zu reduzieren. Derzeit verursacht der Verkehrssektor jedoch rund ein Viertel der gesamten Treibhausgasemissionen der EU. Davon entfallen fast drei Viertel auf den Straßenverkehr. </w:t>
            </w:r>
            <w:r w:rsidRPr="00233EE5">
              <w:rPr>
                <w:rFonts w:ascii="Aptos" w:hAnsi="Aptos" w:cs="Open Sans"/>
                <w:b/>
                <w:bCs/>
                <w:sz w:val="22"/>
                <w:szCs w:val="22"/>
              </w:rPr>
              <w:t>Planen Sie, die Richtlinien für den Straßenverkehr zu überarbeiten, um die CO</w:t>
            </w:r>
            <w:r w:rsidRPr="00233EE5">
              <w:rPr>
                <w:rFonts w:ascii="Aptos" w:hAnsi="Aptos" w:cs="Open Sans"/>
                <w:b/>
                <w:bCs/>
                <w:sz w:val="22"/>
                <w:szCs w:val="22"/>
                <w:vertAlign w:val="subscript"/>
              </w:rPr>
              <w:t>2</w:t>
            </w:r>
            <w:r w:rsidRPr="00233EE5">
              <w:rPr>
                <w:rFonts w:ascii="Aptos" w:hAnsi="Aptos" w:cs="Open Sans"/>
                <w:b/>
                <w:bCs/>
                <w:sz w:val="22"/>
                <w:szCs w:val="22"/>
              </w:rPr>
              <w:t>-Emissionen möglichst schnell zu reduzieren?</w:t>
            </w:r>
          </w:p>
        </w:tc>
      </w:tr>
      <w:tr w:rsidR="00623AF8" w:rsidRPr="00233EE5" w14:paraId="53D7BBA3" w14:textId="77777777" w:rsidTr="00875DD0">
        <w:tc>
          <w:tcPr>
            <w:tcW w:w="9060" w:type="dxa"/>
            <w:shd w:val="clear" w:color="auto" w:fill="D9D9D9" w:themeFill="background1" w:themeFillShade="D9"/>
          </w:tcPr>
          <w:p w14:paraId="07A80515"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40BBE816" w14:textId="77777777" w:rsidTr="00875DD0">
        <w:tc>
          <w:tcPr>
            <w:tcW w:w="9060" w:type="dxa"/>
          </w:tcPr>
          <w:p w14:paraId="16464139"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Planen Sie eine weitere Überarbeitung bzw. Ausweitung der Richtlinie zum Verursacherprinzip auf den Straßenverkehr? </w:t>
            </w:r>
          </w:p>
          <w:p w14:paraId="2040D57E"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Planen Sie eine weitere Überarbeitung der Richtlinie zur Eurovignette?</w:t>
            </w:r>
          </w:p>
          <w:p w14:paraId="724AF592"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Planen Sie einheitliche Geschwindigkeitsbegrenzungen im EU-Raum, um die Verkehrsemissionen zu reduzieren und gleichzeitig die Verkehrssicherheit zu erhöhen?</w:t>
            </w:r>
          </w:p>
        </w:tc>
      </w:tr>
    </w:tbl>
    <w:p w14:paraId="03C36C30"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3339F085" w14:textId="77777777" w:rsidTr="00875DD0">
        <w:trPr>
          <w:trHeight w:val="277"/>
        </w:trPr>
        <w:tc>
          <w:tcPr>
            <w:tcW w:w="9066" w:type="dxa"/>
            <w:shd w:val="clear" w:color="auto" w:fill="D9D9D9"/>
          </w:tcPr>
          <w:p w14:paraId="7B1A18E5"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50CCE460"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Die EU hat sich zum Ziel gesetzt, die verkehrsbedingten Treibhausgasemissionen bis 2050 um 90 % gegenüber 1990 zu reduzieren. Derzeit verursacht der Verkehrssektor jedoch rund ein Viertel der gesamten Treibhausgasemissionen der EU. Davon entfallen fast drei Viertel auf den Straßenverkehr. Um die Emissionen zu reduzieren, ist das Verursacherprinzip von entscheidender Bedeutung. Das Verursacherprinzip besagt, dass die Kosten für die durch eine Handlung verursachten Schäden von dem Verursacher getragen werden sollten. Im Zusammenhang mit dem Straßenverkehr bedeutet dies, dass diejenigen, die Umweltverschmutzung oder andere negative Auswirkungen verursachen, für die daraus resultierenden Kosten aufkommen müssen. Verursacher dieser externen Kosten sind Pkw und Lkw, die in einigen EU-Mitgliedsstaaten durch unterschiedliche Mautsysteme für die Nutzung der Infrastruktur zur Kasse gebeten werden. Die Eurovignetten-Richtlinie lässt sowohl zeitabhängige Straßenbenutzungsgebühren als auch fahrleistungsabhängige Mautgebühren zu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Bei zeitabhängigen Straßenbenutzungsgebühren kann ein bestimmtes Straßennetz für einen bestimmten Zeitraum (z.B. ein Jahr) nach einmaliger Zahlung beliebig oft genutzt werden. Bei streckenbezogenen Gebühren wird die Gebühr pro gefahrenen Kilometer auf einem bestimmten Straßennetz erhoben. Das bedeutet, dass für jeden gefahrenen Kilometer auf einem bestimmten Straßennetz Gebühren erhoben werden. Aus der Perspektive der Daseinsvorsorge ist es entscheidend, dass die Verursacher für die sozialen und ökologischen Kosten der Allgemeinheit aufkommen. Darüber hinaus sollte der Ausbau der Schieneninfrastruktur und des öffentlichen Verkehrs ordnungspolitisch erleichtert und durch EU-Programme gefördert werden.</w:t>
      </w:r>
    </w:p>
    <w:p w14:paraId="5F620A58" w14:textId="77777777" w:rsidR="00623AF8" w:rsidRPr="00233EE5" w:rsidRDefault="00623AF8" w:rsidP="00623AF8">
      <w:pPr>
        <w:jc w:val="both"/>
        <w:rPr>
          <w:rFonts w:ascii="Aptos" w:eastAsia="Arial MT" w:hAnsi="Aptos" w:cs="Arial MT"/>
          <w:color w:val="0D0D0D"/>
          <w:sz w:val="22"/>
          <w:szCs w:val="22"/>
        </w:rPr>
      </w:pPr>
    </w:p>
    <w:p w14:paraId="4F33B925" w14:textId="77777777" w:rsidR="00623AF8" w:rsidRPr="00233EE5" w:rsidRDefault="00623AF8" w:rsidP="00F63BE8">
      <w:pPr>
        <w:numPr>
          <w:ilvl w:val="0"/>
          <w:numId w:val="34"/>
        </w:numPr>
        <w:contextualSpacing/>
        <w:jc w:val="both"/>
        <w:rPr>
          <w:rFonts w:ascii="Aptos" w:hAnsi="Aptos"/>
          <w:sz w:val="18"/>
          <w:szCs w:val="18"/>
        </w:rPr>
      </w:pPr>
      <w:r w:rsidRPr="00233EE5">
        <w:rPr>
          <w:rFonts w:ascii="Aptos" w:hAnsi="Aptos"/>
          <w:sz w:val="18"/>
          <w:szCs w:val="18"/>
        </w:rPr>
        <w:t>EU Umweltbüro 2022: Die neue EU-Wegekostenrichtlinie („Eurovignette“)</w:t>
      </w:r>
      <w:r w:rsidRPr="00233EE5">
        <w:rPr>
          <w:rFonts w:ascii="Aptos" w:hAnsi="Aptos"/>
          <w:sz w:val="18"/>
          <w:szCs w:val="18"/>
        </w:rPr>
        <w:cr/>
      </w:r>
      <w:hyperlink r:id="rId50" w:history="1">
        <w:r w:rsidRPr="00233EE5">
          <w:rPr>
            <w:rFonts w:ascii="Aptos" w:hAnsi="Aptos"/>
            <w:color w:val="0000FF"/>
            <w:sz w:val="18"/>
            <w:szCs w:val="18"/>
            <w:u w:val="single"/>
          </w:rPr>
          <w:t>https://www.consilium.europa.eu/de/press/press-releases/2023/12/18/trans-european-transport-network-ten-t-council-and-parliament-strike-a-deal-to-ensure-sustainable-connectivity-in-europe/#:~:text=Das%20Netz%20wird%20mit%20der,und%20das%20Gesamtnetz%20bis%202050.</w:t>
        </w:r>
      </w:hyperlink>
    </w:p>
    <w:p w14:paraId="0E529EDB" w14:textId="77777777" w:rsidR="00623AF8" w:rsidRPr="00233EE5" w:rsidRDefault="00623AF8" w:rsidP="00623AF8"/>
    <w:p w14:paraId="4F2A8CFD" w14:textId="77777777" w:rsidR="00623AF8" w:rsidRPr="00233EE5" w:rsidRDefault="00623AF8" w:rsidP="00623AF8"/>
    <w:p w14:paraId="2E6F9AF5"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86" w:name="_Toc170378206"/>
      <w:bookmarkStart w:id="287" w:name="_Toc170983739"/>
      <w:r w:rsidRPr="00233EE5">
        <w:rPr>
          <w:rFonts w:ascii="Aptos" w:eastAsiaTheme="majorEastAsia" w:hAnsi="Aptos" w:cstheme="majorBidi"/>
          <w:b/>
          <w:color w:val="E4342D"/>
          <w:szCs w:val="32"/>
        </w:rPr>
        <w:t>Ticketing-System für den grenzüberschreitenden Verkehr</w:t>
      </w:r>
      <w:bookmarkEnd w:id="286"/>
      <w:bookmarkEnd w:id="287"/>
    </w:p>
    <w:p w14:paraId="0A9862B4"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4B554D5F" w14:textId="77777777" w:rsidTr="00875DD0">
        <w:tc>
          <w:tcPr>
            <w:tcW w:w="9060" w:type="dxa"/>
            <w:shd w:val="clear" w:color="auto" w:fill="D9D9D9" w:themeFill="background1" w:themeFillShade="D9"/>
          </w:tcPr>
          <w:p w14:paraId="130F41A0"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 xml:space="preserve">Frage </w:t>
            </w:r>
          </w:p>
        </w:tc>
      </w:tr>
      <w:tr w:rsidR="00623AF8" w:rsidRPr="00233EE5" w14:paraId="0EF31FBF" w14:textId="77777777" w:rsidTr="00875DD0">
        <w:tc>
          <w:tcPr>
            <w:tcW w:w="9060" w:type="dxa"/>
          </w:tcPr>
          <w:p w14:paraId="228622D6" w14:textId="77777777" w:rsidR="00623AF8" w:rsidRPr="00233EE5" w:rsidRDefault="00623AF8" w:rsidP="00875DD0">
            <w:pPr>
              <w:spacing w:before="120" w:after="120"/>
              <w:jc w:val="both"/>
              <w:rPr>
                <w:rFonts w:ascii="Aptos" w:hAnsi="Aptos"/>
                <w:b/>
                <w:bCs/>
                <w:sz w:val="22"/>
                <w:szCs w:val="22"/>
              </w:rPr>
            </w:pPr>
            <w:r w:rsidRPr="00233EE5">
              <w:rPr>
                <w:rFonts w:ascii="Aptos" w:hAnsi="Aptos"/>
                <w:sz w:val="22"/>
                <w:szCs w:val="22"/>
              </w:rPr>
              <w:t xml:space="preserve">Das Angebot von Fahrausweisen für den grenzüberschreitenden Nah- und Fernverkehr ist ein wesentliches Element zur Steigerung der Attraktivität des öffentlichen Verkehrs im transeuropäischen Raum. Fahrausweise für das TEN-T-Netz im europäischen Raum spielen daher eine wesentliche Rolle bei der Erreichung eines nachhaltigen Modal Split und der Ziele des Green New Deal und des Fit for 55-Pakets. </w:t>
            </w:r>
            <w:r w:rsidRPr="00233EE5">
              <w:rPr>
                <w:rFonts w:ascii="Aptos" w:hAnsi="Aptos"/>
                <w:b/>
                <w:bCs/>
                <w:sz w:val="22"/>
                <w:szCs w:val="22"/>
              </w:rPr>
              <w:t>Wie wollen Sie ein faires Ticketing-System im grenzüberschreitenden Verkehr sicherstellen?</w:t>
            </w:r>
          </w:p>
        </w:tc>
      </w:tr>
      <w:tr w:rsidR="00623AF8" w:rsidRPr="00233EE5" w14:paraId="77794D13" w14:textId="77777777" w:rsidTr="00875DD0">
        <w:tc>
          <w:tcPr>
            <w:tcW w:w="9060" w:type="dxa"/>
            <w:shd w:val="clear" w:color="auto" w:fill="D9D9D9" w:themeFill="background1" w:themeFillShade="D9"/>
          </w:tcPr>
          <w:p w14:paraId="2015981D"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3F3E0FAA" w14:textId="77777777" w:rsidTr="00875DD0">
        <w:tc>
          <w:tcPr>
            <w:tcW w:w="9060" w:type="dxa"/>
          </w:tcPr>
          <w:p w14:paraId="038EC91E"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Welche Initiativen planen Sie, um den öffentlichen Verkehr im transeuropäischen Raum attraktiver zu machen?</w:t>
            </w:r>
          </w:p>
          <w:p w14:paraId="17C63714"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Wie kann sichergestellt werden, dass bei Durchgangsfahrkarten im transeuropäischen Raum die Verantwortlichkeiten klar geregelt sind und dass Fahrkarten, die von Fahrkartenvermittlern angeboten werden und fehlerhaft sind, nicht zu einer Haftung der operierenden Verkehrsunternehmen führen? </w:t>
            </w:r>
          </w:p>
          <w:p w14:paraId="2A3BB011"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sichern, dass die Preisgestaltung von Durchgangstickets in der Hand der Verkehrsunternehmen bleibt?</w:t>
            </w:r>
          </w:p>
          <w:p w14:paraId="4EDE3FB0"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diese Tickets nach transparenten, vorhersehbaren und leistbaren Kriterien gestaltet werden und die Unternehmen trotzdem ihre Kosten decken können?</w:t>
            </w:r>
          </w:p>
        </w:tc>
      </w:tr>
    </w:tbl>
    <w:p w14:paraId="4AEBC699" w14:textId="77777777" w:rsidR="00623AF8" w:rsidRPr="00233EE5"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233EE5" w14:paraId="63B97000" w14:textId="77777777" w:rsidTr="00875DD0">
        <w:trPr>
          <w:trHeight w:val="277"/>
        </w:trPr>
        <w:tc>
          <w:tcPr>
            <w:tcW w:w="9066" w:type="dxa"/>
            <w:shd w:val="clear" w:color="auto" w:fill="D9D9D9"/>
          </w:tcPr>
          <w:p w14:paraId="522EAD41"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5C0AA496" w14:textId="77777777" w:rsidR="00623AF8" w:rsidRPr="00233EE5" w:rsidRDefault="00623AF8" w:rsidP="00623AF8">
      <w:pPr>
        <w:rPr>
          <w:rFonts w:ascii="Aptos" w:eastAsia="Arial MT" w:hAnsi="Aptos" w:cs="Arial MT"/>
          <w:color w:val="0D0D0D"/>
          <w:sz w:val="22"/>
          <w:szCs w:val="22"/>
        </w:rPr>
      </w:pPr>
      <w:r w:rsidRPr="00233EE5">
        <w:rPr>
          <w:rFonts w:ascii="Aptos" w:eastAsia="Arial MT" w:hAnsi="Aptos" w:cs="Arial MT"/>
          <w:color w:val="0D0D0D"/>
          <w:sz w:val="22"/>
          <w:szCs w:val="22"/>
        </w:rPr>
        <w:t xml:space="preserve">Im europäischen Eisenbahnsektor wird derzeit intensiv an der Verbesserung des internationalen Ticketing gearbeitet, insbesondere durch die Einführung der CER Ticketing Roadmap 2021, die vom Verband der Europäischen Bahnen (CER) entwickelt wurde und zum Ziel hat, die Zusammenarbeit zwischen den Bahnen zu maximieren, ohne den Wettbewerb zu beeinträchtigen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Neben den technischen Aspekten sind zwei wesentliche inhaltliche Herausforderungen zu bewältigen: Drittanbieter dürfen die Tarifwelt nicht verändern, um Marktmanipulationen zu verhindern, und sie dürfen den operativ tätigen Verkehrsunternehmen keine zusätzlichen Kosten verursachen. Darüber hinaus muss verhindert werden, dass Drittanbieter Tickets zu unangemessenen Konditionen verkaufen, die zu Schadensersatzansprüchen gegenüber den operativ tätigen Verkehrsunternehmen führen könnten. Wichtig ist auch, dass die Preisgestaltung für Durchgangsfahrkarten, die eine nahtlose Reise mit verschiedenen Verkehrsträgern ermöglichen, in der Hand der operativ tätigen Verkehrsunternehmen bleibt. Aus der Perspektive der Daseinsvorsorge sind kommunale, regionale und öffentliche Verkehrsunternehmen wesentliche Treiber für ein klimaneutrales Europa. So benötigen z.B. Eisenbahnunternehmen rechtliche Rahmenbedingungen, die es ihnen ermöglichen, die Bedürfnisse ihrer Kunden zu kennen und die Datenverarbeitung selbst zu steuern, um Datenschutz und Servicequalität zu gewährleisten.</w:t>
      </w:r>
    </w:p>
    <w:p w14:paraId="1F59009C" w14:textId="77777777" w:rsidR="00623AF8" w:rsidRPr="00233EE5" w:rsidRDefault="00623AF8" w:rsidP="00623AF8">
      <w:pPr>
        <w:rPr>
          <w:rFonts w:ascii="Aptos" w:hAnsi="Aptos"/>
          <w:sz w:val="20"/>
          <w:szCs w:val="20"/>
        </w:rPr>
      </w:pPr>
    </w:p>
    <w:p w14:paraId="34792CA6" w14:textId="77777777" w:rsidR="00623AF8" w:rsidRPr="00233EE5" w:rsidRDefault="00623AF8" w:rsidP="00F63BE8">
      <w:pPr>
        <w:numPr>
          <w:ilvl w:val="0"/>
          <w:numId w:val="37"/>
        </w:numPr>
        <w:contextualSpacing/>
        <w:jc w:val="both"/>
        <w:rPr>
          <w:rFonts w:ascii="Aptos" w:hAnsi="Aptos"/>
          <w:sz w:val="18"/>
          <w:szCs w:val="18"/>
          <w:lang w:val="en-GB"/>
        </w:rPr>
      </w:pPr>
      <w:r w:rsidRPr="00233EE5">
        <w:rPr>
          <w:rFonts w:ascii="Aptos" w:hAnsi="Aptos"/>
          <w:sz w:val="18"/>
          <w:szCs w:val="18"/>
          <w:lang w:val="en-GB"/>
        </w:rPr>
        <w:t>CER 2024:  CER Ticketing Roadmap</w:t>
      </w:r>
    </w:p>
    <w:p w14:paraId="27B2BD30" w14:textId="77777777" w:rsidR="00623AF8" w:rsidRPr="00233EE5" w:rsidRDefault="00AC460E" w:rsidP="00623AF8">
      <w:pPr>
        <w:ind w:left="360"/>
        <w:contextualSpacing/>
        <w:jc w:val="both"/>
        <w:rPr>
          <w:rFonts w:ascii="Aptos" w:hAnsi="Aptos"/>
          <w:sz w:val="18"/>
          <w:szCs w:val="18"/>
          <w:lang w:val="en-GB"/>
        </w:rPr>
      </w:pPr>
      <w:hyperlink r:id="rId51" w:history="1">
        <w:r w:rsidR="00623AF8" w:rsidRPr="00233EE5">
          <w:rPr>
            <w:rFonts w:ascii="Aptos" w:hAnsi="Aptos"/>
            <w:color w:val="0000FF"/>
            <w:sz w:val="18"/>
            <w:szCs w:val="18"/>
            <w:u w:val="single"/>
            <w:lang w:val="en-GB"/>
          </w:rPr>
          <w:t>https://www.cer.be/cer-eu-projects-initiatives/cer-ticketing-roadmap</w:t>
        </w:r>
      </w:hyperlink>
    </w:p>
    <w:p w14:paraId="0F10AEF6" w14:textId="77777777" w:rsidR="00623AF8" w:rsidRPr="00233EE5" w:rsidRDefault="00623AF8" w:rsidP="00623AF8">
      <w:pPr>
        <w:rPr>
          <w:rFonts w:ascii="Aptos" w:hAnsi="Aptos"/>
          <w:sz w:val="20"/>
          <w:szCs w:val="20"/>
          <w:lang w:val="en-GB"/>
        </w:rPr>
      </w:pPr>
    </w:p>
    <w:p w14:paraId="0E14C2A6" w14:textId="77777777" w:rsidR="00623AF8" w:rsidRPr="00233EE5" w:rsidRDefault="00623AF8" w:rsidP="00623AF8">
      <w:pPr>
        <w:rPr>
          <w:rFonts w:ascii="Aptos" w:hAnsi="Aptos"/>
          <w:sz w:val="20"/>
          <w:szCs w:val="20"/>
          <w:lang w:val="en-GB"/>
        </w:rPr>
      </w:pPr>
    </w:p>
    <w:p w14:paraId="4D7C2562" w14:textId="77777777" w:rsidR="00623AF8" w:rsidRPr="00233EE5" w:rsidRDefault="00623AF8" w:rsidP="00623AF8">
      <w:pPr>
        <w:rPr>
          <w:rFonts w:ascii="Aptos" w:hAnsi="Aptos"/>
          <w:sz w:val="20"/>
          <w:szCs w:val="20"/>
          <w:lang w:val="en-GB"/>
        </w:rPr>
      </w:pPr>
    </w:p>
    <w:p w14:paraId="2EB2FA98" w14:textId="77777777" w:rsidR="00623AF8" w:rsidRPr="00233EE5" w:rsidRDefault="00623AF8" w:rsidP="00623AF8">
      <w:pPr>
        <w:rPr>
          <w:rFonts w:ascii="Aptos" w:hAnsi="Aptos"/>
          <w:sz w:val="20"/>
          <w:szCs w:val="20"/>
          <w:lang w:val="en-GB"/>
        </w:rPr>
      </w:pPr>
    </w:p>
    <w:p w14:paraId="0F1C7062" w14:textId="77777777" w:rsidR="00623AF8" w:rsidRPr="00233EE5" w:rsidRDefault="00623AF8" w:rsidP="00623AF8">
      <w:pPr>
        <w:rPr>
          <w:lang w:val="en-GB"/>
        </w:rPr>
      </w:pPr>
    </w:p>
    <w:p w14:paraId="51100836" w14:textId="77777777" w:rsidR="00623AF8" w:rsidRPr="00233EE5" w:rsidRDefault="00623AF8" w:rsidP="00623AF8">
      <w:pPr>
        <w:rPr>
          <w:lang w:val="en-GB"/>
        </w:rPr>
      </w:pPr>
    </w:p>
    <w:p w14:paraId="6F17EAB0"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88" w:name="_Toc170378207"/>
      <w:bookmarkStart w:id="289" w:name="_Toc170983740"/>
      <w:r w:rsidRPr="00233EE5">
        <w:rPr>
          <w:rFonts w:ascii="Aptos" w:eastAsiaTheme="majorEastAsia" w:hAnsi="Aptos" w:cstheme="majorBidi"/>
          <w:b/>
          <w:color w:val="E4342D"/>
          <w:szCs w:val="32"/>
        </w:rPr>
        <w:t>Digitale Aufzeichnung und Kontrolle der Arbeitsbedingungen im Verkehrssystem</w:t>
      </w:r>
      <w:bookmarkEnd w:id="288"/>
      <w:bookmarkEnd w:id="289"/>
    </w:p>
    <w:p w14:paraId="0393516F"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5186F185" w14:textId="77777777" w:rsidTr="00875DD0">
        <w:tc>
          <w:tcPr>
            <w:tcW w:w="9060" w:type="dxa"/>
            <w:shd w:val="clear" w:color="auto" w:fill="D9D9D9" w:themeFill="background1" w:themeFillShade="D9"/>
          </w:tcPr>
          <w:p w14:paraId="45A7CD97"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48884ECD" w14:textId="77777777" w:rsidTr="00875DD0">
        <w:tc>
          <w:tcPr>
            <w:tcW w:w="9060" w:type="dxa"/>
          </w:tcPr>
          <w:p w14:paraId="40EC6916" w14:textId="77777777" w:rsidR="00623AF8" w:rsidRPr="00233EE5" w:rsidRDefault="00623AF8" w:rsidP="00875DD0">
            <w:pPr>
              <w:spacing w:before="120" w:after="120"/>
              <w:jc w:val="both"/>
              <w:rPr>
                <w:rFonts w:ascii="Aptos" w:hAnsi="Aptos"/>
                <w:b/>
                <w:bCs/>
                <w:sz w:val="22"/>
                <w:szCs w:val="22"/>
                <w:lang w:val="de-DE"/>
              </w:rPr>
            </w:pPr>
            <w:r w:rsidRPr="00233EE5">
              <w:rPr>
                <w:rFonts w:ascii="Aptos" w:hAnsi="Aptos" w:cs="Open Sans"/>
                <w:sz w:val="22"/>
                <w:szCs w:val="22"/>
              </w:rPr>
              <w:t xml:space="preserve">Der Verkehrssektor ist eine kritische Infrastruktur, ein wesentlicher Bestandteil unserer Lebensweise und spielt eine Schlüsselrolle für den Wirtschaftsstandort Europa. Um seine Qualität, Zuverlässigkeit und Widerstandsfähigkeit langfristig zu sichern, spielen faire, stabile und gute Arbeitsbedingungen für die Beschäftigten eine entscheidende Rolle. </w:t>
            </w:r>
            <w:r w:rsidRPr="00233EE5">
              <w:rPr>
                <w:rFonts w:ascii="Aptos" w:hAnsi="Aptos" w:cs="Open Sans"/>
                <w:b/>
                <w:bCs/>
                <w:sz w:val="22"/>
                <w:szCs w:val="22"/>
              </w:rPr>
              <w:t>Haben Sie Pläne für eine digitale Erfassung der Arbeitszeiten bzw. für eine Kontrolle der Arbeitsbedingungen durch die Anbieter von Verkehrsdienstleistungen, um Sozialdumping zu verhindern?</w:t>
            </w:r>
          </w:p>
        </w:tc>
      </w:tr>
      <w:tr w:rsidR="00623AF8" w:rsidRPr="00233EE5" w14:paraId="3A957B51" w14:textId="77777777" w:rsidTr="00875DD0">
        <w:tc>
          <w:tcPr>
            <w:tcW w:w="9060" w:type="dxa"/>
            <w:shd w:val="clear" w:color="auto" w:fill="D9D9D9" w:themeFill="background1" w:themeFillShade="D9"/>
          </w:tcPr>
          <w:p w14:paraId="3043F833"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4A21B026" w14:textId="77777777" w:rsidTr="00875DD0">
        <w:tc>
          <w:tcPr>
            <w:tcW w:w="9060" w:type="dxa"/>
          </w:tcPr>
          <w:p w14:paraId="13A8B483"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durch geeignete Kontrollen sicherstellen, dass die Arbeitsbedingungen eingehalten werden?</w:t>
            </w:r>
          </w:p>
        </w:tc>
      </w:tr>
    </w:tbl>
    <w:p w14:paraId="096F823E" w14:textId="77777777" w:rsidR="00623AF8" w:rsidRPr="00233EE5"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233EE5" w14:paraId="6DF4D8CD" w14:textId="77777777" w:rsidTr="00875DD0">
        <w:trPr>
          <w:trHeight w:val="277"/>
        </w:trPr>
        <w:tc>
          <w:tcPr>
            <w:tcW w:w="9066" w:type="dxa"/>
            <w:shd w:val="clear" w:color="auto" w:fill="D9D9D9"/>
          </w:tcPr>
          <w:p w14:paraId="15E42F3C" w14:textId="77777777" w:rsidR="00623AF8" w:rsidRPr="00233EE5" w:rsidRDefault="00623AF8" w:rsidP="00875DD0">
            <w:pPr>
              <w:spacing w:line="258" w:lineRule="exact"/>
              <w:jc w:val="both"/>
              <w:rPr>
                <w:rFonts w:ascii="Aptos" w:eastAsia="Arial MT" w:hAnsi="Aptos" w:cs="Arial MT"/>
                <w:b/>
                <w:szCs w:val="22"/>
                <w:lang w:val="en-GB"/>
              </w:rPr>
            </w:pPr>
            <w:r w:rsidRPr="00233EE5">
              <w:rPr>
                <w:rFonts w:ascii="Aptos" w:eastAsia="Arial MT" w:hAnsi="Aptos" w:cs="Arial MT"/>
                <w:b/>
                <w:szCs w:val="22"/>
                <w:lang w:val="en-GB"/>
              </w:rPr>
              <w:t>Hintergrund</w:t>
            </w:r>
          </w:p>
        </w:tc>
      </w:tr>
    </w:tbl>
    <w:p w14:paraId="652E1FAA" w14:textId="77777777" w:rsidR="00623AF8" w:rsidRPr="00233EE5" w:rsidRDefault="00623AF8" w:rsidP="00623AF8">
      <w:pPr>
        <w:jc w:val="both"/>
        <w:rPr>
          <w:rFonts w:ascii="Aptos" w:hAnsi="Aptos" w:cs="Open Sans"/>
          <w:sz w:val="20"/>
          <w:szCs w:val="20"/>
          <w:highlight w:val="yellow"/>
        </w:rPr>
      </w:pPr>
      <w:r w:rsidRPr="00233EE5">
        <w:rPr>
          <w:rFonts w:ascii="Aptos" w:eastAsia="Arial MT" w:hAnsi="Aptos" w:cs="Arial MT"/>
          <w:color w:val="0D0D0D"/>
          <w:sz w:val="22"/>
          <w:szCs w:val="22"/>
        </w:rPr>
        <w:t>Um die Qualität, Zuverlässigkeit und Widerstandsfähigkeit des Verkehrssektors langfristig zu sichern, spielen faire, stabile und gute Arbeitsbedingungen für die Beschäftigten eine entscheidende Rolle. Die digitale Erfassung und Kontrolle der Arbeitsbedingungen ist dabei aus mehreren Gründen wichtig: Sie ermöglicht eine genaue Überwachung der Lenk- und Ruhezeiten der Fahrer, was das Unfallrisiko durch Übermüdung verringert und damit die Sicherheit erhöht. Darüber hinaus können Unternehmen mit digitalen Systemen sicherstellen, dass sie die geltenden Arbeitszeitgesetze und -vorschriften einhalten und so rechtliche Konsequenzen und Bußgelder vermeiden. Automatisierte Zeiterfassungssysteme tragen zur Effizienz und Produktivität bei, indem sie den Verwaltungsaufwand reduzieren und eine effizientere Einsatzplanung ermöglichen. Dies führt zu einer besseren Ressourcennutzung und erhöht die Produktivität. Darüber hinaus schaffen digitale Aufzeichnungen Transparenz über Arbeitszeiten und -bedingungen, schützen Arbeitnehmerrechte und stärken faire Arbeitsbedingungen. Im Falle von Unfällen oder Zwischenfällen helfen digitale Aufzeichnungen, die Ursachen zu ermitteln und die Verantwortlichkeiten zu klären, was für Versicherungsansprüche und juristische Untersuchungen wichtig ist. Durch eine optimierte Einsatzplanung und weniger Leerlaufzeiten tragen digitale Systeme auch zur Senkung des Kraftstoffverbrauchs und der Emissionen bei. Derzeit sind die Arbeitszeitnachweise der Beschäftigten jedoch weder fälschungssicher noch in allen Transportunternehmen kontrollierbar.</w:t>
      </w:r>
      <w:r w:rsidRPr="00233EE5">
        <w:t xml:space="preserve"> </w:t>
      </w:r>
      <w:r w:rsidRPr="00233EE5">
        <w:rPr>
          <w:rFonts w:ascii="Aptos" w:eastAsia="Arial MT" w:hAnsi="Aptos" w:cs="Arial MT"/>
          <w:color w:val="0D0D0D"/>
          <w:sz w:val="22"/>
          <w:szCs w:val="22"/>
        </w:rPr>
        <w:t>Ohne entsprechende Erfassung und ausreichende Kontrolle werden Arbeitszeiten zum Teil massiv überschritten, was die Sicherheit von Beschäftigten und Fahrgästen gefährdet und den fairen Wettbewerb beeinträchtigt. Aus der Perspektive der Daseinsvorsorge ist der Schutz der Facharbeiter:innen ein wesentlicher Eckpfeiler für einen prosperierenden Verkehrssektor, die digitale Erfassung und Kontrolle der Arbeitsbedingungen trägt somit zu mehr Sicherheit, Effizienz, Gerechtigkeit und Nachhaltigkeit im Verkehrssystem bei.</w:t>
      </w:r>
    </w:p>
    <w:p w14:paraId="3581ABE1" w14:textId="77777777" w:rsidR="00623AF8" w:rsidRPr="00233EE5" w:rsidRDefault="00623AF8" w:rsidP="00623AF8">
      <w:pPr>
        <w:rPr>
          <w:highlight w:val="yellow"/>
        </w:rPr>
      </w:pPr>
    </w:p>
    <w:p w14:paraId="4AAB9886" w14:textId="77777777" w:rsidR="00623AF8" w:rsidRPr="00233EE5" w:rsidRDefault="00623AF8" w:rsidP="00623AF8">
      <w:pPr>
        <w:rPr>
          <w:highlight w:val="yellow"/>
        </w:rPr>
      </w:pPr>
    </w:p>
    <w:p w14:paraId="340738F4" w14:textId="77777777" w:rsidR="00623AF8" w:rsidRDefault="00623AF8" w:rsidP="00623AF8">
      <w:pPr>
        <w:rPr>
          <w:highlight w:val="yellow"/>
        </w:rPr>
      </w:pPr>
    </w:p>
    <w:p w14:paraId="0D04399F" w14:textId="77777777" w:rsidR="00A66104" w:rsidRPr="00233EE5" w:rsidRDefault="00A66104" w:rsidP="00623AF8">
      <w:pPr>
        <w:rPr>
          <w:highlight w:val="yellow"/>
        </w:rPr>
      </w:pPr>
    </w:p>
    <w:p w14:paraId="1420AE2D" w14:textId="77777777" w:rsidR="00623AF8" w:rsidRPr="00233EE5" w:rsidRDefault="00623AF8" w:rsidP="00623AF8">
      <w:pPr>
        <w:rPr>
          <w:highlight w:val="yellow"/>
        </w:rPr>
      </w:pPr>
    </w:p>
    <w:p w14:paraId="44C6BD67"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90" w:name="_Toc170378208"/>
      <w:bookmarkStart w:id="291" w:name="_Toc170983741"/>
      <w:r w:rsidRPr="00233EE5">
        <w:rPr>
          <w:rFonts w:ascii="Aptos" w:eastAsiaTheme="majorEastAsia" w:hAnsi="Aptos" w:cstheme="majorBidi"/>
          <w:b/>
          <w:color w:val="E4342D"/>
          <w:szCs w:val="32"/>
        </w:rPr>
        <w:lastRenderedPageBreak/>
        <w:t>Attraktivität der Berufe im Verkehrssystem</w:t>
      </w:r>
      <w:bookmarkEnd w:id="290"/>
      <w:bookmarkEnd w:id="291"/>
    </w:p>
    <w:p w14:paraId="175CF615"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4DEE951E" w14:textId="77777777" w:rsidTr="00875DD0">
        <w:tc>
          <w:tcPr>
            <w:tcW w:w="9060" w:type="dxa"/>
            <w:shd w:val="clear" w:color="auto" w:fill="D9D9D9" w:themeFill="background1" w:themeFillShade="D9"/>
          </w:tcPr>
          <w:p w14:paraId="6459390D"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03F98C67" w14:textId="77777777" w:rsidTr="00875DD0">
        <w:tc>
          <w:tcPr>
            <w:tcW w:w="9060" w:type="dxa"/>
          </w:tcPr>
          <w:p w14:paraId="54DB813B" w14:textId="77777777" w:rsidR="00623AF8" w:rsidRPr="00233EE5" w:rsidRDefault="00623AF8" w:rsidP="00875DD0">
            <w:pPr>
              <w:spacing w:before="120" w:after="120"/>
              <w:jc w:val="both"/>
              <w:rPr>
                <w:rFonts w:ascii="Aptos" w:hAnsi="Aptos"/>
                <w:b/>
                <w:bCs/>
                <w:sz w:val="22"/>
                <w:szCs w:val="22"/>
                <w:lang w:val="de-DE"/>
              </w:rPr>
            </w:pPr>
            <w:r w:rsidRPr="00233EE5">
              <w:rPr>
                <w:rFonts w:ascii="Aptos" w:hAnsi="Aptos" w:cs="Open Sans"/>
                <w:sz w:val="22"/>
                <w:szCs w:val="22"/>
              </w:rPr>
              <w:t xml:space="preserve">Der Verkehrssektor ist eine kritische Infrastruktur, ein wesentlicher Bestandteil unserer Lebensweise und spielt eine Schlüsselrolle für den Wirtschaftsstandort Europa. Die Attraktivität des Verkehrssektors auf dem Arbeitsmarkt ist entscheidend für ein reibungsloses und effizientes Verkehrssystem in Europa. Angesichts des zunehmenden Fachkräftemangels stehen Regierungen und Unternehmen vor der Herausforderung, geeignete Initiativen zu entwickeln, um qualifizierte Arbeitskräfte anzuwerben und zu halten. Die Schaffung eines attraktiven Arbeitsumfelds und die Förderung von Aus- und Weiterbildungsmöglichkeiten sind wichtige Maßnahmen, um dem Fachkräftemangel im Verkehrssektor zu begegnen. </w:t>
            </w:r>
            <w:r w:rsidRPr="00233EE5">
              <w:rPr>
                <w:rFonts w:ascii="Aptos" w:hAnsi="Aptos" w:cs="Open Sans"/>
                <w:b/>
                <w:bCs/>
                <w:sz w:val="22"/>
                <w:szCs w:val="22"/>
              </w:rPr>
              <w:t>Welche Initiativen planen Sie, um die Attraktivität des Verkehrssektors auf dem Arbeitsmarkt zu erhöhen und dem Fachkräftemangel entgegenzuwirken?</w:t>
            </w:r>
          </w:p>
        </w:tc>
      </w:tr>
      <w:tr w:rsidR="00623AF8" w:rsidRPr="00233EE5" w14:paraId="72289891" w14:textId="77777777" w:rsidTr="00875DD0">
        <w:tc>
          <w:tcPr>
            <w:tcW w:w="9060" w:type="dxa"/>
            <w:shd w:val="clear" w:color="auto" w:fill="D9D9D9" w:themeFill="background1" w:themeFillShade="D9"/>
          </w:tcPr>
          <w:p w14:paraId="178C0856"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6E68731C" w14:textId="77777777" w:rsidTr="00875DD0">
        <w:tc>
          <w:tcPr>
            <w:tcW w:w="9060" w:type="dxa"/>
          </w:tcPr>
          <w:p w14:paraId="1A71DDE7"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Welche Schritte planen Sie, damit der Verkehrssektor auch in Zukunft resilient bleibt und genügend Arbeitskräfte zur Verfügung stehen?</w:t>
            </w:r>
          </w:p>
          <w:p w14:paraId="1D5A97B3"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Sind konkrete Förderungen geplant – bspw. die Förderung von Frauen –, um Anreize für neue Ausbildungsprogramme im Verkehrssektor zu schaffen?</w:t>
            </w:r>
          </w:p>
          <w:p w14:paraId="377A6B05"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es ein ausreichendes Ausbildungsangebot für die neuen beruflichen Herausforderungen des Verkehrs der Zukunft geben wird?</w:t>
            </w:r>
          </w:p>
        </w:tc>
      </w:tr>
    </w:tbl>
    <w:p w14:paraId="3814E046"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7AE3A7E0" w14:textId="77777777" w:rsidTr="00875DD0">
        <w:trPr>
          <w:trHeight w:val="277"/>
        </w:trPr>
        <w:tc>
          <w:tcPr>
            <w:tcW w:w="9066" w:type="dxa"/>
            <w:shd w:val="clear" w:color="auto" w:fill="D9D9D9"/>
          </w:tcPr>
          <w:p w14:paraId="13ECB4E0" w14:textId="77777777" w:rsidR="00623AF8" w:rsidRPr="00233EE5" w:rsidRDefault="00623AF8" w:rsidP="00875DD0">
            <w:pPr>
              <w:tabs>
                <w:tab w:val="left" w:pos="3516"/>
              </w:tabs>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0AAC268D" w14:textId="77777777" w:rsidR="00623AF8" w:rsidRPr="00233EE5" w:rsidRDefault="00623AF8" w:rsidP="00623AF8">
      <w:pPr>
        <w:spacing w:after="120"/>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Der Verkehrssektor ist eine kritische Infrastruktur und ein wesentlicher Bestandteil unserer Lebensweise, der eine Schlüsselrolle für den Wirtschaftsstandort Europa spielt. Mobilität und Verkehr sind für unser tägliches Leben unverzichtbar, vom Weg zur Arbeit über Besuche bei Familie und Freunden bis hin zu touristischen Reisen und dem reibungslosen Funktionieren globaler Lieferketten. Der freie Personen- und Warenverkehr innerhalb der EU stärkt den Zusammenhalt und die europäische Identität. Der Verkehr ist der zweitgrößte Ausgabenposten der privaten Haushalte in der EU und trägt 5 % zum europäischen BIP bei. 10 Millionen Menschen sind in diesem Sektor beschäftigt und das Verkehrsaufkommen in Europa nimmt jährlich zu. Diese Entwicklungen erfordern mehr gut ausgebildete Fachkräfte im Verkehrssektor, um die steigende Nachfrage zu bewältigen und die Klimaschutzziele bis 2030 zu erreichen, insbesondere im öffentlichen Verkehr. Angesichts des zunehmenden Fachkräftemangels stehen Regierungen und Unternehmen vor der Herausforderung, geeignete Initiativen zu entwickeln, um qualifizierte Arbeitskräfte anzuwerben und zu halten. In einer Branchenumfrage des Verbandes Deutscher Verkehrsunternehmen (VDV) gab jedes zweite Unternehmen an, dass es in den letzten Jahren aus personellen Gründen den Fahrbetrieb zeitweise einschränken musste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Diese Einschränkungen, die durch den demografischen Wandel noch verstärkt werden, führen zu ausgedünnten Fahrplänen und gestrichenen Linien. Aus der Perspektive der Daseinsvorsorge ist es wichtig, dass die EU ein attraktives Arbeitsumfeld und die Förderung von Aus- und Weiterbildungsmöglichkeiten unterstützt, um dem Fachkräftemangel im Verkehrssektor entgegenzuwirken und ein reibungsloses und effizientes Verkehrssystem in Europa zu gewährleisten.</w:t>
      </w:r>
    </w:p>
    <w:p w14:paraId="094FB18A" w14:textId="77777777" w:rsidR="00623AF8" w:rsidRPr="00233EE5" w:rsidRDefault="00623AF8" w:rsidP="00F63BE8">
      <w:pPr>
        <w:numPr>
          <w:ilvl w:val="0"/>
          <w:numId w:val="38"/>
        </w:numPr>
        <w:contextualSpacing/>
        <w:jc w:val="both"/>
        <w:rPr>
          <w:rFonts w:ascii="Aptos" w:hAnsi="Aptos"/>
          <w:sz w:val="18"/>
          <w:szCs w:val="18"/>
        </w:rPr>
      </w:pPr>
      <w:r w:rsidRPr="00233EE5">
        <w:rPr>
          <w:rFonts w:ascii="Aptos" w:hAnsi="Aptos"/>
          <w:sz w:val="18"/>
          <w:szCs w:val="18"/>
        </w:rPr>
        <w:t>VDV 2023:  Bus- und Bahn-Unternehmen registrieren höheres Interesse und stellen im großen Stil ein</w:t>
      </w:r>
    </w:p>
    <w:p w14:paraId="515AA518" w14:textId="77777777" w:rsidR="00623AF8" w:rsidRPr="00233EE5" w:rsidRDefault="00AC460E" w:rsidP="00623AF8">
      <w:pPr>
        <w:ind w:left="360"/>
        <w:contextualSpacing/>
        <w:jc w:val="both"/>
        <w:rPr>
          <w:rFonts w:ascii="Aptos" w:hAnsi="Aptos"/>
          <w:sz w:val="18"/>
          <w:szCs w:val="18"/>
        </w:rPr>
      </w:pPr>
      <w:hyperlink r:id="rId52" w:history="1">
        <w:r w:rsidR="00623AF8" w:rsidRPr="00233EE5">
          <w:rPr>
            <w:rFonts w:ascii="Aptos" w:hAnsi="Aptos"/>
            <w:color w:val="0000FF"/>
            <w:sz w:val="18"/>
            <w:szCs w:val="18"/>
            <w:u w:val="single"/>
          </w:rPr>
          <w:t>https://www.vdv.de/presse.aspx?id=7bc4cde5-570a-4226-a5f9-23b573894d9f&amp;mode=detail&amp;coriander=v3_7619e746-222c-7efb-bbf0-5c7ba44c90a5</w:t>
        </w:r>
      </w:hyperlink>
    </w:p>
    <w:p w14:paraId="1D7C58C5" w14:textId="77777777" w:rsidR="00623AF8" w:rsidRPr="00233EE5" w:rsidRDefault="00623AF8" w:rsidP="00623AF8">
      <w:pPr>
        <w:spacing w:after="120"/>
        <w:jc w:val="both"/>
        <w:rPr>
          <w:rFonts w:ascii="Aptos" w:hAnsi="Aptos"/>
          <w:b/>
          <w:bCs/>
          <w:sz w:val="20"/>
          <w:szCs w:val="20"/>
          <w:highlight w:val="yellow"/>
        </w:rPr>
      </w:pPr>
    </w:p>
    <w:p w14:paraId="4666493E" w14:textId="77777777" w:rsidR="00623AF8" w:rsidRPr="00233EE5" w:rsidRDefault="00623AF8" w:rsidP="00623AF8">
      <w:pPr>
        <w:spacing w:after="120"/>
        <w:jc w:val="both"/>
        <w:rPr>
          <w:rFonts w:ascii="Aptos" w:hAnsi="Aptos"/>
          <w:b/>
          <w:bCs/>
          <w:sz w:val="20"/>
          <w:szCs w:val="20"/>
          <w:highlight w:val="yellow"/>
        </w:rPr>
      </w:pPr>
    </w:p>
    <w:p w14:paraId="5D14BAE5" w14:textId="77777777" w:rsidR="00623AF8" w:rsidRDefault="00623AF8" w:rsidP="00623AF8">
      <w:pPr>
        <w:spacing w:after="120"/>
        <w:jc w:val="both"/>
        <w:rPr>
          <w:rFonts w:ascii="Aptos" w:hAnsi="Aptos"/>
          <w:b/>
          <w:bCs/>
          <w:sz w:val="20"/>
          <w:szCs w:val="20"/>
          <w:highlight w:val="yellow"/>
        </w:rPr>
      </w:pPr>
    </w:p>
    <w:p w14:paraId="374357C8" w14:textId="77777777" w:rsidR="00BA190B" w:rsidRPr="00233EE5" w:rsidRDefault="00BA190B" w:rsidP="00623AF8">
      <w:pPr>
        <w:spacing w:after="120"/>
        <w:jc w:val="both"/>
        <w:rPr>
          <w:rFonts w:ascii="Aptos" w:hAnsi="Aptos"/>
          <w:b/>
          <w:bCs/>
          <w:sz w:val="20"/>
          <w:szCs w:val="20"/>
          <w:highlight w:val="yellow"/>
        </w:rPr>
      </w:pPr>
    </w:p>
    <w:p w14:paraId="7F52C831"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92" w:name="_Toc170378209"/>
      <w:bookmarkStart w:id="293" w:name="_Toc170983742"/>
      <w:r w:rsidRPr="00233EE5">
        <w:rPr>
          <w:rFonts w:ascii="Aptos" w:eastAsiaTheme="majorEastAsia" w:hAnsi="Aptos" w:cstheme="majorBidi"/>
          <w:b/>
          <w:color w:val="E4342D"/>
          <w:szCs w:val="32"/>
        </w:rPr>
        <w:t>Gesundheitsförderung und sozial-verträgliche Arbeitsbedingungen im Verkehrssystem</w:t>
      </w:r>
      <w:bookmarkEnd w:id="292"/>
      <w:bookmarkEnd w:id="293"/>
    </w:p>
    <w:p w14:paraId="25D6FA4F"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0F7EBAD8" w14:textId="77777777" w:rsidTr="00875DD0">
        <w:tc>
          <w:tcPr>
            <w:tcW w:w="9060" w:type="dxa"/>
            <w:shd w:val="clear" w:color="auto" w:fill="D9D9D9" w:themeFill="background1" w:themeFillShade="D9"/>
          </w:tcPr>
          <w:p w14:paraId="434D81F0"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2A0816AD" w14:textId="77777777" w:rsidTr="00875DD0">
        <w:tc>
          <w:tcPr>
            <w:tcW w:w="9060" w:type="dxa"/>
          </w:tcPr>
          <w:p w14:paraId="0BD29E1B" w14:textId="77777777" w:rsidR="00623AF8" w:rsidRPr="00233EE5" w:rsidRDefault="00623AF8" w:rsidP="00875DD0">
            <w:pPr>
              <w:spacing w:before="120" w:after="120"/>
              <w:jc w:val="both"/>
              <w:rPr>
                <w:rFonts w:ascii="Aptos" w:hAnsi="Aptos"/>
                <w:b/>
                <w:bCs/>
                <w:sz w:val="22"/>
                <w:szCs w:val="22"/>
                <w:lang w:val="de-DE"/>
              </w:rPr>
            </w:pPr>
            <w:r w:rsidRPr="00233EE5">
              <w:rPr>
                <w:rFonts w:ascii="Aptos" w:hAnsi="Aptos" w:cs="Open Sans"/>
                <w:sz w:val="22"/>
                <w:szCs w:val="22"/>
              </w:rPr>
              <w:t>Der Verkehrssektor ist eine kritische Infrastruktur, ein wesentlicher Bestandteil unserer Lebensweise und spielt eine Schlüsselrolle für den Wirtschaftsstandort Europa. Um seine Qualität, Zuverlässigkeit und Widerstandsfähigkeit langfristig zu sichern, spielen faire, stabile und gute Arbeitsbedingungen für die Beschäftigten eine entscheidende Rolle.</w:t>
            </w:r>
            <w:r w:rsidRPr="00233EE5">
              <w:rPr>
                <w:rFonts w:ascii="Aptos" w:hAnsi="Aptos" w:cs="Open Sans"/>
                <w:b/>
                <w:bCs/>
                <w:sz w:val="22"/>
                <w:szCs w:val="22"/>
              </w:rPr>
              <w:t xml:space="preserve"> Wie möchten Sie sicherstellen, dass die Arbeiter:innen im Verkehrssektor ihren Beruf möglichst lange und gesund ausführen können?</w:t>
            </w:r>
          </w:p>
        </w:tc>
      </w:tr>
      <w:tr w:rsidR="00623AF8" w:rsidRPr="00233EE5" w14:paraId="18950F83" w14:textId="77777777" w:rsidTr="00875DD0">
        <w:tc>
          <w:tcPr>
            <w:tcW w:w="9060" w:type="dxa"/>
            <w:shd w:val="clear" w:color="auto" w:fill="D9D9D9" w:themeFill="background1" w:themeFillShade="D9"/>
          </w:tcPr>
          <w:p w14:paraId="135AAC6A"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51171157" w14:textId="77777777" w:rsidTr="00875DD0">
        <w:tc>
          <w:tcPr>
            <w:tcW w:w="9060" w:type="dxa"/>
          </w:tcPr>
          <w:p w14:paraId="2980E67D"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der Berufswechsel von Fachkräften harmonisiert wird und Ausbildungen in anderen Bereichen anerkannt werden?</w:t>
            </w:r>
          </w:p>
        </w:tc>
      </w:tr>
    </w:tbl>
    <w:p w14:paraId="7D011ED4"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78AC0B89" w14:textId="77777777" w:rsidTr="00875DD0">
        <w:trPr>
          <w:trHeight w:val="277"/>
        </w:trPr>
        <w:tc>
          <w:tcPr>
            <w:tcW w:w="9066" w:type="dxa"/>
            <w:shd w:val="clear" w:color="auto" w:fill="D9D9D9"/>
          </w:tcPr>
          <w:p w14:paraId="2F089E42"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7B43847F" w14:textId="77777777" w:rsidR="00623AF8" w:rsidRPr="00233EE5" w:rsidRDefault="00623AF8" w:rsidP="00623AF8">
      <w:pPr>
        <w:spacing w:after="120"/>
        <w:jc w:val="both"/>
        <w:rPr>
          <w:rFonts w:ascii="Aptos" w:eastAsia="Arial MT" w:hAnsi="Aptos" w:cs="Arial MT"/>
          <w:color w:val="0D0D0D"/>
          <w:sz w:val="22"/>
          <w:szCs w:val="22"/>
        </w:rPr>
      </w:pPr>
      <w:r w:rsidRPr="00233EE5">
        <w:rPr>
          <w:rFonts w:ascii="Aptos" w:eastAsia="Arial MT" w:hAnsi="Aptos" w:cs="Arial MT"/>
          <w:color w:val="0D0D0D"/>
          <w:sz w:val="22"/>
          <w:szCs w:val="22"/>
        </w:rPr>
        <w:t>Der Verkehrssektor ist eine kritische Infrastruktur und ein wesentlicher Bestandteil unserer Lebensweise, der eine Schlüsselrolle für den Wirtschaftsstandort Europa spielt. Mobilität und Verkehr sind für unser tägliches Leben unverzichtbar, vom Weg zur Arbeit über Besuche bei Familie und Freunden bis hin zu touristischen Reisen und dem reibungslosen Funktionieren globaler Lieferketten. Der freie Personen- und Warenverkehr innerhalb der EU stärkt den Zusammenhalt und die europäische Identität. Der Verkehr ist der zweitgrößte Ausgabenposten der privaten Haushalte in der EU und trägt 5 % zum europäischen BIP bei. 10 Millionen Menschen sind in diesem Sektor beschäftigt und das Verkehrsaufkommen in Europa nimmt jährlich zu. Diese Entwicklungen erfordern mehr gut ausgebildete Fachkräfte im Verkehrssektor, um die steigende Nachfrage zu bewältigen und die Klimaschutzziele bis 2030 zu erreichen, insbesondere im öffentlichen Verkehr. Angesichts des zunehmenden Fachkräftemangels stehen Regierungen und Unternehmen vor der Herausforderung, geeignete Initiativen zu entwickeln, um qualifizierte Arbeitskräfte anzuwerben und zu halten.</w:t>
      </w:r>
      <w:r w:rsidRPr="00233EE5">
        <w:t xml:space="preserve"> </w:t>
      </w:r>
      <w:r w:rsidRPr="00233EE5">
        <w:rPr>
          <w:rFonts w:ascii="Aptos" w:eastAsia="Arial MT" w:hAnsi="Aptos" w:cs="Arial MT"/>
          <w:color w:val="0D0D0D"/>
          <w:sz w:val="22"/>
          <w:szCs w:val="22"/>
        </w:rPr>
        <w:t>Angesichts des zunehmenden Fachkräftemangels stehen Behörden und Unternehmen vor der Herausforderung, geeignete Initiativen zu entwickeln, um qualifizierte Arbeitskräfte zu gewinnen und zu halten. In einer Branchenumfrage des Verbands Deutscher Verkehrsunternehmen (VDV) gibt jedes zweite Unternehmen an, dass es aufgrund von Personalmangel den Betrieb zeitweise einschränken muss, was zu ausgedünnten Fahrplänen und gestrichenen Linien führt. Verschärft wird diese Situation nicht nur durch außergewöhnliche Krankheitswellen wie COVID-19, sondern auch durch den demografischen Wandel, der die Personaldecke weiter ausdünnt. Aus Perspektive der Daseinsvorsorge sind Gesundheitsförderung und sozial-verträgliche Arbeitsbedingungen wichtig, um die Qualität, Zuverlässigkeit und Widerstandsfähigkeit des Verkehrssektors langfristig zu sichern. Ferner braucht es Förderungen für Aus- und Weiterbildungsmöglichkeiten, um den Herausforderungen des Fachkräftemangels erfolgreich zu begegnen und ein effizientes Verkehrssystem in Europa zu gewährleisten.</w:t>
      </w:r>
    </w:p>
    <w:p w14:paraId="683EF48B" w14:textId="77777777" w:rsidR="00623AF8" w:rsidRPr="00233EE5" w:rsidRDefault="00623AF8" w:rsidP="00623AF8">
      <w:pPr>
        <w:spacing w:after="120"/>
        <w:jc w:val="both"/>
        <w:rPr>
          <w:rFonts w:ascii="Aptos" w:hAnsi="Aptos"/>
          <w:b/>
          <w:bCs/>
          <w:sz w:val="20"/>
          <w:szCs w:val="20"/>
        </w:rPr>
      </w:pPr>
    </w:p>
    <w:p w14:paraId="523874CD" w14:textId="77777777" w:rsidR="00623AF8" w:rsidRPr="00233EE5" w:rsidRDefault="00623AF8" w:rsidP="00623AF8">
      <w:pPr>
        <w:spacing w:after="120"/>
        <w:jc w:val="both"/>
        <w:rPr>
          <w:rFonts w:ascii="Aptos" w:hAnsi="Aptos"/>
          <w:b/>
          <w:bCs/>
          <w:sz w:val="20"/>
          <w:szCs w:val="20"/>
        </w:rPr>
      </w:pPr>
    </w:p>
    <w:p w14:paraId="5AE5C36C" w14:textId="77777777" w:rsidR="00623AF8" w:rsidRPr="00233EE5" w:rsidRDefault="00623AF8" w:rsidP="00623AF8">
      <w:pPr>
        <w:spacing w:after="120"/>
        <w:jc w:val="both"/>
        <w:rPr>
          <w:rFonts w:ascii="Aptos" w:hAnsi="Aptos"/>
          <w:b/>
          <w:bCs/>
          <w:sz w:val="20"/>
          <w:szCs w:val="20"/>
        </w:rPr>
      </w:pPr>
    </w:p>
    <w:p w14:paraId="3B86F61A" w14:textId="77777777" w:rsidR="00623AF8" w:rsidRPr="00233EE5" w:rsidRDefault="00623AF8" w:rsidP="00623AF8">
      <w:pPr>
        <w:spacing w:after="120"/>
        <w:jc w:val="both"/>
        <w:rPr>
          <w:rFonts w:ascii="Aptos" w:hAnsi="Aptos"/>
          <w:b/>
          <w:bCs/>
          <w:sz w:val="20"/>
          <w:szCs w:val="20"/>
        </w:rPr>
      </w:pPr>
    </w:p>
    <w:p w14:paraId="439C248D" w14:textId="77777777" w:rsidR="00623AF8" w:rsidRPr="00233EE5" w:rsidRDefault="00623AF8" w:rsidP="00623AF8">
      <w:pPr>
        <w:spacing w:after="120"/>
        <w:jc w:val="both"/>
        <w:rPr>
          <w:rFonts w:ascii="Aptos" w:hAnsi="Aptos"/>
          <w:b/>
          <w:bCs/>
          <w:sz w:val="20"/>
          <w:szCs w:val="20"/>
        </w:rPr>
      </w:pPr>
    </w:p>
    <w:p w14:paraId="58331EA5" w14:textId="77777777" w:rsidR="00623AF8" w:rsidRPr="00233EE5" w:rsidRDefault="00623AF8" w:rsidP="00623AF8"/>
    <w:p w14:paraId="3C2B8F96" w14:textId="77777777" w:rsidR="00623AF8" w:rsidRPr="00233EE5" w:rsidRDefault="00623AF8" w:rsidP="00623AF8"/>
    <w:p w14:paraId="6E3039B1"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94" w:name="_Toc170378210"/>
      <w:bookmarkStart w:id="295" w:name="_Toc170983743"/>
      <w:r w:rsidRPr="00233EE5">
        <w:rPr>
          <w:rFonts w:ascii="Aptos" w:eastAsiaTheme="majorEastAsia" w:hAnsi="Aptos" w:cstheme="majorBidi"/>
          <w:b/>
          <w:color w:val="E4342D"/>
          <w:szCs w:val="32"/>
        </w:rPr>
        <w:t>Green Jobs im Verkehrssektor</w:t>
      </w:r>
      <w:bookmarkEnd w:id="294"/>
      <w:bookmarkEnd w:id="295"/>
    </w:p>
    <w:p w14:paraId="4B223116"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23A7035C" w14:textId="77777777" w:rsidTr="00875DD0">
        <w:tc>
          <w:tcPr>
            <w:tcW w:w="9060" w:type="dxa"/>
            <w:shd w:val="clear" w:color="auto" w:fill="D9D9D9" w:themeFill="background1" w:themeFillShade="D9"/>
          </w:tcPr>
          <w:p w14:paraId="79C20782"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6C889976" w14:textId="77777777" w:rsidTr="00875DD0">
        <w:tc>
          <w:tcPr>
            <w:tcW w:w="9060" w:type="dxa"/>
          </w:tcPr>
          <w:p w14:paraId="5938A115" w14:textId="77777777" w:rsidR="00623AF8" w:rsidRPr="00233EE5" w:rsidRDefault="00623AF8" w:rsidP="00875DD0">
            <w:pPr>
              <w:spacing w:before="120" w:after="120"/>
              <w:jc w:val="both"/>
              <w:rPr>
                <w:rFonts w:ascii="Aptos" w:hAnsi="Aptos"/>
                <w:sz w:val="22"/>
                <w:szCs w:val="22"/>
              </w:rPr>
            </w:pPr>
            <w:r w:rsidRPr="00233EE5">
              <w:rPr>
                <w:rFonts w:ascii="Aptos" w:hAnsi="Aptos" w:cs="Open Sans"/>
                <w:sz w:val="22"/>
                <w:szCs w:val="22"/>
              </w:rPr>
              <w:t xml:space="preserve">Nach der Definition der Europäischen Union (EU) sind Green Jobs Arbeitsplätze in der Herstellung von Produkten, Technologien und Dienstleistungen, die Umweltschäden vermeiden und natürliche Ressourcen schonen. Der öffentliche Verkehr ist in dieser Definition derzeit nicht enthalten. Der öffentliche Verkehr ist jedoch eine kritische Infrastruktur und spielt eine Schlüsselrolle für die soziale, wirtschaftliche und ökologische Nachhaltigkeit und den Wirtschaftsstandort Europa. </w:t>
            </w:r>
            <w:r w:rsidRPr="00233EE5">
              <w:rPr>
                <w:rFonts w:ascii="Aptos" w:hAnsi="Aptos" w:cs="Open Sans"/>
                <w:b/>
                <w:bCs/>
                <w:sz w:val="22"/>
                <w:szCs w:val="22"/>
              </w:rPr>
              <w:t>Planen Sie eine überarbeitete Klassifizierung der Green Jobs, die alle Berufe im öffentlichen Verkehrssektor umfasst?</w:t>
            </w:r>
          </w:p>
        </w:tc>
      </w:tr>
      <w:tr w:rsidR="00623AF8" w:rsidRPr="00233EE5" w14:paraId="3ADCF2DB" w14:textId="77777777" w:rsidTr="00875DD0">
        <w:tc>
          <w:tcPr>
            <w:tcW w:w="9060" w:type="dxa"/>
            <w:shd w:val="clear" w:color="auto" w:fill="D9D9D9" w:themeFill="background1" w:themeFillShade="D9"/>
          </w:tcPr>
          <w:p w14:paraId="4F744737"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1A92C519" w14:textId="77777777" w:rsidTr="00875DD0">
        <w:tc>
          <w:tcPr>
            <w:tcW w:w="9060" w:type="dxa"/>
          </w:tcPr>
          <w:p w14:paraId="495D8849"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es genügend EU-Programme gibt, um den öffentlichen Verkehrssektor für Arbeitnehmer:innen attraktiver zu machen?</w:t>
            </w:r>
          </w:p>
          <w:p w14:paraId="2442325C"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der öffentlichen Verkehrssektor die notwendige finanzielle Unterstützung erhält?</w:t>
            </w:r>
          </w:p>
        </w:tc>
      </w:tr>
    </w:tbl>
    <w:p w14:paraId="0BA0031D"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76226FCE" w14:textId="77777777" w:rsidTr="00875DD0">
        <w:trPr>
          <w:trHeight w:val="277"/>
        </w:trPr>
        <w:tc>
          <w:tcPr>
            <w:tcW w:w="9066" w:type="dxa"/>
            <w:shd w:val="clear" w:color="auto" w:fill="D9D9D9"/>
          </w:tcPr>
          <w:p w14:paraId="14A41766"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2228242E" w14:textId="77777777" w:rsidR="00623AF8" w:rsidRPr="00233EE5" w:rsidRDefault="00623AF8" w:rsidP="00623AF8">
      <w:pPr>
        <w:spacing w:after="120"/>
        <w:jc w:val="both"/>
        <w:rPr>
          <w:rFonts w:ascii="Aptos" w:hAnsi="Aptos"/>
          <w:bCs/>
          <w:iCs/>
          <w:sz w:val="22"/>
          <w:szCs w:val="22"/>
          <w:highlight w:val="yellow"/>
        </w:rPr>
      </w:pPr>
      <w:r w:rsidRPr="00233EE5">
        <w:rPr>
          <w:rFonts w:ascii="Aptos" w:eastAsia="Arial MT" w:hAnsi="Aptos" w:cs="Arial MT"/>
          <w:color w:val="0D0D0D"/>
          <w:sz w:val="22"/>
          <w:szCs w:val="22"/>
        </w:rPr>
        <w:t>Nach der Definition der Europäischen Union (EU) sind Green Jobs Arbeitsplätze in der Herstellung von Produkten, Technologien und Dienstleistungen, die Umweltschäden vermeiden und natürliche Ressourcen schonen. Der öffentliche Verkehr ist in dieser Definition derzeit nicht enthalten, obwohl er eine kritische Infrastruktur darstellt und eine Schlüsselrolle für die soziale, wirtschaftliche und ökologische Nachhaltigkeit sowie für den Wirtschaftsstandort Europa spielt. Green Jobs im Verkehrssektor umfassen Berufe, die darauf abzielen, die Umweltauswirkungen von Verkehrssystemen zu verringern, nachhaltige Verkehrslösungen zu fördern und saubere Energielösungen zu entwickeln. Diese Arbeitsplätze sind in verschiedenen Sektoren zu finden, einschließlich der Entwicklung und Herstellung von Elektrofahrzeugen, des öffentlichen Personennahverkehrs und des Elektroverkehrs. Dennoch wird der öffentliche Verkehrssektor derzeit nicht in vollem Umfang als „grüner“ Arbeitgeber angesehen, da sein Hauptziel nicht in erster Linie der Umweltschutz ist, sondern die Bereitstellung effizienter Verkehrsdienstleistungen. Der ÖPNV trägt dazu bei, die Emissionen pro Personenkilometer im Vergleich zum Individualverkehr zu reduzieren und ist damit ein wichtiger Beitrag zum Klimaschutz durch die Verringerung der Luftverschmutzung und des CO</w:t>
      </w:r>
      <w:r w:rsidRPr="00233EE5">
        <w:rPr>
          <w:rFonts w:ascii="Aptos" w:eastAsia="Arial MT" w:hAnsi="Aptos" w:cs="Arial MT"/>
          <w:color w:val="0D0D0D"/>
          <w:sz w:val="22"/>
          <w:szCs w:val="22"/>
          <w:vertAlign w:val="subscript"/>
        </w:rPr>
        <w:t>2</w:t>
      </w:r>
      <w:r w:rsidRPr="00233EE5">
        <w:rPr>
          <w:rFonts w:ascii="Aptos" w:eastAsia="Arial MT" w:hAnsi="Aptos" w:cs="Arial MT"/>
          <w:color w:val="0D0D0D"/>
          <w:sz w:val="22"/>
          <w:szCs w:val="22"/>
        </w:rPr>
        <w:t>-Ausstoßes. Aus der Perspektive der Daseinsvorsorge ist es wichtig, Berufe im ÖPNV umfassend als „Green Jobs“ zu betrachten, da sie Dienstleistungen erbringen, die Umweltschäden vermeiden und natürliche Ressourcen schonen. Dies würde die Anerkennung der Beiträge des Sektors zur Nachhaltigkeit stärken und seine Rolle bei der Förderung einer grüneren Wirtschaft unterstreichen.</w:t>
      </w:r>
    </w:p>
    <w:p w14:paraId="7900B360" w14:textId="77777777" w:rsidR="00623AF8" w:rsidRPr="00233EE5" w:rsidRDefault="00623AF8" w:rsidP="00623AF8">
      <w:pPr>
        <w:spacing w:after="120"/>
        <w:jc w:val="both"/>
        <w:rPr>
          <w:rFonts w:ascii="Aptos" w:hAnsi="Aptos"/>
          <w:bCs/>
          <w:iCs/>
          <w:sz w:val="22"/>
          <w:szCs w:val="22"/>
          <w:highlight w:val="yellow"/>
        </w:rPr>
      </w:pPr>
    </w:p>
    <w:p w14:paraId="2AEE72B2" w14:textId="77777777" w:rsidR="00623AF8" w:rsidRPr="00233EE5" w:rsidRDefault="00623AF8" w:rsidP="00623AF8">
      <w:pPr>
        <w:spacing w:after="120"/>
        <w:jc w:val="both"/>
        <w:rPr>
          <w:rFonts w:ascii="Aptos" w:hAnsi="Aptos"/>
          <w:bCs/>
          <w:iCs/>
          <w:sz w:val="22"/>
          <w:szCs w:val="22"/>
          <w:highlight w:val="yellow"/>
        </w:rPr>
      </w:pPr>
    </w:p>
    <w:p w14:paraId="18B2E438" w14:textId="77777777" w:rsidR="00623AF8" w:rsidRPr="00233EE5" w:rsidRDefault="00623AF8" w:rsidP="00623AF8">
      <w:pPr>
        <w:spacing w:after="120"/>
        <w:jc w:val="both"/>
        <w:rPr>
          <w:rFonts w:ascii="Aptos" w:hAnsi="Aptos"/>
          <w:bCs/>
          <w:iCs/>
          <w:sz w:val="22"/>
          <w:szCs w:val="22"/>
          <w:highlight w:val="yellow"/>
        </w:rPr>
      </w:pPr>
    </w:p>
    <w:p w14:paraId="21E9EBBF" w14:textId="77777777" w:rsidR="00623AF8" w:rsidRPr="00233EE5" w:rsidRDefault="00623AF8" w:rsidP="00623AF8">
      <w:pPr>
        <w:spacing w:after="120"/>
        <w:jc w:val="both"/>
        <w:rPr>
          <w:rFonts w:ascii="Aptos" w:hAnsi="Aptos"/>
          <w:bCs/>
          <w:iCs/>
          <w:sz w:val="22"/>
          <w:szCs w:val="22"/>
          <w:highlight w:val="yellow"/>
        </w:rPr>
      </w:pPr>
    </w:p>
    <w:p w14:paraId="2605C918" w14:textId="77777777" w:rsidR="00623AF8" w:rsidRPr="00233EE5" w:rsidRDefault="00623AF8" w:rsidP="00623AF8">
      <w:pPr>
        <w:rPr>
          <w:rFonts w:ascii="Aptos" w:hAnsi="Aptos"/>
          <w:bCs/>
          <w:iCs/>
          <w:sz w:val="22"/>
          <w:szCs w:val="22"/>
          <w:highlight w:val="yellow"/>
        </w:rPr>
      </w:pPr>
    </w:p>
    <w:p w14:paraId="470054DE" w14:textId="77777777" w:rsidR="00623AF8" w:rsidRPr="00233EE5" w:rsidRDefault="00623AF8" w:rsidP="00623AF8">
      <w:pPr>
        <w:rPr>
          <w:highlight w:val="yellow"/>
        </w:rPr>
      </w:pPr>
    </w:p>
    <w:p w14:paraId="72C4967F" w14:textId="77777777" w:rsidR="00623AF8" w:rsidRPr="00233EE5" w:rsidRDefault="00623AF8" w:rsidP="00623AF8">
      <w:pPr>
        <w:rPr>
          <w:highlight w:val="yellow"/>
        </w:rPr>
      </w:pPr>
    </w:p>
    <w:p w14:paraId="7ACE7BC5" w14:textId="77777777" w:rsidR="00623AF8" w:rsidRPr="00233EE5" w:rsidRDefault="00623AF8" w:rsidP="00623AF8">
      <w:pPr>
        <w:rPr>
          <w:highlight w:val="yellow"/>
        </w:rPr>
      </w:pPr>
    </w:p>
    <w:p w14:paraId="5E6F3BA9"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96" w:name="_Toc170378211"/>
      <w:bookmarkStart w:id="297" w:name="_Toc170983744"/>
      <w:r w:rsidRPr="00233EE5">
        <w:rPr>
          <w:rFonts w:ascii="Aptos" w:eastAsiaTheme="majorEastAsia" w:hAnsi="Aptos" w:cstheme="majorBidi"/>
          <w:b/>
          <w:color w:val="E4342D"/>
          <w:szCs w:val="32"/>
        </w:rPr>
        <w:t>Level-Playing-Field bei den Arbeitsbedingungen im Grenzüberschreitenden Güterverkehr</w:t>
      </w:r>
      <w:bookmarkEnd w:id="296"/>
      <w:bookmarkEnd w:id="297"/>
    </w:p>
    <w:p w14:paraId="6C50AF6A"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67A56824" w14:textId="77777777" w:rsidTr="00875DD0">
        <w:tc>
          <w:tcPr>
            <w:tcW w:w="9060" w:type="dxa"/>
            <w:shd w:val="clear" w:color="auto" w:fill="D9D9D9" w:themeFill="background1" w:themeFillShade="D9"/>
          </w:tcPr>
          <w:p w14:paraId="6E665A5C"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3FE711CC" w14:textId="77777777" w:rsidTr="00875DD0">
        <w:tc>
          <w:tcPr>
            <w:tcW w:w="9060" w:type="dxa"/>
          </w:tcPr>
          <w:p w14:paraId="4F991C7F" w14:textId="77777777" w:rsidR="00623AF8" w:rsidRPr="00233EE5" w:rsidRDefault="00623AF8" w:rsidP="00875DD0">
            <w:pPr>
              <w:spacing w:before="120" w:after="120"/>
              <w:jc w:val="both"/>
              <w:rPr>
                <w:rFonts w:ascii="Aptos" w:hAnsi="Aptos"/>
                <w:b/>
                <w:bCs/>
                <w:sz w:val="22"/>
                <w:szCs w:val="22"/>
                <w:lang w:val="de-DE"/>
              </w:rPr>
            </w:pPr>
            <w:r w:rsidRPr="00233EE5">
              <w:rPr>
                <w:rFonts w:ascii="Aptos" w:hAnsi="Aptos"/>
                <w:sz w:val="22"/>
                <w:szCs w:val="22"/>
              </w:rPr>
              <w:t xml:space="preserve">Angesichts der Herausforderungen wie Übermüdung der Fahrer, unregelmäßige Arbeitszeiten und unsichere Arbeitsbedingungen müssen unbedingt wirksame Maßnahmen zur Verbesserung der Situation der LKW-Fahrer ergriffen werden. Darüber hinaus führen die ungleichen Arbeitsbedingungen im Straßen- und Schienenverkehr dazu, dass es derzeit keine fairen Wettbewerbsbedingungen im Verkehrssektor gibt. Nur durch eine angemessene Regelung der Arbeitszeiten, die Verbesserung der sozialen Sicherheit und die Förderung von Gesundheits- und Sicherheitsstandards kann ein Level-Playing-Field zwischen Straße und Schiene geschaffen werden. </w:t>
            </w:r>
            <w:r w:rsidRPr="00233EE5">
              <w:rPr>
                <w:rFonts w:ascii="Aptos" w:hAnsi="Aptos"/>
                <w:b/>
                <w:bCs/>
                <w:sz w:val="22"/>
                <w:szCs w:val="22"/>
              </w:rPr>
              <w:t>Welche Maßnahmen planen Sie, um die Arbeitsbedingungen im grenzüberschreitenden LKW-Verkehr zu verbessern und die Arbeitsbedingungen im TEN-T-Netz zu harmonisieren?</w:t>
            </w:r>
          </w:p>
        </w:tc>
      </w:tr>
      <w:tr w:rsidR="00623AF8" w:rsidRPr="00233EE5" w14:paraId="5F1D3096" w14:textId="77777777" w:rsidTr="00875DD0">
        <w:tc>
          <w:tcPr>
            <w:tcW w:w="9060" w:type="dxa"/>
            <w:shd w:val="clear" w:color="auto" w:fill="D9D9D9" w:themeFill="background1" w:themeFillShade="D9"/>
          </w:tcPr>
          <w:p w14:paraId="1EA29AE6"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3CE0BFC6" w14:textId="77777777" w:rsidTr="00875DD0">
        <w:tc>
          <w:tcPr>
            <w:tcW w:w="9060" w:type="dxa"/>
          </w:tcPr>
          <w:p w14:paraId="7DDDCBD2"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Kontrollen gegen Sozialdumping in diesem Sektor sicherstellen?</w:t>
            </w:r>
          </w:p>
          <w:p w14:paraId="40E1359E"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Sehen Sie dazu eine Überarbeitung der Entsenderichtlinie vor? </w:t>
            </w:r>
          </w:p>
          <w:p w14:paraId="1AD2D1D5"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Planen Sie hierzu eine Anpassung der Lenkzeitenverordnung und der Richtlinie über die Zertifizierung von Triebfahrzeugführern?</w:t>
            </w:r>
          </w:p>
          <w:p w14:paraId="24C88D48"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Beabsichtigen Sie in diesem Zusammenhang eine Anpassung der Ruhezeiten?</w:t>
            </w:r>
          </w:p>
        </w:tc>
      </w:tr>
    </w:tbl>
    <w:p w14:paraId="1529E6C0"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47239580" w14:textId="77777777" w:rsidTr="00875DD0">
        <w:trPr>
          <w:trHeight w:val="277"/>
        </w:trPr>
        <w:tc>
          <w:tcPr>
            <w:tcW w:w="9066" w:type="dxa"/>
            <w:shd w:val="clear" w:color="auto" w:fill="D9D9D9"/>
          </w:tcPr>
          <w:p w14:paraId="038602BC"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3B2B39F9"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Der Verkehrssektor steht vor Herausforderungen, die sich aus der mangelnden Chancengleichheit zwischen dem Schienengüterverkehr und dem Straßengüterverkehr ergeben. Die uneinheitliche EU-weite Harmonisierung auf betrieblicher, technischer und regulatorischer Ebene sowie die Externalisierung der Kosten des Straßengüterverkehrs machen den Schienengüterverkehr im Vergleich teurer. Ein ausgewogener Rahmen ist notwendig, um die Nachhaltigkeitsziele der EU zu erreichen. Im Straßengüterverkehr gibt es Initiativen zur Durchsetzung der Kabotageregeln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xml:space="preserve"> und klare Regelungen zu Entsendung und Ruhezeiten, die jedoch auf Durchsetzungsschwierigkeiten stoßen. Die Entsenderichtlinie </w:t>
      </w:r>
      <w:r w:rsidRPr="00233EE5">
        <w:rPr>
          <w:rFonts w:ascii="Aptos" w:eastAsia="Arial MT" w:hAnsi="Aptos" w:cs="Arial MT"/>
          <w:color w:val="0D0D0D"/>
          <w:sz w:val="22"/>
          <w:szCs w:val="22"/>
          <w:vertAlign w:val="subscript"/>
        </w:rPr>
        <w:t>(2)</w:t>
      </w:r>
      <w:r w:rsidRPr="00233EE5">
        <w:rPr>
          <w:rFonts w:ascii="Aptos" w:eastAsia="Arial MT" w:hAnsi="Aptos" w:cs="Arial MT"/>
          <w:color w:val="0D0D0D"/>
          <w:sz w:val="22"/>
          <w:szCs w:val="22"/>
        </w:rPr>
        <w:t xml:space="preserve">  soll die Arbeitsbedingungen für Fahrer im grenzüberschreitenden Güterverkehr verbessern, stößt aber wegen möglicher Kostensteigerungen und veränderter Wettbewerbsbedingungen auf Kritik. Im Schienenverkehr bestehen komplexe Herausforderungen durch unterschiedliche nationale Infrastrukturen und Vorschriften, die zu zeitaufwändigen Prozessen wie Lokwechsel führen. Im Vergleich zum Straßenverkehr, der durch einen EU-weiten Führerschein vereinfacht wird, ist der Schienenverkehr stark durch nationale Regelungen geprägt. Aus Perspektive der Daseinsvorsorge sind harmonisierten Regulierung im Verkehrssektor zu begrüßen, um faire Wettbewerbsbedingungen zu schaffen und Nachhaltigkeits- und Effizienzziele zu unterstützen.</w:t>
      </w:r>
    </w:p>
    <w:p w14:paraId="045BE392" w14:textId="77777777" w:rsidR="00623AF8" w:rsidRPr="00233EE5" w:rsidRDefault="00623AF8" w:rsidP="00623AF8">
      <w:pPr>
        <w:jc w:val="both"/>
        <w:rPr>
          <w:rFonts w:ascii="Aptos" w:eastAsia="Arial MT" w:hAnsi="Aptos" w:cs="Arial MT"/>
          <w:color w:val="0D0D0D"/>
          <w:sz w:val="22"/>
          <w:szCs w:val="22"/>
        </w:rPr>
      </w:pPr>
    </w:p>
    <w:p w14:paraId="543610E9" w14:textId="77777777" w:rsidR="00623AF8" w:rsidRPr="00233EE5" w:rsidRDefault="00623AF8" w:rsidP="00F63BE8">
      <w:pPr>
        <w:numPr>
          <w:ilvl w:val="0"/>
          <w:numId w:val="39"/>
        </w:numPr>
        <w:contextualSpacing/>
        <w:jc w:val="both"/>
        <w:rPr>
          <w:rFonts w:ascii="Aptos" w:hAnsi="Aptos"/>
          <w:sz w:val="18"/>
          <w:szCs w:val="18"/>
        </w:rPr>
      </w:pPr>
      <w:r w:rsidRPr="00233EE5">
        <w:rPr>
          <w:rFonts w:ascii="Aptos" w:hAnsi="Aptos"/>
          <w:sz w:val="18"/>
          <w:szCs w:val="18"/>
        </w:rPr>
        <w:t>European Commission 2022: Ab dem 21. Februar 2022 gelten Kabotagevorschriften</w:t>
      </w:r>
    </w:p>
    <w:p w14:paraId="39338F50" w14:textId="77777777" w:rsidR="00623AF8" w:rsidRPr="00233EE5" w:rsidRDefault="00AC460E" w:rsidP="00623AF8">
      <w:pPr>
        <w:ind w:left="360"/>
        <w:contextualSpacing/>
        <w:jc w:val="both"/>
        <w:rPr>
          <w:rFonts w:ascii="Aptos" w:hAnsi="Aptos"/>
          <w:sz w:val="18"/>
          <w:szCs w:val="18"/>
        </w:rPr>
      </w:pPr>
      <w:hyperlink r:id="rId53" w:history="1">
        <w:r w:rsidR="00623AF8" w:rsidRPr="00233EE5">
          <w:rPr>
            <w:rFonts w:ascii="Aptos" w:hAnsi="Aptos"/>
            <w:color w:val="0000FF"/>
            <w:sz w:val="18"/>
            <w:szCs w:val="18"/>
            <w:u w:val="single"/>
          </w:rPr>
          <w:t>https://transport.ec.europa.eu/transport-modes/road/mobility-package-i/market-rules/rules-cabotage-applicable-21-february-2022_de</w:t>
        </w:r>
      </w:hyperlink>
    </w:p>
    <w:p w14:paraId="0A0DD3A5" w14:textId="77777777" w:rsidR="00623AF8" w:rsidRPr="00233EE5" w:rsidRDefault="00623AF8" w:rsidP="00623AF8">
      <w:pPr>
        <w:ind w:left="360"/>
        <w:contextualSpacing/>
        <w:jc w:val="both"/>
        <w:rPr>
          <w:rFonts w:ascii="Aptos" w:hAnsi="Aptos"/>
          <w:sz w:val="18"/>
          <w:szCs w:val="18"/>
        </w:rPr>
      </w:pPr>
    </w:p>
    <w:p w14:paraId="4F7D23C7" w14:textId="77777777" w:rsidR="00623AF8" w:rsidRPr="00233EE5" w:rsidRDefault="00623AF8" w:rsidP="00F63BE8">
      <w:pPr>
        <w:numPr>
          <w:ilvl w:val="0"/>
          <w:numId w:val="39"/>
        </w:numPr>
        <w:contextualSpacing/>
        <w:jc w:val="both"/>
        <w:rPr>
          <w:rFonts w:ascii="Aptos" w:hAnsi="Aptos"/>
          <w:sz w:val="18"/>
          <w:szCs w:val="18"/>
        </w:rPr>
      </w:pPr>
      <w:r w:rsidRPr="00233EE5">
        <w:rPr>
          <w:rFonts w:ascii="Aptos" w:hAnsi="Aptos"/>
          <w:sz w:val="18"/>
          <w:szCs w:val="18"/>
        </w:rPr>
        <w:t>BMAS 2024: Entsenderichtlinie</w:t>
      </w:r>
    </w:p>
    <w:p w14:paraId="0ED26409" w14:textId="77777777" w:rsidR="00623AF8" w:rsidRPr="00233EE5" w:rsidRDefault="00AC460E" w:rsidP="00623AF8">
      <w:pPr>
        <w:ind w:left="360"/>
        <w:contextualSpacing/>
        <w:jc w:val="both"/>
        <w:rPr>
          <w:rFonts w:ascii="Aptos" w:hAnsi="Aptos"/>
          <w:sz w:val="18"/>
          <w:szCs w:val="18"/>
        </w:rPr>
      </w:pPr>
      <w:hyperlink r:id="rId54" w:history="1">
        <w:r w:rsidR="00623AF8" w:rsidRPr="00233EE5">
          <w:rPr>
            <w:rFonts w:ascii="Aptos" w:hAnsi="Aptos"/>
            <w:color w:val="0000FF"/>
            <w:sz w:val="18"/>
            <w:szCs w:val="18"/>
            <w:u w:val="single"/>
          </w:rPr>
          <w:t>https://www.bmas.de/DE/Arbeit/Arbeitsrecht/Entsendung-von-Arbeitnehmern/entsendung-von-arbeitnehmern.html</w:t>
        </w:r>
      </w:hyperlink>
    </w:p>
    <w:p w14:paraId="38545F79" w14:textId="77777777" w:rsidR="00623AF8" w:rsidRPr="00233EE5" w:rsidRDefault="00623AF8" w:rsidP="00623AF8">
      <w:pPr>
        <w:ind w:left="360"/>
        <w:contextualSpacing/>
        <w:jc w:val="both"/>
        <w:rPr>
          <w:rFonts w:ascii="Aptos" w:hAnsi="Aptos"/>
          <w:sz w:val="18"/>
          <w:szCs w:val="18"/>
        </w:rPr>
      </w:pPr>
    </w:p>
    <w:p w14:paraId="17DF7343" w14:textId="77777777" w:rsidR="00623AF8" w:rsidRPr="00233EE5" w:rsidRDefault="00623AF8" w:rsidP="00623AF8">
      <w:pPr>
        <w:ind w:left="360"/>
        <w:contextualSpacing/>
        <w:jc w:val="both"/>
        <w:rPr>
          <w:rFonts w:ascii="Aptos" w:hAnsi="Aptos"/>
          <w:sz w:val="18"/>
          <w:szCs w:val="18"/>
        </w:rPr>
      </w:pPr>
    </w:p>
    <w:p w14:paraId="72557DB2" w14:textId="77777777" w:rsidR="00623AF8" w:rsidRPr="00233EE5" w:rsidRDefault="00623AF8" w:rsidP="00623AF8">
      <w:pPr>
        <w:jc w:val="both"/>
      </w:pPr>
    </w:p>
    <w:p w14:paraId="54C403E2" w14:textId="77777777" w:rsidR="00623AF8" w:rsidRDefault="00623AF8" w:rsidP="00623AF8">
      <w:pPr>
        <w:jc w:val="both"/>
      </w:pPr>
    </w:p>
    <w:p w14:paraId="3315D567" w14:textId="77777777" w:rsidR="00BA190B" w:rsidRPr="00233EE5" w:rsidRDefault="00BA190B" w:rsidP="00623AF8">
      <w:pPr>
        <w:jc w:val="both"/>
      </w:pPr>
    </w:p>
    <w:p w14:paraId="7ED5D66E"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298" w:name="_Toc170378212"/>
      <w:bookmarkStart w:id="299" w:name="_Toc170983745"/>
      <w:r w:rsidRPr="00233EE5">
        <w:rPr>
          <w:rFonts w:ascii="Aptos" w:eastAsiaTheme="majorEastAsia" w:hAnsi="Aptos" w:cstheme="majorBidi"/>
          <w:b/>
          <w:color w:val="E4342D"/>
          <w:szCs w:val="32"/>
        </w:rPr>
        <w:t>Flexible und rechtssichere Förderungen im Verkehrssystems</w:t>
      </w:r>
      <w:bookmarkEnd w:id="298"/>
      <w:bookmarkEnd w:id="299"/>
    </w:p>
    <w:p w14:paraId="6C90384A"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007EA268" w14:textId="77777777" w:rsidTr="00875DD0">
        <w:tc>
          <w:tcPr>
            <w:tcW w:w="9060" w:type="dxa"/>
            <w:shd w:val="clear" w:color="auto" w:fill="D9D9D9" w:themeFill="background1" w:themeFillShade="D9"/>
          </w:tcPr>
          <w:p w14:paraId="73CC524F" w14:textId="77777777" w:rsidR="00623AF8" w:rsidRPr="00233EE5" w:rsidRDefault="00623AF8" w:rsidP="00875DD0">
            <w:pPr>
              <w:spacing w:before="120" w:after="120"/>
              <w:jc w:val="both"/>
              <w:rPr>
                <w:rFonts w:ascii="Aptos" w:hAnsi="Aptos"/>
                <w:b/>
                <w:iCs/>
                <w:sz w:val="22"/>
                <w:szCs w:val="22"/>
              </w:rPr>
            </w:pPr>
            <w:r w:rsidRPr="00233EE5">
              <w:rPr>
                <w:rFonts w:ascii="Aptos" w:eastAsia="Arial MT" w:hAnsi="Aptos" w:cs="Arial MT"/>
                <w:color w:val="0D0D0D"/>
                <w:sz w:val="22"/>
                <w:szCs w:val="22"/>
              </w:rPr>
              <w:br w:type="page"/>
            </w:r>
            <w:r w:rsidRPr="00233EE5">
              <w:rPr>
                <w:rFonts w:ascii="Aptos" w:hAnsi="Aptos"/>
                <w:b/>
                <w:iCs/>
                <w:sz w:val="22"/>
                <w:szCs w:val="22"/>
              </w:rPr>
              <w:t>Frage</w:t>
            </w:r>
          </w:p>
        </w:tc>
      </w:tr>
      <w:tr w:rsidR="00623AF8" w:rsidRPr="00233EE5" w14:paraId="62E792EE" w14:textId="77777777" w:rsidTr="00875DD0">
        <w:tc>
          <w:tcPr>
            <w:tcW w:w="9060" w:type="dxa"/>
          </w:tcPr>
          <w:p w14:paraId="15290D15" w14:textId="77777777" w:rsidR="00623AF8" w:rsidRPr="00233EE5" w:rsidRDefault="00623AF8" w:rsidP="00875DD0">
            <w:pPr>
              <w:spacing w:before="120" w:after="120"/>
              <w:jc w:val="both"/>
              <w:rPr>
                <w:rFonts w:ascii="Aptos" w:hAnsi="Aptos"/>
                <w:b/>
                <w:bCs/>
                <w:sz w:val="22"/>
                <w:szCs w:val="22"/>
              </w:rPr>
            </w:pPr>
            <w:r w:rsidRPr="00233EE5">
              <w:rPr>
                <w:rFonts w:ascii="Aptos" w:hAnsi="Aptos"/>
                <w:sz w:val="22"/>
                <w:szCs w:val="22"/>
              </w:rPr>
              <w:t xml:space="preserve">Die Flexibilität bei der Verwendung von Fördermitteln für geförderte Verkehrsprojekte ist für die Anpassungsfähigkeit und Effizienz des europäischen Verkehrssystems von entscheidender Bedeutung. Angesichts sich ändernder Bedürfnisse und Prioritäten ist es wichtig, Mechanismen zu schaffen, die einen flexiblen Einsatz von Fördermitteln ermöglichen. Es ist von grundlegender Relevanz, dass Fördermittel effektiv und zielgerichtet eingesetzt werden, um die Ziele des EU-weiten Verkehrssystems zu erreichen. </w:t>
            </w:r>
            <w:r w:rsidRPr="00233EE5">
              <w:rPr>
                <w:rFonts w:ascii="Aptos" w:hAnsi="Aptos"/>
                <w:b/>
                <w:bCs/>
                <w:sz w:val="22"/>
                <w:szCs w:val="22"/>
              </w:rPr>
              <w:t>Wie wollen Sie sicherstellen, dass Fördermittel in geförderten Projekten flexibler eingesetzt werden können?</w:t>
            </w:r>
          </w:p>
        </w:tc>
      </w:tr>
      <w:tr w:rsidR="00623AF8" w:rsidRPr="00233EE5" w14:paraId="3C68FC0F" w14:textId="77777777" w:rsidTr="00875DD0">
        <w:tc>
          <w:tcPr>
            <w:tcW w:w="9060" w:type="dxa"/>
            <w:shd w:val="clear" w:color="auto" w:fill="D9D9D9" w:themeFill="background1" w:themeFillShade="D9"/>
          </w:tcPr>
          <w:p w14:paraId="68FC918F"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1E5A00DF" w14:textId="77777777" w:rsidTr="00875DD0">
        <w:tc>
          <w:tcPr>
            <w:tcW w:w="9060" w:type="dxa"/>
          </w:tcPr>
          <w:p w14:paraId="229A8E83" w14:textId="77777777" w:rsidR="00623AF8" w:rsidRPr="00233EE5" w:rsidRDefault="00623AF8" w:rsidP="00F63BE8">
            <w:pPr>
              <w:numPr>
                <w:ilvl w:val="0"/>
                <w:numId w:val="11"/>
              </w:numPr>
              <w:contextualSpacing/>
              <w:rPr>
                <w:rFonts w:ascii="Aptos" w:hAnsi="Aptos"/>
                <w:sz w:val="22"/>
                <w:szCs w:val="22"/>
                <w:lang w:val="de-DE"/>
              </w:rPr>
            </w:pPr>
            <w:r w:rsidRPr="00233EE5">
              <w:rPr>
                <w:rFonts w:ascii="Aptos" w:hAnsi="Aptos"/>
                <w:sz w:val="22"/>
                <w:szCs w:val="22"/>
              </w:rPr>
              <w:t>Wie wollen Sie die Rechtssicherheit bei der flexiblen Anwendung von Fördermitteln gewährleisten?</w:t>
            </w:r>
          </w:p>
        </w:tc>
      </w:tr>
    </w:tbl>
    <w:p w14:paraId="7DE03736"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785645EF" w14:textId="77777777" w:rsidTr="00875DD0">
        <w:trPr>
          <w:trHeight w:val="277"/>
        </w:trPr>
        <w:tc>
          <w:tcPr>
            <w:tcW w:w="9066" w:type="dxa"/>
            <w:shd w:val="clear" w:color="auto" w:fill="D9D9D9"/>
          </w:tcPr>
          <w:p w14:paraId="1DB30868"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20C5DEF5" w14:textId="77777777" w:rsidR="00623AF8" w:rsidRPr="00233EE5" w:rsidRDefault="00623AF8" w:rsidP="00623AF8">
      <w:pPr>
        <w:jc w:val="both"/>
        <w:rPr>
          <w:rFonts w:ascii="Aptos" w:hAnsi="Aptos"/>
          <w:bCs/>
          <w:sz w:val="22"/>
          <w:szCs w:val="22"/>
        </w:rPr>
      </w:pPr>
      <w:r w:rsidRPr="00233EE5">
        <w:rPr>
          <w:rFonts w:ascii="Aptos" w:eastAsia="Arial MT" w:hAnsi="Aptos" w:cs="Arial MT"/>
          <w:color w:val="0D0D0D"/>
          <w:sz w:val="22"/>
          <w:szCs w:val="22"/>
        </w:rPr>
        <w:t xml:space="preserve">Die Flexibilität bei der Verwendung von Finanzmitteln für geförderte Verkehrsprojekte ist von entscheidender Bedeutung für die Anpassungsfähigkeit und Effizienz des europäischen Verkehrssystems. Vor dem Hintergrund sich ändernder Bedürfnisse und Prioritäten sind Mechanismen, die einen flexiblen Einsatz von Fördermitteln ermöglichen, unerlässlich. Ebenso ist es von grundlegender Bedeutung, dass Fördermittel effektiv und zielgerichtet eingesetzt werden, um die Ziele des EU-weiten Verkehrssystems zu erreichen. Für ausschreibende Stellen (insbesondere bei Ausschreibungen im Auftrag Dritter) stellt sich zudem das Problem, dass nur der letztendliche wirtschaftliche Eigentümer von Fahrzeugen oder Infrastruktur die Förderung erhalten kann. Dies liegt daran, dass in diesen Fällen die Leistungsvorgabe sowie die Finanzierung zu 100 % von einer anderen Stelle/Organisation als dem Zuwendungsempfänger erfolgt. Dies ist insbesondere bei wettbewerblichen Förderungen problematisch, da hier die jeweiligen Bieter die zu erwartende Förderung nicht einmal als „Rabatt“ in ihren Angeboten berücksichtigen können, da die Förderung zum Zeitpunkt der Angebotsabgabe nicht feststeht. Dies führt zu komplexen und rechtlich fragwürdigen Zahlungsstromkonstruktionen. Die Förderung wird entweder verschenkt oder von privaten Betreibern als Gewinn eingestrichen. Aus der Perspektive der Daseinsvorsorge sind sowohl Rechtssicherheit als auch Flexibilität wesentliche Elemente für den Ausbau der notwendigen Verkehrsinfrastruktur in Europa. </w:t>
      </w:r>
      <w:r w:rsidRPr="00233EE5">
        <w:rPr>
          <w:rFonts w:ascii="Aptos" w:hAnsi="Aptos"/>
          <w:bCs/>
          <w:sz w:val="22"/>
          <w:szCs w:val="22"/>
        </w:rPr>
        <w:br w:type="page"/>
      </w:r>
    </w:p>
    <w:p w14:paraId="62071DAA" w14:textId="77777777" w:rsidR="00623AF8" w:rsidRPr="00233EE5" w:rsidRDefault="00623AF8" w:rsidP="00623AF8">
      <w:pPr>
        <w:spacing w:after="120"/>
        <w:jc w:val="both"/>
        <w:rPr>
          <w:rFonts w:ascii="Aptos" w:hAnsi="Aptos"/>
          <w:bCs/>
          <w:sz w:val="22"/>
          <w:szCs w:val="22"/>
        </w:rPr>
      </w:pPr>
    </w:p>
    <w:p w14:paraId="4609F998" w14:textId="77777777" w:rsidR="00623AF8" w:rsidRPr="00233EE5" w:rsidRDefault="00623AF8" w:rsidP="00623AF8"/>
    <w:p w14:paraId="07B91935" w14:textId="77777777" w:rsidR="00623AF8" w:rsidRPr="00233EE5" w:rsidRDefault="00623AF8" w:rsidP="00623AF8"/>
    <w:p w14:paraId="6308C9B0"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300" w:name="_Toc170378213"/>
      <w:bookmarkStart w:id="301" w:name="_Toc170983746"/>
      <w:r w:rsidRPr="00233EE5">
        <w:rPr>
          <w:rFonts w:ascii="Aptos" w:eastAsiaTheme="majorEastAsia" w:hAnsi="Aptos" w:cstheme="majorBidi"/>
          <w:b/>
          <w:color w:val="E4342D"/>
          <w:szCs w:val="32"/>
        </w:rPr>
        <w:t>Öffentliche Finanzierung und Förderung im Verkehrssystem</w:t>
      </w:r>
      <w:bookmarkEnd w:id="300"/>
      <w:bookmarkEnd w:id="301"/>
    </w:p>
    <w:p w14:paraId="632E510F"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2E12AF71" w14:textId="77777777" w:rsidTr="00875DD0">
        <w:tc>
          <w:tcPr>
            <w:tcW w:w="9060" w:type="dxa"/>
            <w:shd w:val="clear" w:color="auto" w:fill="D9D9D9" w:themeFill="background1" w:themeFillShade="D9"/>
          </w:tcPr>
          <w:p w14:paraId="02E88A6A"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6A04FD33" w14:textId="77777777" w:rsidTr="00875DD0">
        <w:tc>
          <w:tcPr>
            <w:tcW w:w="9060" w:type="dxa"/>
          </w:tcPr>
          <w:p w14:paraId="1DE15EF7" w14:textId="77777777" w:rsidR="00623AF8" w:rsidRPr="00233EE5" w:rsidRDefault="00623AF8" w:rsidP="00875DD0">
            <w:pPr>
              <w:spacing w:before="120" w:after="120"/>
              <w:jc w:val="both"/>
              <w:rPr>
                <w:rFonts w:ascii="Aptos" w:hAnsi="Aptos"/>
                <w:b/>
                <w:bCs/>
                <w:sz w:val="22"/>
                <w:szCs w:val="22"/>
              </w:rPr>
            </w:pPr>
            <w:r w:rsidRPr="00233EE5">
              <w:rPr>
                <w:rFonts w:ascii="Aptos" w:hAnsi="Aptos"/>
                <w:sz w:val="22"/>
                <w:szCs w:val="22"/>
              </w:rPr>
              <w:t xml:space="preserve">Die Sicherstellung der öffentlichen Finanzierung des Ausbaus und der Instandhaltung der Verkehrsinfrastruktur ist von grundlegender Bedeutung für die langfristige Nachhaltigkeit und Erreichbarkeit des Verkehrssystems. Angesichts der enormen Investitionen, die für die Modernisierung und den Erhalt der Infrastruktur erforderlich sind, ist es unerlässlich, dass diese Aufgabe in öffentlicher Hand bleibt. Nur durch klare politische Strategien und Finanzierungsinstrumente kann sichergestellt werden, dass die Verkehrsinfrastruktur im öffentlichen Interesse entwickelt und erhalten bleibt, um den Bedürfnissen der Gesellschaft und damit der Versorgungssicherheit und Daseinsvorsorge gerecht zu werden. </w:t>
            </w:r>
            <w:r w:rsidRPr="00233EE5">
              <w:rPr>
                <w:rFonts w:ascii="Aptos" w:hAnsi="Aptos"/>
                <w:b/>
                <w:bCs/>
                <w:sz w:val="22"/>
                <w:szCs w:val="22"/>
              </w:rPr>
              <w:t>Wie wollen Sie sicherstellen, dass der Ausbau und die Erhaltung der Verkehrsinfrastruktur eine öffentliche Finanzierungsaufgabe bleibt?</w:t>
            </w:r>
          </w:p>
        </w:tc>
      </w:tr>
      <w:tr w:rsidR="00623AF8" w:rsidRPr="00233EE5" w14:paraId="2DF3FBCD" w14:textId="77777777" w:rsidTr="00875DD0">
        <w:tc>
          <w:tcPr>
            <w:tcW w:w="9060" w:type="dxa"/>
            <w:shd w:val="clear" w:color="auto" w:fill="D9D9D9" w:themeFill="background1" w:themeFillShade="D9"/>
          </w:tcPr>
          <w:p w14:paraId="5C7274B4"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6E2D345F" w14:textId="77777777" w:rsidTr="00875DD0">
        <w:tc>
          <w:tcPr>
            <w:tcW w:w="9060" w:type="dxa"/>
          </w:tcPr>
          <w:p w14:paraId="040FBC38"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bei langfristigen Ausschreibungen die Qualität der Verkehrsinfrastruktur erhalten bleibt?</w:t>
            </w:r>
          </w:p>
          <w:p w14:paraId="6AB47487"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soll vermieden werden, dass Scheinfirmen die Ausschreibungspraxis ausnutzen?</w:t>
            </w:r>
          </w:p>
          <w:p w14:paraId="27E7441F"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 xml:space="preserve">Welche Anreize möchten Sie setzen, dass ein Teil des öffentlichen Finanzierungssystems an Infrastrukturinvestitionen gekoppelt ist? </w:t>
            </w:r>
          </w:p>
        </w:tc>
      </w:tr>
    </w:tbl>
    <w:p w14:paraId="573F1BEB"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5B7DBE6D" w14:textId="77777777" w:rsidTr="00875DD0">
        <w:trPr>
          <w:trHeight w:val="277"/>
        </w:trPr>
        <w:tc>
          <w:tcPr>
            <w:tcW w:w="9066" w:type="dxa"/>
            <w:shd w:val="clear" w:color="auto" w:fill="D9D9D9"/>
          </w:tcPr>
          <w:p w14:paraId="2B1EE681"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01FF3418" w14:textId="77777777" w:rsidR="00623AF8" w:rsidRPr="00233EE5" w:rsidRDefault="00623AF8" w:rsidP="00623AF8">
      <w:pPr>
        <w:spacing w:after="120"/>
        <w:jc w:val="both"/>
        <w:rPr>
          <w:rFonts w:ascii="Aptos" w:hAnsi="Aptos"/>
          <w:sz w:val="22"/>
          <w:szCs w:val="22"/>
        </w:rPr>
      </w:pPr>
      <w:bookmarkStart w:id="302" w:name="_Hlk165886525"/>
      <w:r w:rsidRPr="00233EE5">
        <w:rPr>
          <w:rFonts w:ascii="Aptos" w:hAnsi="Aptos"/>
          <w:sz w:val="22"/>
          <w:szCs w:val="22"/>
        </w:rPr>
        <w:t xml:space="preserve">Die Förderung des transeuropäischen Schienengüterverkehrs hängt in hohem Maße von der finanziellen Unterstützung durch Investitions- und Betriebsbeihilfen ab. Diese Mittel stellen sicher, dass ein „Level-Playing-Field“ zwischen Straßen- und Schienengüterverkehr geschaffen und die Belastbarkeit des Schienengüterverkehrsnetzes gewährleistet wird. Ein erheblicher Teil dieser Mittel sollte für die Modernisierung der europäischen Eisenbahnflotte sowie für die Anschaffung und Umrüstung von rollendem Material aufgewendet werden. Der Eisenbahnsektor steht aufgrund jahrzehntelanger Vernachlässigung der Infrastruktur und des rollenden Materials vor großen Herausforderungen. Dazu zählen der Rückbau von Gleisanlagen, begrenzte Netzkapazitäten, veraltete Fahrzeugflotten und hohe Kosten für die Anpassung an neue Sicherheitsstandards wie ETCS BL 3, die erhebliche Investitionen erfordern. Vor dem Hintergrund des genannten Investitions- und Modernisierungsbedarfs ist eine Aufstockung der Connecting Europe Facility (CEF) erforderlich, um das TEN-V-Netz zu vervollständigen und das europäische Schienennetz auf den neuesten technischen Stand zu bringen </w:t>
      </w:r>
      <w:r w:rsidRPr="00233EE5">
        <w:rPr>
          <w:rFonts w:ascii="Aptos" w:hAnsi="Aptos"/>
          <w:sz w:val="22"/>
          <w:szCs w:val="22"/>
          <w:vertAlign w:val="subscript"/>
        </w:rPr>
        <w:t>(1)</w:t>
      </w:r>
      <w:r w:rsidRPr="00233EE5">
        <w:rPr>
          <w:rFonts w:ascii="Aptos" w:hAnsi="Aptos"/>
          <w:sz w:val="22"/>
          <w:szCs w:val="22"/>
        </w:rPr>
        <w:t xml:space="preserve"> . Darüber hinaus sind weitere Betriebsbeihilfen erforderlich, um die laufenden Kosten des Schienengüterverkehrs zu decken. Die angespannte wirtschaftliche Situation des Schienengüterverkehrs macht deutlich, dass der Sektor die notwendigen Investitionen zur Umsetzung der Verkehrsverlagerung nicht allein bewältigen kann. Unter dem Gesichtspunkt der Daseinsvorsorge ist es von entscheidender Bedeutung, dass die Verkehrsinfrastruktur eine echte öffentliche Finanzierungsaufgabe bleibt. In diesem Zusammenhang sind erleichterte Spielregeln für Infrastrukturinvestitionen (Stichwort: Wachstums- und Stabilitätspakt) sowie verbesserte beihilferechtliche Regelungen erforderlich.</w:t>
      </w:r>
    </w:p>
    <w:p w14:paraId="367E1DB0" w14:textId="77777777" w:rsidR="00623AF8" w:rsidRPr="00233EE5" w:rsidRDefault="00623AF8" w:rsidP="00F63BE8">
      <w:pPr>
        <w:numPr>
          <w:ilvl w:val="0"/>
          <w:numId w:val="35"/>
        </w:numPr>
        <w:contextualSpacing/>
        <w:jc w:val="both"/>
        <w:rPr>
          <w:rFonts w:ascii="Aptos" w:hAnsi="Aptos"/>
          <w:sz w:val="18"/>
          <w:szCs w:val="18"/>
        </w:rPr>
      </w:pPr>
      <w:r w:rsidRPr="00233EE5">
        <w:rPr>
          <w:rFonts w:ascii="Aptos" w:hAnsi="Aptos"/>
          <w:sz w:val="18"/>
          <w:szCs w:val="18"/>
        </w:rPr>
        <w:t xml:space="preserve">EU Commission 2024 – Connecting Europe Facility </w:t>
      </w:r>
    </w:p>
    <w:p w14:paraId="1F45BFC9" w14:textId="77777777" w:rsidR="00623AF8" w:rsidRPr="00233EE5" w:rsidRDefault="00AC460E" w:rsidP="00623AF8">
      <w:pPr>
        <w:ind w:left="360"/>
        <w:contextualSpacing/>
        <w:jc w:val="both"/>
        <w:rPr>
          <w:rFonts w:ascii="Aptos" w:hAnsi="Aptos"/>
          <w:sz w:val="18"/>
          <w:szCs w:val="18"/>
        </w:rPr>
      </w:pPr>
      <w:hyperlink r:id="rId55" w:history="1">
        <w:r w:rsidR="00623AF8" w:rsidRPr="00233EE5">
          <w:rPr>
            <w:rFonts w:ascii="Aptos" w:hAnsi="Aptos"/>
            <w:color w:val="0000FF"/>
            <w:sz w:val="18"/>
            <w:szCs w:val="18"/>
            <w:u w:val="single"/>
          </w:rPr>
          <w:t>https://transport.ec.europa.eu/transport-themes/infrastructure-and-investment/connecting-europe-facility_en</w:t>
        </w:r>
      </w:hyperlink>
    </w:p>
    <w:p w14:paraId="51DB3A24" w14:textId="77777777" w:rsidR="00623AF8" w:rsidRPr="00233EE5" w:rsidRDefault="00623AF8" w:rsidP="00623AF8">
      <w:pPr>
        <w:spacing w:after="120"/>
        <w:jc w:val="both"/>
        <w:rPr>
          <w:rFonts w:ascii="Aptos" w:hAnsi="Aptos"/>
          <w:sz w:val="22"/>
          <w:szCs w:val="22"/>
        </w:rPr>
      </w:pPr>
    </w:p>
    <w:bookmarkEnd w:id="302"/>
    <w:p w14:paraId="625252CA" w14:textId="77777777" w:rsidR="00623AF8" w:rsidRPr="00233EE5" w:rsidRDefault="00623AF8" w:rsidP="00623AF8"/>
    <w:p w14:paraId="0B3EF5D0" w14:textId="77777777" w:rsidR="00623AF8" w:rsidRPr="00233EE5" w:rsidRDefault="00623AF8" w:rsidP="00623AF8"/>
    <w:p w14:paraId="0968EBA8" w14:textId="77777777" w:rsidR="00623AF8" w:rsidRPr="00233EE5" w:rsidRDefault="00623AF8" w:rsidP="00623AF8"/>
    <w:p w14:paraId="19253D43" w14:textId="77777777" w:rsidR="00623AF8" w:rsidRPr="00233EE5" w:rsidRDefault="00623AF8" w:rsidP="00623AF8"/>
    <w:p w14:paraId="44ABF3C7"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303" w:name="_Toc170378214"/>
      <w:bookmarkStart w:id="304" w:name="_Toc170983747"/>
      <w:r w:rsidRPr="00233EE5">
        <w:rPr>
          <w:rFonts w:ascii="Aptos" w:eastAsiaTheme="majorEastAsia" w:hAnsi="Aptos" w:cstheme="majorBidi"/>
          <w:b/>
          <w:color w:val="E4342D"/>
          <w:szCs w:val="32"/>
        </w:rPr>
        <w:t>Planbarkeit von Finanzierung und Förderung im Verkehrssystem</w:t>
      </w:r>
      <w:bookmarkEnd w:id="303"/>
      <w:bookmarkEnd w:id="304"/>
    </w:p>
    <w:p w14:paraId="13B3FB3A"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3EB138C3" w14:textId="77777777" w:rsidTr="00875DD0">
        <w:tc>
          <w:tcPr>
            <w:tcW w:w="9060" w:type="dxa"/>
            <w:shd w:val="clear" w:color="auto" w:fill="D9D9D9" w:themeFill="background1" w:themeFillShade="D9"/>
          </w:tcPr>
          <w:p w14:paraId="7AB9A30E"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0E2E372E" w14:textId="77777777" w:rsidTr="00875DD0">
        <w:tc>
          <w:tcPr>
            <w:tcW w:w="9060" w:type="dxa"/>
          </w:tcPr>
          <w:p w14:paraId="2FDB613D" w14:textId="77777777" w:rsidR="00623AF8" w:rsidRPr="00233EE5" w:rsidRDefault="00623AF8" w:rsidP="00875DD0">
            <w:pPr>
              <w:spacing w:before="120" w:after="120"/>
              <w:jc w:val="both"/>
              <w:rPr>
                <w:rFonts w:ascii="Aptos" w:hAnsi="Aptos"/>
                <w:b/>
                <w:bCs/>
                <w:sz w:val="22"/>
                <w:szCs w:val="22"/>
              </w:rPr>
            </w:pPr>
            <w:r w:rsidRPr="00233EE5">
              <w:rPr>
                <w:rFonts w:ascii="Aptos" w:hAnsi="Aptos"/>
                <w:sz w:val="22"/>
                <w:szCs w:val="22"/>
              </w:rPr>
              <w:t>Die Gewährleistung mehrjähriger Finanzierungspläne ist für die langfristige Planung und den effizienten Einsatz von Finanzmitteln im Verkehrssektor von entscheidender Bedeutung. Angesichts der Komplexität und Langfristigkeit von Verkehrsinfrastrukturprojekten ist die Kontinuität der Finanzierung von entscheidender Bedeutung für deren erfolgreiche Umsetzung. Dies erfordert Mechanismen, die einen zielgerichteten und effizienten Einsatz der Mittel ermöglichen, um die Verkehrsinfrastruktur der EU zu stärken und zu modernisieren.</w:t>
            </w:r>
            <w:r w:rsidRPr="00233EE5">
              <w:rPr>
                <w:rFonts w:ascii="Aptos" w:hAnsi="Aptos"/>
                <w:b/>
                <w:bCs/>
                <w:sz w:val="22"/>
                <w:szCs w:val="22"/>
              </w:rPr>
              <w:t xml:space="preserve"> Wie wollen Sie sicherstellen, dass es mehrjährige Finanzierungspläne gibt, damit die Mittel planbar und zielgerichtet ausgegeben werden können?</w:t>
            </w:r>
          </w:p>
        </w:tc>
      </w:tr>
      <w:tr w:rsidR="00623AF8" w:rsidRPr="00233EE5" w14:paraId="26A8C774" w14:textId="77777777" w:rsidTr="00875DD0">
        <w:tc>
          <w:tcPr>
            <w:tcW w:w="9060" w:type="dxa"/>
            <w:shd w:val="clear" w:color="auto" w:fill="D9D9D9" w:themeFill="background1" w:themeFillShade="D9"/>
          </w:tcPr>
          <w:p w14:paraId="1E07A745"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5BC491E1" w14:textId="77777777" w:rsidTr="00875DD0">
        <w:tc>
          <w:tcPr>
            <w:tcW w:w="9060" w:type="dxa"/>
          </w:tcPr>
          <w:p w14:paraId="33F86843"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Welche Initiativen planen Sie, um mehrjährige Finanzierungspläne zu unterstützen?</w:t>
            </w:r>
          </w:p>
        </w:tc>
      </w:tr>
    </w:tbl>
    <w:p w14:paraId="1F1D3FC7"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53D09154" w14:textId="77777777" w:rsidTr="00875DD0">
        <w:trPr>
          <w:trHeight w:val="277"/>
        </w:trPr>
        <w:tc>
          <w:tcPr>
            <w:tcW w:w="9066" w:type="dxa"/>
            <w:shd w:val="clear" w:color="auto" w:fill="D9D9D9"/>
          </w:tcPr>
          <w:p w14:paraId="4024835E"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036417BD" w14:textId="77777777" w:rsidR="00623AF8" w:rsidRPr="00233EE5" w:rsidRDefault="00623AF8" w:rsidP="00623AF8">
      <w:pPr>
        <w:jc w:val="both"/>
        <w:rPr>
          <w:rFonts w:ascii="Aptos" w:hAnsi="Aptos"/>
          <w:sz w:val="22"/>
          <w:szCs w:val="22"/>
        </w:rPr>
      </w:pPr>
      <w:r w:rsidRPr="00233EE5">
        <w:rPr>
          <w:rFonts w:ascii="Aptos" w:hAnsi="Aptos"/>
          <w:sz w:val="22"/>
          <w:szCs w:val="22"/>
        </w:rPr>
        <w:t>Die Planbarkeit der Finanzierung und Förderung im Verkehrssystem ist für die Schaffung einer stabilen, effizienten und nachhaltigen Verkehrsinfrastruktur mit wirtschaftlichem, sozialem und ökologischem Nutzen von entscheidender Bedeutung. Eine mehrjährige Finanzierung, wie sie in Österreich durch den sechsjährigen Rahmenplan gewährleistet ist, ermöglicht dem Infrastrukturbetreiber eine bessere Planung und Kommunikation der Instandhaltung sowie des Neu- und Ausbaus der Schieneninfrastruktur. Dies führt zu einer besseren Planbarkeit von Baustellen, reduziert deren negative Auswirkungen auf die verfügbare Bahnkapazität und fördert eine kontinuierliche Verbesserung des Verkehrssystems. Eine verlässliche Finanzplanung ist die Grundlage für die effiziente Umsetzung von Projekten zur Förderung einer nachhaltigen Mobilität, wie dem Ausbau des öffentlichen Verkehrs und der Schieneninfrastruktur. Eine planbare Finanzierung ermöglicht eine effiziente Ressourcenallokation, reduziert Kosten und stellt sicher, dass Projekte termingerecht fertiggestellt werden können. Klare Finanzierungspläne helfen zudem, unerwartete Kostenüberschreitungen und Verzögerungen zu vermeiden, was die Effizienz und Zuverlässigkeit der Verkehrsinfrastruktur erhöht. Langfristige Infrastrukturprojekte, die durch eine planbare Finanzierung ermöglicht werden, schaffen und sichern Arbeitsplätze in der Bau- und Verkehrswirtschaft. Verkehrssysteme können zudem besser auf Krisen reagieren und notwendige Anpassungen vornehmen, um den Betrieb aufrechtzuerhalten. Ein gutes Beispiel dafür ist Österreich, das mit seinem Rahmenplan und der Finanzierung der Schieneninfrastruktur als Best-Practice-Beispiel in der Europäischen Union gilt. Leider verfügen die Bahnen in anderen EU-Mitgliedsstaaten oft nicht über die gleiche Form der Infrastrukturfinanzierung, was die Schaffung eines nahtlosen grenzüberschreitenden Bahnverkehrs erschwert. Für einen effizienten und integrierten europäischen Schienenverkehr sind ähnliche Finanzierungsmodelle in anderen EU-Mitgliedsstaaten erforderlich. Aus Perspektive der Daseinsvorsorge gilt es planbare Finanzierungsmodelle auszuweiten, damit eine nachhaltige und effiziente Verkehrsinfrastruktur aufgebaut werden kann, die den Bedürfnissen der Bevölkerung gerecht wird und gleichzeitig umweltfreundlich und zukunftsfähig ist.</w:t>
      </w:r>
    </w:p>
    <w:p w14:paraId="31EF676E" w14:textId="77777777" w:rsidR="00623AF8" w:rsidRPr="00233EE5" w:rsidRDefault="00623AF8" w:rsidP="00623AF8">
      <w:pPr>
        <w:jc w:val="both"/>
        <w:rPr>
          <w:rFonts w:ascii="Aptos" w:hAnsi="Aptos"/>
          <w:sz w:val="22"/>
          <w:szCs w:val="22"/>
        </w:rPr>
      </w:pPr>
    </w:p>
    <w:p w14:paraId="485FC286" w14:textId="77777777" w:rsidR="00623AF8" w:rsidRPr="00233EE5" w:rsidRDefault="00623AF8" w:rsidP="00623AF8">
      <w:pPr>
        <w:jc w:val="both"/>
        <w:rPr>
          <w:rFonts w:ascii="Aptos" w:hAnsi="Aptos"/>
          <w:sz w:val="22"/>
          <w:szCs w:val="22"/>
        </w:rPr>
      </w:pPr>
    </w:p>
    <w:p w14:paraId="1CB6672C" w14:textId="77777777" w:rsidR="00623AF8" w:rsidRPr="00233EE5" w:rsidRDefault="00623AF8" w:rsidP="00623AF8">
      <w:pPr>
        <w:jc w:val="both"/>
        <w:rPr>
          <w:rFonts w:ascii="Aptos" w:hAnsi="Aptos"/>
          <w:sz w:val="22"/>
          <w:szCs w:val="22"/>
        </w:rPr>
      </w:pPr>
    </w:p>
    <w:p w14:paraId="1CA0CA52" w14:textId="77777777" w:rsidR="00623AF8" w:rsidRPr="00233EE5" w:rsidRDefault="00623AF8" w:rsidP="00623AF8"/>
    <w:p w14:paraId="5F7E5C44" w14:textId="77777777" w:rsidR="00623AF8" w:rsidRPr="00233EE5" w:rsidRDefault="00623AF8" w:rsidP="00623AF8"/>
    <w:p w14:paraId="0DA68A8D" w14:textId="77777777" w:rsidR="00623AF8" w:rsidRPr="00233EE5" w:rsidRDefault="00623AF8" w:rsidP="00623AF8"/>
    <w:p w14:paraId="491E01A3"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305" w:name="_Toc170378215"/>
      <w:bookmarkStart w:id="306" w:name="_Toc170983748"/>
      <w:r w:rsidRPr="00233EE5">
        <w:rPr>
          <w:rFonts w:ascii="Aptos" w:eastAsiaTheme="majorEastAsia" w:hAnsi="Aptos" w:cstheme="majorBidi"/>
          <w:b/>
          <w:color w:val="E4342D"/>
          <w:szCs w:val="32"/>
        </w:rPr>
        <w:t>Ausbau des TEN-T Netz in Richtung Osteuropa</w:t>
      </w:r>
      <w:bookmarkEnd w:id="305"/>
      <w:bookmarkEnd w:id="306"/>
    </w:p>
    <w:p w14:paraId="1F31AFD2"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478DA2B3" w14:textId="77777777" w:rsidTr="00875DD0">
        <w:tc>
          <w:tcPr>
            <w:tcW w:w="9060" w:type="dxa"/>
            <w:shd w:val="clear" w:color="auto" w:fill="D9D9D9" w:themeFill="background1" w:themeFillShade="D9"/>
          </w:tcPr>
          <w:p w14:paraId="5032CA74"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7A40F50E" w14:textId="77777777" w:rsidTr="00875DD0">
        <w:tc>
          <w:tcPr>
            <w:tcW w:w="9060" w:type="dxa"/>
          </w:tcPr>
          <w:p w14:paraId="1FA78FB6" w14:textId="77777777" w:rsidR="00623AF8" w:rsidRPr="00233EE5" w:rsidRDefault="00623AF8" w:rsidP="00875DD0">
            <w:pPr>
              <w:spacing w:before="120" w:after="120"/>
              <w:jc w:val="both"/>
              <w:rPr>
                <w:rFonts w:ascii="Aptos" w:hAnsi="Aptos"/>
                <w:b/>
                <w:bCs/>
                <w:sz w:val="22"/>
                <w:szCs w:val="22"/>
              </w:rPr>
            </w:pPr>
            <w:r w:rsidRPr="00233EE5">
              <w:rPr>
                <w:rFonts w:ascii="Aptos" w:hAnsi="Aptos"/>
                <w:sz w:val="22"/>
                <w:szCs w:val="22"/>
              </w:rPr>
              <w:t xml:space="preserve">Der Abbau des infrastrukturellen Ost-West-Gefälles im Zuge des Ausbaus bzw. der Erweiterung des TEN-T-Netzes in Richtung Osteuropa stellt eine große Herausforderung dar. Angesichts der historisch bedingten Unterschiede in der Infrastruktur und der wirtschaftlichen Entwicklung ist es von entscheidender Bedeutung, geeignete Maßnahmen zu ergreifen, um die Verbindungen und die Integration zwischen Ost- und Westeuropa zu verbessern. Dabei muss auch sichergestellt werden, dass die Beitrittskandidaten optimal in das bestehende TEN-T Netz integriert werden, um eine nahtlose Verkehrsanbindung und wirtschaftliche Entwicklung zu fördern. </w:t>
            </w:r>
            <w:r w:rsidRPr="00233EE5">
              <w:rPr>
                <w:rFonts w:ascii="Aptos" w:hAnsi="Aptos"/>
                <w:b/>
                <w:bCs/>
                <w:sz w:val="22"/>
                <w:szCs w:val="22"/>
              </w:rPr>
              <w:t>Welche Maßnahmen planen Sie, um das West- Ost-Gefälle beim Ausbau bzw. der Erweiterung des TEN-T-Netzes zu verringern und die Umsetzung der planmäßige Anbindung des Westbalkans über durch Drittstaaten verlaufende Infrastrukturverbindungen sicherzustellen?</w:t>
            </w:r>
          </w:p>
        </w:tc>
      </w:tr>
      <w:tr w:rsidR="00623AF8" w:rsidRPr="00233EE5" w14:paraId="6BF745EF" w14:textId="77777777" w:rsidTr="00875DD0">
        <w:tc>
          <w:tcPr>
            <w:tcW w:w="9060" w:type="dxa"/>
            <w:shd w:val="clear" w:color="auto" w:fill="D9D9D9" w:themeFill="background1" w:themeFillShade="D9"/>
          </w:tcPr>
          <w:p w14:paraId="29062647"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1EB41FB2" w14:textId="77777777" w:rsidTr="00875DD0">
        <w:tc>
          <w:tcPr>
            <w:tcW w:w="9060" w:type="dxa"/>
          </w:tcPr>
          <w:p w14:paraId="0842E15B"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Planen Sie zusätzlich zur Connecting Europe Facility weitere konkrete EU-Förderprogramme für den Ausbau des TEN-T-Netzes?</w:t>
            </w:r>
          </w:p>
          <w:p w14:paraId="08CC1988"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die neuen Beitrittsländer optimal in das bestehende TEN-V-Netz integriert werden?</w:t>
            </w:r>
          </w:p>
          <w:p w14:paraId="18FC3619" w14:textId="77777777" w:rsidR="00623AF8" w:rsidRPr="00233EE5" w:rsidRDefault="00623AF8" w:rsidP="00F63BE8">
            <w:pPr>
              <w:numPr>
                <w:ilvl w:val="0"/>
                <w:numId w:val="11"/>
              </w:numPr>
              <w:contextualSpacing/>
              <w:rPr>
                <w:rFonts w:ascii="Aptos" w:hAnsi="Aptos"/>
                <w:sz w:val="22"/>
                <w:szCs w:val="22"/>
                <w:lang w:val="de-DE"/>
              </w:rPr>
            </w:pPr>
            <w:r w:rsidRPr="00233EE5">
              <w:rPr>
                <w:rFonts w:ascii="Aptos" w:hAnsi="Aptos"/>
                <w:sz w:val="22"/>
                <w:szCs w:val="22"/>
              </w:rPr>
              <w:t>Welche Rolle spielt aus Ihrer Sicht das Kapazitätsmanagement im TEN-V-Netz?</w:t>
            </w:r>
          </w:p>
        </w:tc>
      </w:tr>
    </w:tbl>
    <w:p w14:paraId="7F30B57E"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10B58F6E" w14:textId="77777777" w:rsidTr="00875DD0">
        <w:trPr>
          <w:trHeight w:val="277"/>
        </w:trPr>
        <w:tc>
          <w:tcPr>
            <w:tcW w:w="9066" w:type="dxa"/>
            <w:shd w:val="clear" w:color="auto" w:fill="D9D9D9"/>
          </w:tcPr>
          <w:p w14:paraId="0AAFAE12"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204C2CDB" w14:textId="77777777" w:rsidR="00623AF8" w:rsidRPr="00233EE5"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Der Ausbau des transeuropäischen Verkehrsnetzes (TEN-V) in Richtung Osteuropa stellt ein zentrales EU-Ziel zur Verbesserung der Verkehrsinfrastruktur und Förderung der Integration der Mitgliedstaaten dar. Die EU stellt im Rahmen der Connecting Europe Facility </w:t>
      </w:r>
      <w:r w:rsidRPr="00233EE5">
        <w:rPr>
          <w:rFonts w:ascii="Aptos" w:eastAsia="Arial MT" w:hAnsi="Aptos" w:cs="Arial MT"/>
          <w:color w:val="0D0D0D"/>
          <w:sz w:val="22"/>
          <w:szCs w:val="22"/>
          <w:vertAlign w:val="subscript"/>
        </w:rPr>
        <w:t>(1)</w:t>
      </w:r>
      <w:r w:rsidRPr="00233EE5">
        <w:rPr>
          <w:rFonts w:ascii="Aptos" w:eastAsia="Arial MT" w:hAnsi="Aptos" w:cs="Arial MT"/>
          <w:color w:val="0D0D0D"/>
          <w:sz w:val="22"/>
          <w:szCs w:val="22"/>
        </w:rPr>
        <w:t xml:space="preserve"> erhebliche Finanzmittel bereit, um den Ausbau zu unterstützen und Projekte zu beschleunigen. Dadurch werden Mobilität und wirtschaftliche Zusammenarbeit gefördert. Der Fokus liegt auf der Modernisierung und Erweiterung von Straßen, Schienen und Wasserstraßen für effiziente, multimodale Verbindungen zwischen West- und Osteuropa. Dadurch sollen Handel, Tourismus und wirtschaftliche Entwicklung gefördert werden. Trotz der erzielten Fortschritte bestehen weiterhin Herausforderungen wie Finanzierungsengpässe, komplexe Genehmigungsverfahren und technische Anpassungen. Ein besonderes Augenmerk gilt der Anbindung des Westbalkans durch Infrastrukturverbindungen, die durch Drittländer führen. Die überarbeitete TEN-T-Verordnung unterstreicht die Bedeutung einer besseren Anbindung des Westbalkans an Mitteleuropa durch neue Verkehrskorridore, sowohl für EU- als auch Drittstaaten. Während EU-Mitgliedstaaten Zugang zu EU-Kofinanzierungsmitteln haben, steht Drittstaaten diese Unterstützung nicht zur Verfügung. Daher ist es von entscheidender Bedeutung, dass auch TEN-T-Projekte in Drittstaaten finanziert und umgesetzt werden, um eine nahtlose Vernetzung zu gewährleisten. Aus der Perspektive der Daseinsvorsorge ist der weitere Ausbau des TEN-T-Netzes von großer Bedeutung. Dies umfasst sowohl die Integration neuer Beitrittsländer als auch die erforderlichen Mittel für das Kapazitätsmanagement </w:t>
      </w:r>
    </w:p>
    <w:p w14:paraId="25618263" w14:textId="77777777" w:rsidR="00623AF8" w:rsidRPr="00233EE5" w:rsidRDefault="00623AF8" w:rsidP="00623AF8">
      <w:pPr>
        <w:jc w:val="both"/>
        <w:rPr>
          <w:rFonts w:ascii="Aptos" w:eastAsia="Arial MT" w:hAnsi="Aptos" w:cs="Arial MT"/>
          <w:color w:val="0D0D0D"/>
          <w:sz w:val="22"/>
          <w:szCs w:val="22"/>
        </w:rPr>
      </w:pPr>
    </w:p>
    <w:p w14:paraId="28D3C59E" w14:textId="77777777" w:rsidR="00623AF8" w:rsidRPr="00233EE5" w:rsidRDefault="00623AF8" w:rsidP="00F63BE8">
      <w:pPr>
        <w:numPr>
          <w:ilvl w:val="0"/>
          <w:numId w:val="36"/>
        </w:numPr>
        <w:contextualSpacing/>
        <w:jc w:val="both"/>
        <w:rPr>
          <w:rFonts w:ascii="Aptos" w:hAnsi="Aptos"/>
          <w:sz w:val="18"/>
          <w:szCs w:val="18"/>
          <w:lang w:val="en-GB"/>
        </w:rPr>
      </w:pPr>
      <w:r w:rsidRPr="00233EE5">
        <w:rPr>
          <w:rFonts w:ascii="Aptos" w:hAnsi="Aptos"/>
          <w:sz w:val="18"/>
          <w:szCs w:val="18"/>
          <w:lang w:val="en-GB"/>
        </w:rPr>
        <w:t xml:space="preserve">EU Commission 2024 – Connecting Europe Facility </w:t>
      </w:r>
    </w:p>
    <w:p w14:paraId="5F50F3F8" w14:textId="77777777" w:rsidR="00623AF8" w:rsidRPr="00233EE5" w:rsidRDefault="00AC460E" w:rsidP="00623AF8">
      <w:pPr>
        <w:ind w:left="360"/>
        <w:contextualSpacing/>
        <w:jc w:val="both"/>
        <w:rPr>
          <w:rFonts w:ascii="Aptos" w:hAnsi="Aptos"/>
          <w:sz w:val="18"/>
          <w:szCs w:val="18"/>
          <w:lang w:val="en-GB"/>
        </w:rPr>
      </w:pPr>
      <w:hyperlink r:id="rId56" w:history="1">
        <w:r w:rsidR="00623AF8" w:rsidRPr="00233EE5">
          <w:rPr>
            <w:rFonts w:ascii="Aptos" w:hAnsi="Aptos"/>
            <w:color w:val="0000FF"/>
            <w:sz w:val="18"/>
            <w:szCs w:val="18"/>
            <w:u w:val="single"/>
            <w:lang w:val="en-GB"/>
          </w:rPr>
          <w:t>https://transport.ec.europa.eu/transport-themes/infrastructure-and-investment/connecting-europe-facility_en</w:t>
        </w:r>
      </w:hyperlink>
    </w:p>
    <w:p w14:paraId="3FAC6C6D" w14:textId="77777777" w:rsidR="00623AF8" w:rsidRPr="00233EE5" w:rsidRDefault="00623AF8" w:rsidP="00623AF8">
      <w:pPr>
        <w:rPr>
          <w:lang w:val="en-GB"/>
        </w:rPr>
      </w:pPr>
    </w:p>
    <w:p w14:paraId="54C86AB0" w14:textId="77777777" w:rsidR="00623AF8" w:rsidRPr="00837A59" w:rsidRDefault="00623AF8" w:rsidP="00623AF8">
      <w:pPr>
        <w:spacing w:after="120"/>
        <w:jc w:val="both"/>
        <w:outlineLvl w:val="0"/>
        <w:rPr>
          <w:rFonts w:ascii="Aptos" w:eastAsiaTheme="majorEastAsia" w:hAnsi="Aptos" w:cstheme="majorBidi"/>
          <w:b/>
          <w:color w:val="E4342D"/>
          <w:szCs w:val="32"/>
          <w:lang w:val="en-GB"/>
        </w:rPr>
      </w:pPr>
      <w:bookmarkStart w:id="307" w:name="_Toc170378216"/>
    </w:p>
    <w:p w14:paraId="27B1BAA8" w14:textId="77777777" w:rsidR="00623AF8" w:rsidRPr="00837A59" w:rsidRDefault="00623AF8" w:rsidP="00623AF8">
      <w:pPr>
        <w:spacing w:after="120"/>
        <w:jc w:val="both"/>
        <w:outlineLvl w:val="0"/>
        <w:rPr>
          <w:rFonts w:ascii="Aptos" w:eastAsiaTheme="majorEastAsia" w:hAnsi="Aptos" w:cstheme="majorBidi"/>
          <w:b/>
          <w:color w:val="E4342D"/>
          <w:szCs w:val="32"/>
          <w:lang w:val="en-GB"/>
        </w:rPr>
      </w:pPr>
    </w:p>
    <w:p w14:paraId="685274E7"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308" w:name="_Toc170983749"/>
      <w:r w:rsidRPr="00233EE5">
        <w:rPr>
          <w:rFonts w:ascii="Aptos" w:eastAsiaTheme="majorEastAsia" w:hAnsi="Aptos" w:cstheme="majorBidi"/>
          <w:b/>
          <w:color w:val="E4342D"/>
          <w:szCs w:val="32"/>
        </w:rPr>
        <w:t>Automatisierung des Verkehrssystems</w:t>
      </w:r>
      <w:bookmarkEnd w:id="307"/>
      <w:bookmarkEnd w:id="308"/>
    </w:p>
    <w:p w14:paraId="3E5BB2C3"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2BEF0EA1" w14:textId="77777777" w:rsidTr="00875DD0">
        <w:tc>
          <w:tcPr>
            <w:tcW w:w="9060" w:type="dxa"/>
            <w:shd w:val="clear" w:color="auto" w:fill="D9D9D9" w:themeFill="background1" w:themeFillShade="D9"/>
          </w:tcPr>
          <w:p w14:paraId="5EE5AB72"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60EBCC5C" w14:textId="77777777" w:rsidTr="00875DD0">
        <w:tc>
          <w:tcPr>
            <w:tcW w:w="9060" w:type="dxa"/>
          </w:tcPr>
          <w:p w14:paraId="0D1104A4" w14:textId="77777777" w:rsidR="00623AF8" w:rsidRPr="00233EE5" w:rsidRDefault="00623AF8" w:rsidP="00875DD0">
            <w:pPr>
              <w:spacing w:before="120" w:after="120"/>
              <w:jc w:val="both"/>
              <w:rPr>
                <w:rFonts w:ascii="Aptos" w:hAnsi="Aptos"/>
                <w:b/>
                <w:bCs/>
                <w:sz w:val="22"/>
                <w:szCs w:val="22"/>
                <w:lang w:val="de-DE"/>
              </w:rPr>
            </w:pPr>
            <w:r w:rsidRPr="00233EE5">
              <w:rPr>
                <w:rFonts w:ascii="Aptos" w:hAnsi="Aptos"/>
                <w:sz w:val="22"/>
                <w:szCs w:val="22"/>
              </w:rPr>
              <w:t xml:space="preserve">Die Implementierung automatisierter Systeme in das Mobilitäts- und Verkehrsnetz stellt eine wichtige Entwicklung dar, die die Zukunft der Verkehrssysteme maßgeblich prägen wird. Angesichts der zunehmenden Integration von Technologien wie dem autonomen Fahren und intelligenten Verkehrssystemen ist es von entscheidender Bedeutung, geeignete Rahmenbedingungen zu schaffen, die eine sichere, effiziente und nachhaltige Nutzung dieser Systeme gewährleisten. Als Europäische Kommission ist es Ihre Aufgabe, Strategien zu entwickeln, die die Einführung und Integration automatisierter Systeme fördern und gleichzeitig den Anforderungen an Sicherheit, Datenschutz und Interoperabilität Rechnung tragen. </w:t>
            </w:r>
            <w:r w:rsidRPr="00233EE5">
              <w:rPr>
                <w:rFonts w:ascii="Aptos" w:hAnsi="Aptos"/>
                <w:b/>
                <w:bCs/>
                <w:sz w:val="22"/>
                <w:szCs w:val="22"/>
              </w:rPr>
              <w:t>Welche Rahmenbedingungen planen Sie für die Einführung automatisierter Systeme im Mobilitäts-/Verkehrsnetz?</w:t>
            </w:r>
          </w:p>
        </w:tc>
      </w:tr>
      <w:tr w:rsidR="00623AF8" w:rsidRPr="00233EE5" w14:paraId="4EFF4D9C" w14:textId="77777777" w:rsidTr="00875DD0">
        <w:tc>
          <w:tcPr>
            <w:tcW w:w="9060" w:type="dxa"/>
            <w:shd w:val="clear" w:color="auto" w:fill="D9D9D9" w:themeFill="background1" w:themeFillShade="D9"/>
          </w:tcPr>
          <w:p w14:paraId="510BDBE2"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10D3104C" w14:textId="77777777" w:rsidTr="00875DD0">
        <w:tc>
          <w:tcPr>
            <w:tcW w:w="9060" w:type="dxa"/>
          </w:tcPr>
          <w:p w14:paraId="335131B7"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Planen Sie eine Prioritätensetzung zur Förderung automatisierter Systeme im Mobilitäts-/Verkehrsnetz und in welchen Bereichen soll dies geschehen?</w:t>
            </w:r>
          </w:p>
          <w:p w14:paraId="4CECFD5D"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Über welche EU-Programme bzw. Förderinstrumente sollen automatisierte Verkehrsmittel finanziert werden?</w:t>
            </w:r>
          </w:p>
          <w:p w14:paraId="3AC0C85B"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wollen Sie sicherstellen, dass die rechtlichen Fragen, die die Einführung automatisierter Systeme im Mobilitäts-/Verkehrsnetz begleiten, gelöst und in einem verbindlichen Rechtsrahmen implementiert werden?</w:t>
            </w:r>
          </w:p>
        </w:tc>
      </w:tr>
    </w:tbl>
    <w:p w14:paraId="0C24E0CB"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45B87C55" w14:textId="77777777" w:rsidTr="00875DD0">
        <w:trPr>
          <w:trHeight w:val="277"/>
        </w:trPr>
        <w:tc>
          <w:tcPr>
            <w:tcW w:w="9066" w:type="dxa"/>
            <w:shd w:val="clear" w:color="auto" w:fill="D9D9D9"/>
          </w:tcPr>
          <w:p w14:paraId="7DD09386"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51869E12" w14:textId="77777777" w:rsidR="00623AF8" w:rsidRPr="00233EE5" w:rsidRDefault="00623AF8" w:rsidP="00623AF8">
      <w:pPr>
        <w:jc w:val="both"/>
        <w:rPr>
          <w:rFonts w:ascii="Aptos" w:hAnsi="Aptos"/>
          <w:bCs/>
          <w:sz w:val="22"/>
          <w:szCs w:val="22"/>
        </w:rPr>
      </w:pPr>
      <w:r w:rsidRPr="00233EE5">
        <w:rPr>
          <w:rFonts w:ascii="Aptos" w:eastAsia="Arial MT" w:hAnsi="Aptos" w:cs="Arial MT"/>
          <w:color w:val="0D0D0D"/>
          <w:sz w:val="22"/>
          <w:szCs w:val="22"/>
        </w:rPr>
        <w:t xml:space="preserve">Die Automatisierung des Verkehrssystems wird in den kommenden Jahren und Jahrzehnten zu tiefgreifenden Veränderungen in der Gestaltung des gesamten Verkehrssystems führen. Die Automatisierung im (öffentlichen) Verkehr umfasst eine Vielzahl von Bereichen, darunter Parkleitsysteme, Verkehrsinformation, Verkehrssteuerung, Verkehrsassistenz und Verkehrskoordination. Der vernetzte und automatisierte öffentliche Verkehr könnte durch flexible und individualisierte Angebote attraktiver werden. Zudem könnte der Straßengüterverkehr effizienter und kostengünstiger werden. Allerdings sind die Erwartungen an die Automatisierung nicht uneingeschränkt positiv. Eine ungeregelte Automatisierung könnte zu einer Zunahme des motorisierten Individualverkehrs und des Güterverkehrs führen, wodurch der Energieverbrauch und die Emissionen steigen und umweltfreundlichere Verkehrsmittel wie Bahn und Fahrrad verdrängt werden. Um diesen sogenannten Rebound-Effekten entgegenzuwirken, sind klare Rahmenbedingungen für den Einsatz automatisierter Fahrzeuge erforderlich. Diese müssen insbesondere Aussagen darüber treffen, wo und wie die Automatisierung zum Einsatz kommt. Die Förderung verkehrlich, ökologisch und gesellschaftlich sinnvoller Einsatzmöglichkeiten sowie die Nutzung der Digitalisierung des Verkehrs als Chance für eine nachhaltige Mobilität sind dabei von zentraler Bedeutung. Die erforderlichen Standards, also die passende Infrastruktur, entsprechende Schnittstellen und ein reibungsloser Informationsfluss, spielen hierbei eine entscheidende Rolle. Ein Beispiel für die Chancen der Automatisierung ist die Schließung von Versorgungslücken im öffentlichen Personennahverkehr in ländlichen und städtischen Gebieten. Zudem kann die Automatisierung dazu beitragen, dem Personalmangel im Verkehrssektor zu begegnen. Aus der Perspektive der Daseinsvorsorge ist die Festlegung von Standards für die </w:t>
      </w:r>
      <w:r w:rsidRPr="00233EE5">
        <w:rPr>
          <w:rFonts w:ascii="Aptos" w:eastAsia="Arial MT" w:hAnsi="Aptos" w:cs="Arial MT"/>
          <w:color w:val="0D0D0D"/>
          <w:sz w:val="22"/>
          <w:szCs w:val="22"/>
        </w:rPr>
        <w:lastRenderedPageBreak/>
        <w:t>notwendige Infrastruktur, Schnittstellen und einen reibungslosen Informationsfluss unerlässlich. Die Automatisierung muss so gestaltet werden, dass sie zukunftsfähig ist und die Vorteile der neuen Technologie optimal genutzt werden können.</w:t>
      </w:r>
    </w:p>
    <w:p w14:paraId="346B0689" w14:textId="77777777" w:rsidR="00623AF8" w:rsidRPr="00233EE5" w:rsidRDefault="00623AF8" w:rsidP="00623AF8">
      <w:pPr>
        <w:rPr>
          <w:rFonts w:ascii="Aptos" w:hAnsi="Aptos"/>
          <w:bCs/>
          <w:sz w:val="22"/>
          <w:szCs w:val="22"/>
        </w:rPr>
      </w:pPr>
    </w:p>
    <w:p w14:paraId="08E68220" w14:textId="77777777" w:rsidR="00623AF8" w:rsidRPr="00233EE5" w:rsidRDefault="00623AF8" w:rsidP="00623AF8">
      <w:pPr>
        <w:rPr>
          <w:rFonts w:ascii="Aptos" w:hAnsi="Aptos"/>
          <w:bCs/>
          <w:sz w:val="22"/>
          <w:szCs w:val="22"/>
        </w:rPr>
      </w:pPr>
    </w:p>
    <w:p w14:paraId="0E1ABCA0" w14:textId="77777777" w:rsidR="00623AF8" w:rsidRPr="00233EE5" w:rsidRDefault="00623AF8" w:rsidP="00623AF8">
      <w:pPr>
        <w:rPr>
          <w:rFonts w:ascii="Aptos" w:hAnsi="Aptos"/>
          <w:bCs/>
          <w:sz w:val="22"/>
          <w:szCs w:val="22"/>
        </w:rPr>
      </w:pPr>
    </w:p>
    <w:p w14:paraId="32C3060A" w14:textId="77777777" w:rsidR="00623AF8" w:rsidRPr="00233EE5" w:rsidRDefault="00623AF8" w:rsidP="00623AF8">
      <w:pPr>
        <w:spacing w:after="120"/>
        <w:jc w:val="both"/>
        <w:outlineLvl w:val="0"/>
        <w:rPr>
          <w:rFonts w:ascii="Aptos" w:eastAsiaTheme="majorEastAsia" w:hAnsi="Aptos" w:cstheme="majorBidi"/>
          <w:b/>
          <w:color w:val="E4342D"/>
          <w:szCs w:val="32"/>
        </w:rPr>
      </w:pPr>
      <w:bookmarkStart w:id="309" w:name="_Toc170378217"/>
      <w:bookmarkStart w:id="310" w:name="_Toc170983750"/>
      <w:r w:rsidRPr="00233EE5">
        <w:rPr>
          <w:rFonts w:ascii="Aptos" w:eastAsiaTheme="majorEastAsia" w:hAnsi="Aptos" w:cstheme="majorBidi"/>
          <w:b/>
          <w:color w:val="E4342D"/>
          <w:szCs w:val="32"/>
        </w:rPr>
        <w:t>Akzeptanz von automatisierten Verkehrssystemen</w:t>
      </w:r>
      <w:bookmarkEnd w:id="309"/>
      <w:bookmarkEnd w:id="310"/>
    </w:p>
    <w:p w14:paraId="7ECB8525" w14:textId="77777777" w:rsidR="00623AF8" w:rsidRPr="00233EE5" w:rsidRDefault="00623AF8" w:rsidP="00623AF8"/>
    <w:tbl>
      <w:tblPr>
        <w:tblStyle w:val="Tabellenraster"/>
        <w:tblW w:w="0" w:type="auto"/>
        <w:tblLook w:val="04A0" w:firstRow="1" w:lastRow="0" w:firstColumn="1" w:lastColumn="0" w:noHBand="0" w:noVBand="1"/>
      </w:tblPr>
      <w:tblGrid>
        <w:gridCol w:w="9060"/>
      </w:tblGrid>
      <w:tr w:rsidR="00623AF8" w:rsidRPr="00233EE5" w14:paraId="3C666D58" w14:textId="77777777" w:rsidTr="00875DD0">
        <w:tc>
          <w:tcPr>
            <w:tcW w:w="9060" w:type="dxa"/>
            <w:shd w:val="clear" w:color="auto" w:fill="D9D9D9" w:themeFill="background1" w:themeFillShade="D9"/>
          </w:tcPr>
          <w:p w14:paraId="60BFE2A3" w14:textId="77777777" w:rsidR="00623AF8" w:rsidRPr="00233EE5" w:rsidRDefault="00623AF8" w:rsidP="00875DD0">
            <w:pPr>
              <w:spacing w:before="120" w:after="120"/>
              <w:jc w:val="both"/>
              <w:rPr>
                <w:rFonts w:ascii="Aptos" w:hAnsi="Aptos"/>
                <w:b/>
                <w:iCs/>
                <w:sz w:val="22"/>
                <w:szCs w:val="22"/>
              </w:rPr>
            </w:pPr>
            <w:r w:rsidRPr="00233EE5">
              <w:rPr>
                <w:rFonts w:ascii="Aptos" w:hAnsi="Aptos"/>
                <w:b/>
                <w:iCs/>
                <w:sz w:val="22"/>
                <w:szCs w:val="22"/>
              </w:rPr>
              <w:t>Frage</w:t>
            </w:r>
          </w:p>
        </w:tc>
      </w:tr>
      <w:tr w:rsidR="00623AF8" w:rsidRPr="00233EE5" w14:paraId="2C6BECF0" w14:textId="77777777" w:rsidTr="00875DD0">
        <w:tc>
          <w:tcPr>
            <w:tcW w:w="9060" w:type="dxa"/>
          </w:tcPr>
          <w:p w14:paraId="407D928C" w14:textId="77777777" w:rsidR="00623AF8" w:rsidRPr="00233EE5" w:rsidRDefault="00623AF8" w:rsidP="00875DD0">
            <w:pPr>
              <w:spacing w:before="120" w:after="120"/>
              <w:jc w:val="both"/>
              <w:rPr>
                <w:rFonts w:ascii="Aptos" w:hAnsi="Aptos"/>
                <w:b/>
                <w:bCs/>
                <w:sz w:val="22"/>
                <w:szCs w:val="22"/>
              </w:rPr>
            </w:pPr>
            <w:r w:rsidRPr="00233EE5">
              <w:rPr>
                <w:rFonts w:ascii="Aptos" w:hAnsi="Aptos"/>
                <w:sz w:val="22"/>
                <w:szCs w:val="22"/>
              </w:rPr>
              <w:t xml:space="preserve">Bei der Einführung automatisierter Verkehrsmittel besteht die Herausforderung darin, sicherzustellen, dass menschliche Arbeitsplätze im Verkehrssystem erhalten bleiben. Automatisierungselemente haben das Potenzial, Effizienz und Sicherheit zu verbessern, können aber auch zu Arbeitsplatzverlusten führen. Angesichts dieser Dynamik ist es wichtig, Strategien zu entwickeln, die den Übergang zur Automatisierung unterstützen und gleichzeitig Arbeitsplätze erhalten und neue Beschäftigungsmöglichkeiten schaffen. </w:t>
            </w:r>
            <w:r w:rsidRPr="00233EE5">
              <w:rPr>
                <w:rFonts w:ascii="Aptos" w:hAnsi="Aptos"/>
                <w:b/>
                <w:bCs/>
                <w:sz w:val="22"/>
                <w:szCs w:val="22"/>
              </w:rPr>
              <w:t>Wie wollen Sie bei der Einführung automatisierter Verkehrssysteme sicherstellen, dass menschliche Arbeitsplätze im System erhalten bleiben?</w:t>
            </w:r>
          </w:p>
        </w:tc>
      </w:tr>
      <w:tr w:rsidR="00623AF8" w:rsidRPr="00233EE5" w14:paraId="58C025A4" w14:textId="77777777" w:rsidTr="00875DD0">
        <w:tc>
          <w:tcPr>
            <w:tcW w:w="9060" w:type="dxa"/>
            <w:shd w:val="clear" w:color="auto" w:fill="D9D9D9" w:themeFill="background1" w:themeFillShade="D9"/>
          </w:tcPr>
          <w:p w14:paraId="436D7221" w14:textId="77777777" w:rsidR="00623AF8" w:rsidRPr="00233EE5" w:rsidRDefault="00623AF8" w:rsidP="00875DD0">
            <w:pPr>
              <w:spacing w:before="120" w:after="120"/>
              <w:jc w:val="both"/>
              <w:rPr>
                <w:rFonts w:ascii="Aptos" w:hAnsi="Aptos"/>
                <w:b/>
                <w:bCs/>
                <w:sz w:val="22"/>
                <w:szCs w:val="22"/>
              </w:rPr>
            </w:pPr>
            <w:r w:rsidRPr="00233EE5">
              <w:rPr>
                <w:rFonts w:ascii="Aptos" w:hAnsi="Aptos"/>
                <w:b/>
                <w:bCs/>
                <w:sz w:val="22"/>
                <w:szCs w:val="22"/>
              </w:rPr>
              <w:t>Nachfrage</w:t>
            </w:r>
          </w:p>
        </w:tc>
      </w:tr>
      <w:tr w:rsidR="00623AF8" w:rsidRPr="00233EE5" w14:paraId="41543CF2" w14:textId="77777777" w:rsidTr="00875DD0">
        <w:tc>
          <w:tcPr>
            <w:tcW w:w="9060" w:type="dxa"/>
          </w:tcPr>
          <w:p w14:paraId="5E70F39F"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Sind EU-Programme oder Fördermittel geplant, um diese öffentliche Akzeptanz durch Informationskampagnen zu erreichen?</w:t>
            </w:r>
          </w:p>
          <w:p w14:paraId="2E3EFBF2" w14:textId="77777777" w:rsidR="00623AF8" w:rsidRPr="00233EE5" w:rsidRDefault="00623AF8" w:rsidP="00F63BE8">
            <w:pPr>
              <w:numPr>
                <w:ilvl w:val="0"/>
                <w:numId w:val="11"/>
              </w:numPr>
              <w:contextualSpacing/>
              <w:rPr>
                <w:rFonts w:ascii="Aptos" w:hAnsi="Aptos"/>
                <w:sz w:val="22"/>
                <w:szCs w:val="22"/>
              </w:rPr>
            </w:pPr>
            <w:r w:rsidRPr="00233EE5">
              <w:rPr>
                <w:rFonts w:ascii="Aptos" w:hAnsi="Aptos"/>
                <w:sz w:val="22"/>
                <w:szCs w:val="22"/>
              </w:rPr>
              <w:t>Wie möchten Sie sicherstellen, dass bei relevanten Fragestellungen oder in Notsituationen auch weiterhin menschliche Ansprechpersonen vor Ort für die Kund:innen zur Verfügung stehen?</w:t>
            </w:r>
          </w:p>
        </w:tc>
      </w:tr>
    </w:tbl>
    <w:p w14:paraId="57B2D512" w14:textId="77777777" w:rsidR="00623AF8" w:rsidRPr="00233EE5"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233EE5" w14:paraId="0FF66897" w14:textId="77777777" w:rsidTr="00875DD0">
        <w:trPr>
          <w:trHeight w:val="277"/>
        </w:trPr>
        <w:tc>
          <w:tcPr>
            <w:tcW w:w="9066" w:type="dxa"/>
            <w:shd w:val="clear" w:color="auto" w:fill="D9D9D9"/>
          </w:tcPr>
          <w:p w14:paraId="02A5067C" w14:textId="77777777" w:rsidR="00623AF8" w:rsidRPr="00233EE5" w:rsidRDefault="00623AF8" w:rsidP="00875DD0">
            <w:pPr>
              <w:spacing w:line="258" w:lineRule="exact"/>
              <w:rPr>
                <w:rFonts w:ascii="Aptos" w:eastAsia="Arial MT" w:hAnsi="Aptos" w:cs="Arial MT"/>
                <w:b/>
                <w:szCs w:val="22"/>
                <w:lang w:val="en-GB"/>
              </w:rPr>
            </w:pPr>
            <w:r w:rsidRPr="00233EE5">
              <w:rPr>
                <w:rFonts w:ascii="Aptos" w:eastAsia="Arial MT" w:hAnsi="Aptos" w:cs="Arial MT"/>
                <w:b/>
                <w:szCs w:val="22"/>
                <w:lang w:val="en-GB"/>
              </w:rPr>
              <w:t>Hintergrund</w:t>
            </w:r>
          </w:p>
        </w:tc>
      </w:tr>
    </w:tbl>
    <w:p w14:paraId="7B171C68" w14:textId="77777777" w:rsidR="00623AF8" w:rsidRDefault="00623AF8" w:rsidP="00623AF8">
      <w:pPr>
        <w:jc w:val="both"/>
        <w:rPr>
          <w:rFonts w:ascii="Aptos" w:eastAsia="Arial MT" w:hAnsi="Aptos" w:cs="Arial MT"/>
          <w:color w:val="0D0D0D"/>
          <w:sz w:val="22"/>
          <w:szCs w:val="22"/>
        </w:rPr>
      </w:pPr>
      <w:r w:rsidRPr="00233EE5">
        <w:rPr>
          <w:rFonts w:ascii="Aptos" w:eastAsia="Arial MT" w:hAnsi="Aptos" w:cs="Arial MT"/>
          <w:color w:val="0D0D0D"/>
          <w:sz w:val="22"/>
          <w:szCs w:val="22"/>
        </w:rPr>
        <w:t xml:space="preserve">Die fortschreitende Automatisierung des Verkehrssystems wird in den kommenden Jahren und Jahrzehnten zu tiefgreifenden Veränderungen in der Gestaltung des gesamten Verkehrssystems führen. Der öffentliche Verkehr könnte durch flexible und individualisierte Angebote attraktiver gestaltet werden. Zudem könnte der Straßengüterverkehr effizienter und kostengünstiger werden. Die Einführung eines automatisierten (öffentlichen) Verkehrssystems schafft ein neues Mobilitätsangebot für alle.  Automatisierte Fahrzeuge sollen nicht nur menschliches Fehlverhalten im Straßenverkehr, Energieverbrauch und Emissionen reduzieren, sondern auch die Produktivität der Nutzerinnen und Nutzer steigern, den Fahrkomfort erhöhen und die Mobilität von Menschen mit Mobilitätseinschränkungen verbessern. Die öffentliche Akzeptanz und Anpassung an die Automatisierung im Verkehr sind daher entscheidende Faktoren für die Einführung und Umsetzung automatisierter Verkehrssysteme. Schließlich kann das Angebot eines automatisierten (öffentlichen) Verkehrssystems nur dann erfolgreich eingeführt und betrieben werden, wenn es von den (zukünftigen) Nutzer:innen akzeptiert wird. Aus Perspektive der Daseinsvorsorge ist es von entscheidender Bedeutung, die Bedenken und Ängste der Bevölkerung zu berücksichtigen und Maßnahmen zur Akzeptanzsteigerung zu ergreifen. Ein attraktives Angebot eines automatisierten (öffentlichen) Verkehrssystems, das von den Menschen akzeptiert und letztlich auch genutzt wird, ist die Voraussetzung für die Transformation der Mobilität durch die Integration automatisierter Fahrzeuge. Nur so können die ökonomischen, sozialen und ökologischen Potenziale im Mobilitätssektor realisiert werden. Daher sind EU-Förderungen und EU-Initiativen notwendig, um kommunale, regionale und öffentliche Verkehrsanbieter in die Lage zu versetzen, Akzeptanzkampagnen durchzuführen.  </w:t>
      </w:r>
    </w:p>
    <w:p w14:paraId="40A9B16D" w14:textId="77777777" w:rsidR="00623AF8" w:rsidRDefault="00623AF8" w:rsidP="00623AF8">
      <w:pPr>
        <w:jc w:val="both"/>
        <w:rPr>
          <w:rFonts w:ascii="Aptos" w:eastAsia="Arial MT" w:hAnsi="Aptos" w:cs="Arial MT"/>
          <w:color w:val="0D0D0D"/>
          <w:sz w:val="22"/>
          <w:szCs w:val="22"/>
        </w:rPr>
      </w:pPr>
    </w:p>
    <w:p w14:paraId="49086EF3" w14:textId="77777777" w:rsidR="00623AF8" w:rsidRPr="00233EE5" w:rsidRDefault="00623AF8" w:rsidP="00623AF8">
      <w:pPr>
        <w:jc w:val="both"/>
        <w:rPr>
          <w:rFonts w:ascii="Aptos" w:eastAsia="Arial MT" w:hAnsi="Aptos" w:cs="Arial MT"/>
          <w:color w:val="0D0D0D"/>
          <w:sz w:val="22"/>
          <w:szCs w:val="22"/>
        </w:rPr>
      </w:pPr>
    </w:p>
    <w:p w14:paraId="63953DA3" w14:textId="77777777" w:rsidR="00623AF8" w:rsidRDefault="00623AF8" w:rsidP="00623AF8">
      <w:pPr>
        <w:spacing w:before="100" w:beforeAutospacing="1"/>
        <w:jc w:val="both"/>
        <w:rPr>
          <w:rFonts w:ascii="Aptos" w:hAnsi="Aptos"/>
          <w:bCs/>
          <w:iCs/>
          <w:sz w:val="22"/>
          <w:szCs w:val="22"/>
        </w:rPr>
      </w:pPr>
    </w:p>
    <w:p w14:paraId="6F6A7C7D" w14:textId="77777777" w:rsidR="00623AF8" w:rsidRDefault="00623AF8" w:rsidP="00623AF8">
      <w:pPr>
        <w:spacing w:before="100" w:beforeAutospacing="1"/>
        <w:jc w:val="both"/>
        <w:rPr>
          <w:rFonts w:ascii="Aptos" w:hAnsi="Aptos"/>
          <w:bCs/>
          <w:iCs/>
          <w:sz w:val="22"/>
          <w:szCs w:val="22"/>
        </w:rPr>
      </w:pPr>
    </w:p>
    <w:p w14:paraId="6336C54A" w14:textId="77777777" w:rsidR="00623AF8" w:rsidRDefault="00623AF8" w:rsidP="00623AF8">
      <w:pPr>
        <w:pStyle w:val="berschrift1"/>
        <w:jc w:val="center"/>
        <w:rPr>
          <w:rFonts w:ascii="Aptos" w:hAnsi="Aptos"/>
        </w:rPr>
      </w:pPr>
      <w:bookmarkStart w:id="311" w:name="_Toc170983751"/>
      <w:r w:rsidRPr="00B157E6">
        <w:rPr>
          <w:rFonts w:ascii="Aptos" w:hAnsi="Aptos"/>
          <w:color w:val="A6A6A6" w:themeColor="background1" w:themeShade="A6"/>
          <w:sz w:val="28"/>
          <w:szCs w:val="28"/>
        </w:rPr>
        <w:t xml:space="preserve">Ausarbeitung </w:t>
      </w:r>
      <w:r>
        <w:rPr>
          <w:rFonts w:ascii="Aptos" w:hAnsi="Aptos"/>
          <w:color w:val="A6A6A6" w:themeColor="background1" w:themeShade="A6"/>
          <w:sz w:val="28"/>
          <w:szCs w:val="28"/>
        </w:rPr>
        <w:t>der</w:t>
      </w:r>
      <w:r w:rsidRPr="00B157E6">
        <w:rPr>
          <w:rFonts w:ascii="Aptos" w:hAnsi="Aptos"/>
          <w:color w:val="A6A6A6" w:themeColor="background1" w:themeShade="A6"/>
          <w:sz w:val="28"/>
          <w:szCs w:val="28"/>
        </w:rPr>
        <w:t xml:space="preserve"> Fragen aus dem</w:t>
      </w:r>
      <w:r>
        <w:rPr>
          <w:rFonts w:ascii="Aptos" w:hAnsi="Aptos"/>
          <w:color w:val="A6A6A6" w:themeColor="background1" w:themeShade="A6"/>
          <w:sz w:val="28"/>
          <w:szCs w:val="28"/>
        </w:rPr>
        <w:t xml:space="preserve"> Bereich</w:t>
      </w:r>
      <w:r w:rsidRPr="00B157E6">
        <w:rPr>
          <w:rFonts w:ascii="Aptos" w:hAnsi="Aptos"/>
          <w:color w:val="A6A6A6" w:themeColor="background1" w:themeShade="A6"/>
          <w:sz w:val="28"/>
          <w:szCs w:val="28"/>
        </w:rPr>
        <w:t xml:space="preserve"> Wirtschafts</w:t>
      </w:r>
      <w:bookmarkStart w:id="312" w:name="_Toc167726968"/>
      <w:bookmarkEnd w:id="311"/>
      <w:r>
        <w:rPr>
          <w:rFonts w:ascii="Aptos" w:hAnsi="Aptos"/>
          <w:color w:val="A6A6A6" w:themeColor="background1" w:themeShade="A6"/>
          <w:sz w:val="28"/>
          <w:szCs w:val="28"/>
        </w:rPr>
        <w:t>politik</w:t>
      </w:r>
    </w:p>
    <w:p w14:paraId="473B87B7" w14:textId="77777777" w:rsidR="00623AF8" w:rsidRPr="00B157E6" w:rsidRDefault="00623AF8" w:rsidP="00623AF8">
      <w:pPr>
        <w:pStyle w:val="berschrift1"/>
        <w:rPr>
          <w:rFonts w:ascii="Aptos" w:hAnsi="Aptos"/>
          <w:color w:val="auto"/>
          <w:sz w:val="28"/>
          <w:szCs w:val="28"/>
        </w:rPr>
      </w:pPr>
      <w:bookmarkStart w:id="313" w:name="_Toc170983752"/>
      <w:r w:rsidRPr="00B157E6">
        <w:rPr>
          <w:rFonts w:ascii="Aptos" w:hAnsi="Aptos"/>
          <w:color w:val="auto"/>
          <w:sz w:val="40"/>
          <w:szCs w:val="48"/>
        </w:rPr>
        <w:t>Teilbereich I – Wirtschaftspolitische Steuerung</w:t>
      </w:r>
      <w:bookmarkEnd w:id="312"/>
      <w:bookmarkEnd w:id="313"/>
    </w:p>
    <w:p w14:paraId="51D25D88" w14:textId="77777777" w:rsidR="00623AF8" w:rsidRPr="001B4DFD" w:rsidRDefault="00623AF8" w:rsidP="00623AF8">
      <w:pPr>
        <w:rPr>
          <w:rFonts w:ascii="Aptos" w:hAnsi="Aptos"/>
        </w:rPr>
      </w:pPr>
    </w:p>
    <w:p w14:paraId="0E5B1362" w14:textId="77777777" w:rsidR="00623AF8" w:rsidRPr="001B4DFD" w:rsidRDefault="00623AF8" w:rsidP="00623AF8">
      <w:pPr>
        <w:rPr>
          <w:rFonts w:ascii="Aptos" w:hAnsi="Aptos"/>
        </w:rPr>
      </w:pPr>
    </w:p>
    <w:p w14:paraId="57035C6F"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14" w:name="_Toc167726969"/>
      <w:bookmarkStart w:id="315" w:name="_Toc170983753"/>
      <w:r w:rsidRPr="001B4DFD">
        <w:rPr>
          <w:rFonts w:ascii="Aptos" w:eastAsiaTheme="majorEastAsia" w:hAnsi="Aptos" w:cstheme="majorBidi"/>
          <w:b/>
          <w:color w:val="E4342D"/>
          <w:szCs w:val="32"/>
        </w:rPr>
        <w:t>Öffentliche &amp; kommunaler Akteure als Hebel für sozial-ökologische EU-Ziele</w:t>
      </w:r>
      <w:bookmarkEnd w:id="314"/>
      <w:bookmarkEnd w:id="315"/>
    </w:p>
    <w:tbl>
      <w:tblPr>
        <w:tblStyle w:val="Tabellenraster"/>
        <w:tblW w:w="0" w:type="auto"/>
        <w:tblLook w:val="04A0" w:firstRow="1" w:lastRow="0" w:firstColumn="1" w:lastColumn="0" w:noHBand="0" w:noVBand="1"/>
      </w:tblPr>
      <w:tblGrid>
        <w:gridCol w:w="9060"/>
      </w:tblGrid>
      <w:tr w:rsidR="00623AF8" w:rsidRPr="001B4DFD" w14:paraId="4769D1CA" w14:textId="77777777" w:rsidTr="00875DD0">
        <w:tc>
          <w:tcPr>
            <w:tcW w:w="9060" w:type="dxa"/>
            <w:shd w:val="clear" w:color="auto" w:fill="D9D9D9" w:themeFill="background1" w:themeFillShade="D9"/>
          </w:tcPr>
          <w:p w14:paraId="36FDF341"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013FF26F" w14:textId="77777777" w:rsidTr="00875DD0">
        <w:tc>
          <w:tcPr>
            <w:tcW w:w="9060" w:type="dxa"/>
          </w:tcPr>
          <w:p w14:paraId="41A20FAB" w14:textId="77777777" w:rsidR="00623AF8" w:rsidRPr="001B4DFD" w:rsidRDefault="00623AF8" w:rsidP="00875DD0">
            <w:pPr>
              <w:spacing w:before="120" w:after="120"/>
              <w:jc w:val="both"/>
              <w:rPr>
                <w:rFonts w:ascii="Aptos" w:hAnsi="Aptos"/>
                <w:b/>
                <w:bCs/>
                <w:sz w:val="22"/>
                <w:szCs w:val="22"/>
                <w:lang w:val="de-DE"/>
              </w:rPr>
            </w:pPr>
            <w:r w:rsidRPr="001B4DFD">
              <w:rPr>
                <w:rFonts w:ascii="Aptos" w:hAnsi="Aptos" w:cs="Segoe UI"/>
                <w:color w:val="0D0D0D"/>
                <w:sz w:val="22"/>
                <w:szCs w:val="22"/>
                <w:shd w:val="clear" w:color="auto" w:fill="FFFFFF"/>
              </w:rPr>
              <w:t xml:space="preserve">Zur Bewältigung der Klimakrise benötigen die europäischen Städte und Gemeinden nicht nur ausreichende finanzielle Mittel, wie z.B. kommunale Klimainvestitionsfonds, sondern auch angemessene Mitspracherechte auf europäischer Ebene, um soziale Aspekte berücksichtigen zu können. Städte und Gemeinden stoßen bereits heute an ihre finanziellen Grenzen bei der Bereitstellung relevanter Leistungen der Daseinsvorsorge, zu denen auch soziale Belange gehören. Kommunale Unternehmen investieren regelmäßig in kritische Infrastrukturen (z.B. Energie, Mobilität) und sind ebenso wie Städte und Gemeinden ein Hebel für sozial-ökologische Investitionsprojekte. </w:t>
            </w:r>
            <w:r w:rsidRPr="001B4DFD">
              <w:rPr>
                <w:rFonts w:ascii="Aptos" w:hAnsi="Aptos" w:cs="Segoe UI"/>
                <w:b/>
                <w:bCs/>
                <w:color w:val="0D0D0D"/>
                <w:sz w:val="22"/>
                <w:szCs w:val="22"/>
                <w:shd w:val="clear" w:color="auto" w:fill="FFFFFF"/>
              </w:rPr>
              <w:t>Welche Rolle spielen Ihrer Auffassung nach Städte, Gemeinden und kommunale Unternehmen bei der Erreichung der sozial-ökologischen Ziele der EU?</w:t>
            </w:r>
          </w:p>
        </w:tc>
      </w:tr>
      <w:tr w:rsidR="00623AF8" w:rsidRPr="001B4DFD" w14:paraId="0E956A0C" w14:textId="77777777" w:rsidTr="00875DD0">
        <w:tc>
          <w:tcPr>
            <w:tcW w:w="9060" w:type="dxa"/>
            <w:shd w:val="clear" w:color="auto" w:fill="D9D9D9" w:themeFill="background1" w:themeFillShade="D9"/>
          </w:tcPr>
          <w:p w14:paraId="0D44419A"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3293EEC8" w14:textId="77777777" w:rsidTr="00875DD0">
        <w:tc>
          <w:tcPr>
            <w:tcW w:w="9060" w:type="dxa"/>
          </w:tcPr>
          <w:p w14:paraId="1511F6B6" w14:textId="77777777" w:rsidR="00623AF8" w:rsidRPr="001B4DFD" w:rsidRDefault="00623AF8" w:rsidP="00F63BE8">
            <w:pPr>
              <w:numPr>
                <w:ilvl w:val="0"/>
                <w:numId w:val="40"/>
              </w:numPr>
              <w:contextualSpacing/>
              <w:rPr>
                <w:rFonts w:ascii="Aptos" w:hAnsi="Aptos"/>
                <w:sz w:val="22"/>
                <w:szCs w:val="22"/>
                <w:lang w:val="de-DE"/>
              </w:rPr>
            </w:pPr>
            <w:r w:rsidRPr="001B4DFD">
              <w:rPr>
                <w:rFonts w:ascii="Aptos" w:hAnsi="Aptos"/>
                <w:sz w:val="22"/>
                <w:szCs w:val="22"/>
                <w:lang w:val="de-DE"/>
              </w:rPr>
              <w:t>Sind EU-Programme und Fördermittel geplant, die den lokalen Akteuren auf der Ebene der Städte und Gemeinden mehr Gestaltungsspielraum einräumen?</w:t>
            </w:r>
          </w:p>
          <w:p w14:paraId="6D32639E" w14:textId="77777777" w:rsidR="00623AF8" w:rsidRPr="001B4DFD" w:rsidRDefault="00623AF8" w:rsidP="00F63BE8">
            <w:pPr>
              <w:numPr>
                <w:ilvl w:val="0"/>
                <w:numId w:val="40"/>
              </w:numPr>
              <w:contextualSpacing/>
              <w:rPr>
                <w:rFonts w:ascii="Aptos" w:hAnsi="Aptos"/>
                <w:sz w:val="22"/>
                <w:szCs w:val="22"/>
                <w:lang w:val="de-DE"/>
              </w:rPr>
            </w:pPr>
            <w:r w:rsidRPr="001B4DFD">
              <w:rPr>
                <w:rFonts w:ascii="Aptos" w:hAnsi="Aptos"/>
                <w:sz w:val="22"/>
                <w:szCs w:val="22"/>
                <w:lang w:val="de-DE"/>
              </w:rPr>
              <w:t>Welche Bedeutung hat für Sie in diesem Zusammenhang die interkommunale Zusammenarbeit zwischen Städten und Gemeinden?</w:t>
            </w:r>
          </w:p>
          <w:p w14:paraId="41248F22" w14:textId="77777777" w:rsidR="00623AF8" w:rsidRPr="001B4DFD" w:rsidRDefault="00623AF8" w:rsidP="00875DD0">
            <w:pPr>
              <w:ind w:left="720"/>
              <w:contextualSpacing/>
              <w:rPr>
                <w:rFonts w:ascii="Aptos" w:hAnsi="Aptos"/>
                <w:sz w:val="22"/>
                <w:szCs w:val="22"/>
                <w:lang w:val="de-DE"/>
              </w:rPr>
            </w:pPr>
          </w:p>
        </w:tc>
      </w:tr>
    </w:tbl>
    <w:p w14:paraId="703C49EB" w14:textId="77777777" w:rsidR="00623AF8" w:rsidRPr="001B4DFD" w:rsidRDefault="00623AF8" w:rsidP="00623AF8">
      <w:pPr>
        <w:rPr>
          <w:rFonts w:ascii="Aptos" w:hAnsi="Aptos"/>
        </w:rPr>
      </w:pPr>
    </w:p>
    <w:tbl>
      <w:tblPr>
        <w:tblStyle w:val="TableNormal2"/>
        <w:tblW w:w="0" w:type="auto"/>
        <w:tblLayout w:type="fixed"/>
        <w:tblLook w:val="01E0" w:firstRow="1" w:lastRow="1" w:firstColumn="1" w:lastColumn="1" w:noHBand="0" w:noVBand="0"/>
      </w:tblPr>
      <w:tblGrid>
        <w:gridCol w:w="9066"/>
      </w:tblGrid>
      <w:tr w:rsidR="00623AF8" w:rsidRPr="001B4DFD" w14:paraId="37AA1796" w14:textId="77777777" w:rsidTr="00875DD0">
        <w:trPr>
          <w:trHeight w:val="277"/>
        </w:trPr>
        <w:tc>
          <w:tcPr>
            <w:tcW w:w="9066" w:type="dxa"/>
            <w:shd w:val="clear" w:color="auto" w:fill="D9D9D9"/>
          </w:tcPr>
          <w:p w14:paraId="53EC9F5A"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264CFD49" w14:textId="77777777" w:rsidTr="00875DD0">
        <w:trPr>
          <w:trHeight w:val="1516"/>
        </w:trPr>
        <w:tc>
          <w:tcPr>
            <w:tcW w:w="9066" w:type="dxa"/>
          </w:tcPr>
          <w:p w14:paraId="1357B1CF" w14:textId="77777777" w:rsidR="00623AF8" w:rsidRPr="001B4DFD" w:rsidRDefault="00623AF8" w:rsidP="00875DD0">
            <w:pPr>
              <w:spacing w:before="3" w:line="239" w:lineRule="exact"/>
              <w:jc w:val="both"/>
              <w:rPr>
                <w:rFonts w:ascii="Aptos" w:eastAsia="Arial MT" w:hAnsi="Aptos" w:cs="Arial MT"/>
                <w:color w:val="0D0D0D"/>
                <w:sz w:val="22"/>
                <w:szCs w:val="22"/>
                <w:lang w:val="de-AT"/>
              </w:rPr>
            </w:pPr>
            <w:r w:rsidRPr="001B4DFD">
              <w:rPr>
                <w:rFonts w:ascii="Aptos" w:eastAsia="Arial MT" w:hAnsi="Aptos" w:cs="Arial MT"/>
                <w:color w:val="0D0D0D"/>
                <w:sz w:val="22"/>
                <w:szCs w:val="22"/>
                <w:lang w:val="de-AT"/>
              </w:rPr>
              <w:t>Maßnahmen zur Bekämpfung einer der größten Herausforderungen unserer Zeit, der Klimakrise, werden zu einem großen Teil auf kommunaler Ebene  getroffen. Daher müssen den Städten und Gemeinden auf europäischer Ebene neben ausreichenden finanziellen Mitteln – z. B. kommunale Klimainvestitionsfonds – auch angemessene Mitspracherechte eingeräumt werden. Die Europäische Kommission muss daher dafür Sorge tragen, dass den Kommunen die Erbringung von Leistungen der Daseinsvorsorge nicht durch Liberalisierungs- und Privatisierungsbestrebungen sowie weitere Vorgaben unmöglich gemacht oder unverhältnismäßig erschwert wird. Insbesondere im Hinblick auf die finanzielle Leistungsfähigkeit stoßen die Städte und Gemeinden an ihre Grenzen. Interkommunale Zusammenarbeit, öffentlich-rechtliche Verträge und Verwaltungsgemeinschaften sind ebenfalls wichtige Instrumente zur effizienten Erfüllung öffentlicher Aufgaben unter Berücksichtigung eines sparsamen und nachhaltigen Einsatzes der vorhandenen Finanzmittel. Interkommunale Zusammenarbeit, konkret Verwaltungsgemeinschaften und Kooperationen, sind seit 2012 umsatzsteuerpflichtig. Banken und Versicherungen hingegen sind davon ausgenommen, obwohl sie sich in der gleichen Situation befinden. Obgleich im eigenen Wirkungskreis der Kommunen erbracht, verteuerten sich diese Leistungen im Rahmen der interkommunalen Zusammenarbeit somit auf einen Schlag um 20 Prozent. Aus Perspektive der Daseinsvorsorge braucht es  Maßnahmen, um die Finanzkraft und Zusammenarbeit regionaler und lokaler Akteure zu stärken.</w:t>
            </w:r>
          </w:p>
        </w:tc>
      </w:tr>
    </w:tbl>
    <w:p w14:paraId="729D9E00" w14:textId="77777777" w:rsidR="00623AF8" w:rsidRPr="001B4DFD" w:rsidRDefault="00623AF8" w:rsidP="00623AF8">
      <w:pPr>
        <w:spacing w:after="120"/>
        <w:rPr>
          <w:rFonts w:ascii="Aptos" w:hAnsi="Aptos"/>
          <w:b/>
          <w:iCs/>
          <w:sz w:val="22"/>
          <w:szCs w:val="22"/>
        </w:rPr>
      </w:pPr>
    </w:p>
    <w:p w14:paraId="23C366F4" w14:textId="77777777" w:rsidR="00623AF8" w:rsidRPr="001B4DFD" w:rsidRDefault="00623AF8" w:rsidP="00623AF8">
      <w:pPr>
        <w:spacing w:after="120"/>
        <w:rPr>
          <w:rFonts w:ascii="Aptos" w:hAnsi="Aptos"/>
          <w:b/>
          <w:iCs/>
          <w:sz w:val="22"/>
          <w:szCs w:val="22"/>
        </w:rPr>
      </w:pPr>
    </w:p>
    <w:p w14:paraId="1A516959" w14:textId="77777777" w:rsidR="00623AF8" w:rsidRPr="001B4DFD" w:rsidRDefault="00623AF8" w:rsidP="00623AF8">
      <w:pPr>
        <w:spacing w:before="100" w:beforeAutospacing="1" w:after="100" w:afterAutospacing="1"/>
        <w:jc w:val="both"/>
        <w:rPr>
          <w:rFonts w:ascii="Aptos" w:eastAsia="Times New Roman" w:hAnsi="Aptos" w:cs="Times New Roman"/>
          <w:lang w:eastAsia="de-DE"/>
        </w:rPr>
      </w:pPr>
    </w:p>
    <w:p w14:paraId="4043327B" w14:textId="77777777" w:rsidR="00623AF8" w:rsidRPr="001B4DFD" w:rsidRDefault="00623AF8" w:rsidP="00623AF8">
      <w:bookmarkStart w:id="316" w:name="_Toc167726970"/>
    </w:p>
    <w:p w14:paraId="6CF46688" w14:textId="77777777" w:rsidR="00623AF8" w:rsidRDefault="00623AF8" w:rsidP="00623AF8">
      <w:pPr>
        <w:spacing w:before="120"/>
        <w:jc w:val="both"/>
        <w:outlineLvl w:val="0"/>
        <w:rPr>
          <w:rFonts w:ascii="Aptos" w:eastAsiaTheme="majorEastAsia" w:hAnsi="Aptos" w:cstheme="majorBidi"/>
          <w:b/>
          <w:color w:val="E4342D"/>
          <w:szCs w:val="32"/>
        </w:rPr>
      </w:pPr>
    </w:p>
    <w:p w14:paraId="770E650A"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17" w:name="_Toc170983754"/>
      <w:r w:rsidRPr="001B4DFD">
        <w:rPr>
          <w:rFonts w:ascii="Aptos" w:eastAsiaTheme="majorEastAsia" w:hAnsi="Aptos" w:cstheme="majorBidi"/>
          <w:b/>
          <w:color w:val="E4342D"/>
          <w:szCs w:val="32"/>
        </w:rPr>
        <w:t>Ökologische Transformation am Binnenmarkt</w:t>
      </w:r>
      <w:bookmarkEnd w:id="316"/>
      <w:bookmarkEnd w:id="317"/>
    </w:p>
    <w:p w14:paraId="7E4737BA"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49C2D0C9" w14:textId="77777777" w:rsidTr="00875DD0">
        <w:tc>
          <w:tcPr>
            <w:tcW w:w="9060" w:type="dxa"/>
            <w:shd w:val="clear" w:color="auto" w:fill="D9D9D9" w:themeFill="background1" w:themeFillShade="D9"/>
          </w:tcPr>
          <w:p w14:paraId="0D31C798"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46396773" w14:textId="77777777" w:rsidTr="00875DD0">
        <w:tc>
          <w:tcPr>
            <w:tcW w:w="9060" w:type="dxa"/>
          </w:tcPr>
          <w:p w14:paraId="51D07C32" w14:textId="77777777" w:rsidR="00623AF8" w:rsidRPr="001B4DFD" w:rsidRDefault="00623AF8" w:rsidP="00875DD0">
            <w:pPr>
              <w:jc w:val="both"/>
              <w:rPr>
                <w:rFonts w:ascii="Aptos" w:hAnsi="Aptos"/>
                <w:b/>
                <w:bCs/>
                <w:sz w:val="22"/>
                <w:szCs w:val="22"/>
              </w:rPr>
            </w:pPr>
            <w:r w:rsidRPr="001B4DFD">
              <w:rPr>
                <w:rFonts w:ascii="Aptos" w:eastAsia="Times New Roman" w:hAnsi="Aptos"/>
                <w:sz w:val="22"/>
                <w:szCs w:val="22"/>
                <w:lang w:eastAsia="de-AT"/>
              </w:rPr>
              <w:t xml:space="preserve">Die neue EU-Taxonomie-Verordnung und einschlägige Richtlinien wie die Corporate Sustainability Reporting Directive (CSRD) zielen darauf ab, den ökologischen Umbau des Binnenmarktes zu beschleunigen. Diese Instrumente streben eine grundlegende Veränderung der Unternehmen und Märkte in den Mitgliedsstaaten an, die neben den primär ökonomischen Zielen auch ökologischen Aspekten einen hohen Stellenwert einräumt. </w:t>
            </w:r>
            <w:r w:rsidRPr="001B4DFD">
              <w:rPr>
                <w:rFonts w:ascii="Aptos" w:eastAsia="Times New Roman" w:hAnsi="Aptos"/>
                <w:b/>
                <w:bCs/>
                <w:sz w:val="22"/>
                <w:szCs w:val="22"/>
                <w:lang w:eastAsia="de-AT"/>
              </w:rPr>
              <w:t>Welche Initiativen wollen Sie vertiefen, damit die EU ihr selbst gestecktes Ziel der Klimaneutralität erreichen kann?</w:t>
            </w:r>
          </w:p>
        </w:tc>
      </w:tr>
      <w:tr w:rsidR="00623AF8" w:rsidRPr="001B4DFD" w14:paraId="4A1ED5A1" w14:textId="77777777" w:rsidTr="00875DD0">
        <w:tc>
          <w:tcPr>
            <w:tcW w:w="9060" w:type="dxa"/>
            <w:shd w:val="clear" w:color="auto" w:fill="D9D9D9" w:themeFill="background1" w:themeFillShade="D9"/>
          </w:tcPr>
          <w:p w14:paraId="23428617"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06EE2374" w14:textId="77777777" w:rsidTr="00875DD0">
        <w:tc>
          <w:tcPr>
            <w:tcW w:w="9060" w:type="dxa"/>
          </w:tcPr>
          <w:p w14:paraId="1BF660F3" w14:textId="77777777" w:rsidR="00623AF8" w:rsidRPr="001B4DFD" w:rsidRDefault="00623AF8" w:rsidP="00F63BE8">
            <w:pPr>
              <w:numPr>
                <w:ilvl w:val="0"/>
                <w:numId w:val="41"/>
              </w:numPr>
              <w:spacing w:after="160" w:line="259" w:lineRule="auto"/>
              <w:contextualSpacing/>
              <w:rPr>
                <w:rFonts w:ascii="Aptos" w:hAnsi="Aptos"/>
                <w:sz w:val="22"/>
                <w:szCs w:val="22"/>
              </w:rPr>
            </w:pPr>
            <w:r w:rsidRPr="001B4DFD">
              <w:rPr>
                <w:rFonts w:ascii="Aptos" w:hAnsi="Aptos"/>
                <w:sz w:val="22"/>
                <w:szCs w:val="22"/>
              </w:rPr>
              <w:t>Welche Rolle spielen Ihrer Meinung nach die EU-Taxonomie-Verordnung und die CSRD bei der Ökologisierung des Binnenmarkts?</w:t>
            </w:r>
          </w:p>
          <w:p w14:paraId="55F20D7D" w14:textId="77777777" w:rsidR="00623AF8" w:rsidRPr="001B4DFD" w:rsidRDefault="00623AF8" w:rsidP="00F63BE8">
            <w:pPr>
              <w:numPr>
                <w:ilvl w:val="0"/>
                <w:numId w:val="41"/>
              </w:numPr>
              <w:spacing w:after="160" w:line="259" w:lineRule="auto"/>
              <w:contextualSpacing/>
              <w:rPr>
                <w:rFonts w:ascii="Aptos" w:hAnsi="Aptos"/>
                <w:sz w:val="22"/>
                <w:szCs w:val="22"/>
              </w:rPr>
            </w:pPr>
            <w:r w:rsidRPr="001B4DFD">
              <w:rPr>
                <w:rFonts w:ascii="Aptos" w:hAnsi="Aptos"/>
                <w:sz w:val="22"/>
                <w:szCs w:val="22"/>
              </w:rPr>
              <w:t>Wie wollen Sie sicherstellen, dass der administrative Aufwand für kleine, mittlere und gemeinnützige Unternehmen bei den Berichtspflichten so gering wie möglich bleibt?</w:t>
            </w:r>
          </w:p>
          <w:p w14:paraId="41FC4BA0" w14:textId="77777777" w:rsidR="00623AF8" w:rsidRPr="001B4DFD" w:rsidRDefault="00623AF8" w:rsidP="00F63BE8">
            <w:pPr>
              <w:numPr>
                <w:ilvl w:val="0"/>
                <w:numId w:val="41"/>
              </w:numPr>
              <w:spacing w:after="160" w:line="259" w:lineRule="auto"/>
              <w:contextualSpacing/>
              <w:rPr>
                <w:rFonts w:ascii="Aptos" w:hAnsi="Aptos"/>
                <w:sz w:val="22"/>
                <w:szCs w:val="22"/>
              </w:rPr>
            </w:pPr>
            <w:r w:rsidRPr="001B4DFD">
              <w:rPr>
                <w:rFonts w:ascii="Aptos" w:hAnsi="Aptos"/>
                <w:sz w:val="22"/>
                <w:szCs w:val="22"/>
              </w:rPr>
              <w:t>Planen Sie auch regulatorische Initiativen (z.B. weitere Verbote), um den Industriestandort Europa in Richtung Klimaneutralität zu lenken?</w:t>
            </w:r>
          </w:p>
        </w:tc>
      </w:tr>
    </w:tbl>
    <w:p w14:paraId="78D2C2F3" w14:textId="77777777" w:rsidR="00623AF8" w:rsidRPr="001B4DFD" w:rsidRDefault="00623AF8" w:rsidP="00623AF8">
      <w:pPr>
        <w:spacing w:after="120"/>
        <w:jc w:val="both"/>
        <w:rPr>
          <w:rFonts w:ascii="Aptos" w:hAnsi="Aptos"/>
          <w:i/>
          <w:iCs/>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02CE7F1D" w14:textId="77777777" w:rsidTr="00875DD0">
        <w:trPr>
          <w:trHeight w:val="277"/>
        </w:trPr>
        <w:tc>
          <w:tcPr>
            <w:tcW w:w="9066" w:type="dxa"/>
            <w:shd w:val="clear" w:color="auto" w:fill="D9D9D9"/>
          </w:tcPr>
          <w:p w14:paraId="488DCBC1"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5EBAD0FB" w14:textId="77777777" w:rsidTr="00875DD0">
        <w:trPr>
          <w:trHeight w:val="1516"/>
        </w:trPr>
        <w:tc>
          <w:tcPr>
            <w:tcW w:w="9066" w:type="dxa"/>
          </w:tcPr>
          <w:p w14:paraId="46EF2066" w14:textId="77777777" w:rsidR="00623AF8" w:rsidRPr="001B4DFD" w:rsidRDefault="00623AF8" w:rsidP="00875DD0">
            <w:pPr>
              <w:spacing w:before="3" w:line="239" w:lineRule="exact"/>
              <w:jc w:val="both"/>
              <w:rPr>
                <w:rFonts w:ascii="Aptos" w:eastAsia="Arial MT" w:hAnsi="Aptos" w:cs="Arial MT"/>
                <w:color w:val="0D0D0D"/>
                <w:sz w:val="22"/>
                <w:szCs w:val="22"/>
                <w:lang w:val="de-AT"/>
              </w:rPr>
            </w:pPr>
            <w:r w:rsidRPr="001B4DFD">
              <w:rPr>
                <w:rFonts w:ascii="Aptos" w:eastAsia="Arial MT" w:hAnsi="Aptos" w:cs="Arial MT"/>
                <w:color w:val="0D0D0D"/>
                <w:sz w:val="22"/>
                <w:szCs w:val="22"/>
                <w:lang w:val="de-AT"/>
              </w:rPr>
              <w:t>Die EU-Taxonomie wurde am 12. Juni 2020 vom Europäischen Rat und dem Europäischen Parlament als Verordnung verabschiedet. Die Taxonomie-Verordnung regelt, was ökologisch nachhaltige Investitionen sind und erweitert die Offenlegungsverordnung durch die Corporate Sustainability Reporting Directive (CSRD). Wesentliches Ziel der EU-Taxonomie ist es, auf den Finanzmärkten Lenkungseffekte in Richtung ökologisch nachhaltiger Investitionen und Finanzprodukte zu erzielen und damit den ökologischen Umbau des Binnenmarktes zu beschleunigen. Die Verordnung ist damit einerseits eine Chance, Geschäftsmodelle sowie frisches privates Kapital in nachhaltige Projekte zu lenken. Auf der anderen Seite ist damit ein erheblicher administrativer Aufwand verbunden, der insbesondere die Datenerhebung und das klassische Berichtswesen betrifft. Aus der Perspektive der Daseinsvorsorge stehen leistbare Dienstleistungen für die EU-Bürger:innen im Vordergrund, z.B. günstige öffentliche Mobilität, Zugang zu erschwinglichem Wohnraum und Energie. Öffentliche und kommunale Unternehmen, die vorrangig diese Dienstleistungen erbringen, weisen vehement darauf hin, dass ökologische Ziele nicht im Widerspruch zu sozialen Zielen stehen dürfen. In diesem Zusammenhang ist es wichtig, dass der administrative Aufwand, z.B. für die Berichterstattung, so gering wie möglich gehalten wird. Ein weiterer wesentlicher Baustein für die Akteure der Daseinsvorsorge ist die Planbarkeit; in diesem Zusammenhang ist zu diskutieren, ob weitere regulatorische Initiativen in Richtung Klimaneutralität geplant sind, die den Industriestandort Europa belasten.</w:t>
            </w:r>
          </w:p>
        </w:tc>
      </w:tr>
    </w:tbl>
    <w:p w14:paraId="3FF01B8E" w14:textId="77777777" w:rsidR="00623AF8" w:rsidRPr="001B4DFD" w:rsidRDefault="00623AF8" w:rsidP="00623AF8">
      <w:pPr>
        <w:spacing w:after="120"/>
        <w:jc w:val="both"/>
        <w:rPr>
          <w:rFonts w:ascii="Aptos" w:hAnsi="Aptos"/>
          <w:i/>
          <w:iCs/>
          <w:sz w:val="22"/>
          <w:szCs w:val="22"/>
          <w:u w:val="single"/>
        </w:rPr>
      </w:pPr>
    </w:p>
    <w:p w14:paraId="795DDF6A" w14:textId="77777777" w:rsidR="00623AF8" w:rsidRPr="001B4DFD" w:rsidRDefault="00623AF8" w:rsidP="00623AF8">
      <w:pPr>
        <w:jc w:val="both"/>
        <w:rPr>
          <w:rFonts w:ascii="Aptos" w:hAnsi="Aptos"/>
          <w:sz w:val="22"/>
          <w:szCs w:val="22"/>
        </w:rPr>
      </w:pPr>
    </w:p>
    <w:p w14:paraId="2150D4A1" w14:textId="77777777" w:rsidR="00623AF8" w:rsidRPr="001B4DFD" w:rsidRDefault="00623AF8" w:rsidP="00623AF8">
      <w:pPr>
        <w:jc w:val="both"/>
        <w:rPr>
          <w:rFonts w:ascii="Aptos" w:hAnsi="Aptos"/>
          <w:sz w:val="22"/>
          <w:szCs w:val="22"/>
        </w:rPr>
      </w:pPr>
    </w:p>
    <w:p w14:paraId="34F9E65A" w14:textId="77777777" w:rsidR="00623AF8" w:rsidRPr="001B4DFD" w:rsidRDefault="00623AF8" w:rsidP="00623AF8">
      <w:pPr>
        <w:jc w:val="both"/>
        <w:rPr>
          <w:rFonts w:ascii="Aptos" w:hAnsi="Aptos"/>
          <w:sz w:val="22"/>
          <w:szCs w:val="22"/>
        </w:rPr>
      </w:pPr>
    </w:p>
    <w:p w14:paraId="7206D792" w14:textId="77777777" w:rsidR="00623AF8" w:rsidRPr="001B4DFD" w:rsidRDefault="00623AF8" w:rsidP="00623AF8">
      <w:pPr>
        <w:jc w:val="both"/>
        <w:rPr>
          <w:rFonts w:ascii="Aptos" w:hAnsi="Aptos"/>
          <w:sz w:val="22"/>
          <w:szCs w:val="22"/>
        </w:rPr>
      </w:pPr>
    </w:p>
    <w:p w14:paraId="0B88E3D1" w14:textId="77777777" w:rsidR="00623AF8" w:rsidRPr="001B4DFD" w:rsidRDefault="00623AF8" w:rsidP="00623AF8">
      <w:pPr>
        <w:jc w:val="both"/>
        <w:rPr>
          <w:rFonts w:ascii="Aptos" w:hAnsi="Aptos"/>
          <w:sz w:val="22"/>
          <w:szCs w:val="22"/>
        </w:rPr>
      </w:pPr>
    </w:p>
    <w:p w14:paraId="1D98926F" w14:textId="77777777" w:rsidR="00623AF8" w:rsidRPr="001B4DFD" w:rsidRDefault="00623AF8" w:rsidP="00623AF8">
      <w:pPr>
        <w:jc w:val="both"/>
        <w:rPr>
          <w:rFonts w:ascii="Aptos" w:hAnsi="Aptos"/>
          <w:sz w:val="22"/>
          <w:szCs w:val="22"/>
        </w:rPr>
      </w:pPr>
    </w:p>
    <w:p w14:paraId="01366712" w14:textId="77777777" w:rsidR="00623AF8" w:rsidRPr="001B4DFD" w:rsidRDefault="00623AF8" w:rsidP="00623AF8">
      <w:pPr>
        <w:jc w:val="both"/>
        <w:rPr>
          <w:rFonts w:ascii="Aptos" w:hAnsi="Aptos"/>
          <w:sz w:val="22"/>
          <w:szCs w:val="22"/>
        </w:rPr>
      </w:pPr>
    </w:p>
    <w:p w14:paraId="1F1CE09A" w14:textId="77777777" w:rsidR="00623AF8" w:rsidRPr="001B4DFD" w:rsidRDefault="00623AF8" w:rsidP="00623AF8">
      <w:bookmarkStart w:id="318" w:name="_Toc167726971"/>
    </w:p>
    <w:p w14:paraId="31E13D3A" w14:textId="77777777" w:rsidR="00623AF8" w:rsidRPr="001B4DFD" w:rsidRDefault="00623AF8" w:rsidP="00623AF8"/>
    <w:p w14:paraId="28F6B1C7" w14:textId="77777777" w:rsidR="00623AF8" w:rsidRPr="001B4DFD" w:rsidRDefault="00623AF8" w:rsidP="00623AF8"/>
    <w:p w14:paraId="1B0ED701" w14:textId="77777777" w:rsidR="00623AF8" w:rsidRPr="001B4DFD" w:rsidRDefault="00623AF8" w:rsidP="00623AF8"/>
    <w:p w14:paraId="235B09EF" w14:textId="77777777" w:rsidR="00623AF8" w:rsidRPr="001B4DFD" w:rsidRDefault="00623AF8" w:rsidP="00623AF8"/>
    <w:p w14:paraId="7698D95E"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19" w:name="_Toc170983755"/>
      <w:r w:rsidRPr="001B4DFD">
        <w:rPr>
          <w:rFonts w:ascii="Aptos" w:eastAsiaTheme="majorEastAsia" w:hAnsi="Aptos" w:cstheme="majorBidi"/>
          <w:b/>
          <w:color w:val="E4342D"/>
          <w:szCs w:val="32"/>
        </w:rPr>
        <w:t>Vergleichbare Indikatoren und Datengrundlage für Entscheidungsprozesse</w:t>
      </w:r>
      <w:bookmarkEnd w:id="318"/>
      <w:bookmarkEnd w:id="319"/>
    </w:p>
    <w:p w14:paraId="60D7F4E7"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0E59D568" w14:textId="77777777" w:rsidTr="00875DD0">
        <w:tc>
          <w:tcPr>
            <w:tcW w:w="9060" w:type="dxa"/>
            <w:shd w:val="clear" w:color="auto" w:fill="D9D9D9" w:themeFill="background1" w:themeFillShade="D9"/>
          </w:tcPr>
          <w:p w14:paraId="57DB2CFD"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2A9A6507" w14:textId="77777777" w:rsidTr="00875DD0">
        <w:tc>
          <w:tcPr>
            <w:tcW w:w="9060" w:type="dxa"/>
          </w:tcPr>
          <w:p w14:paraId="275CB50C" w14:textId="77777777" w:rsidR="00623AF8" w:rsidRPr="001B4DFD" w:rsidRDefault="00623AF8" w:rsidP="00875DD0">
            <w:pPr>
              <w:spacing w:before="120" w:after="120"/>
              <w:jc w:val="both"/>
              <w:rPr>
                <w:rFonts w:ascii="Aptos" w:hAnsi="Aptos"/>
                <w:b/>
                <w:bCs/>
                <w:highlight w:val="yellow"/>
              </w:rPr>
            </w:pPr>
            <w:r w:rsidRPr="001B4DFD">
              <w:rPr>
                <w:rFonts w:ascii="Aptos" w:hAnsi="Aptos" w:cs="Segoe UI"/>
                <w:color w:val="0D0D0D"/>
                <w:sz w:val="22"/>
                <w:szCs w:val="22"/>
                <w:shd w:val="clear" w:color="auto" w:fill="FFFFFF"/>
              </w:rPr>
              <w:t xml:space="preserve">Vergleichbare Indikatoren und robuste Daten sind unerlässlich, damit Entscheidungsträger:innen die richtigen Entscheidungen treffen können, da sie eine objektive Basis für die Bewertung von Problemen und der Wirksamkeit von Maßnahmen bieten. Dies ist insbesondere auf EU-Ebene wichtig, um die europäischen Ziele zu erreichen und eine kohärente Politikgestaltung zu gewährleisten. Vergleichbare Indikatoren und Daten sind daher Voraussetzung für eine effektive Planung, Ressourcenallokation und Politikentwicklung, um Herausforderungen zu bewältigen und positive Veränderungen zu fördern. </w:t>
            </w:r>
            <w:r w:rsidRPr="001B4DFD">
              <w:rPr>
                <w:rFonts w:ascii="Aptos" w:hAnsi="Aptos" w:cs="Segoe UI"/>
                <w:b/>
                <w:bCs/>
                <w:color w:val="0D0D0D"/>
                <w:sz w:val="22"/>
                <w:szCs w:val="22"/>
                <w:shd w:val="clear" w:color="auto" w:fill="FFFFFF"/>
              </w:rPr>
              <w:t>Wie möchten Sie sicherstellen, dass städtische Daten EU-weit in einer quantitativen Qualität erhoben werden, damit vergleichbare Indikatoren für Entscheidungsträger:innen und Experten zur Verfügung stehen?</w:t>
            </w:r>
          </w:p>
        </w:tc>
      </w:tr>
      <w:tr w:rsidR="00623AF8" w:rsidRPr="001B4DFD" w14:paraId="47533C16" w14:textId="77777777" w:rsidTr="00875DD0">
        <w:tc>
          <w:tcPr>
            <w:tcW w:w="9060" w:type="dxa"/>
            <w:shd w:val="clear" w:color="auto" w:fill="D9D9D9" w:themeFill="background1" w:themeFillShade="D9"/>
          </w:tcPr>
          <w:p w14:paraId="002284F4"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0F8FBD06" w14:textId="77777777" w:rsidTr="00875DD0">
        <w:tc>
          <w:tcPr>
            <w:tcW w:w="9060" w:type="dxa"/>
          </w:tcPr>
          <w:p w14:paraId="5F3501B7" w14:textId="77777777" w:rsidR="00623AF8" w:rsidRPr="001B4DFD" w:rsidRDefault="00623AF8" w:rsidP="00F63BE8">
            <w:pPr>
              <w:numPr>
                <w:ilvl w:val="0"/>
                <w:numId w:val="14"/>
              </w:numPr>
              <w:spacing w:before="120" w:after="120"/>
              <w:ind w:left="714" w:hanging="357"/>
              <w:contextualSpacing/>
              <w:rPr>
                <w:rFonts w:ascii="Aptos" w:hAnsi="Aptos"/>
                <w:sz w:val="22"/>
                <w:szCs w:val="22"/>
              </w:rPr>
            </w:pPr>
            <w:r w:rsidRPr="001B4DFD">
              <w:rPr>
                <w:rFonts w:ascii="Aptos" w:hAnsi="Aptos"/>
                <w:sz w:val="22"/>
                <w:szCs w:val="22"/>
              </w:rPr>
              <w:t>Daten sind nicht nur Voraussetzung für gute Entscheidungen, sie können auch sensible Informationen enthalten: Wie wollen Sie sicherstellen, dass sensible Daten der kritischen Infrastruktur in öffentlicher und kommunaler Hand bleiben?</w:t>
            </w:r>
          </w:p>
        </w:tc>
      </w:tr>
    </w:tbl>
    <w:p w14:paraId="1853461B"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3B68F1C0" w14:textId="77777777" w:rsidTr="00875DD0">
        <w:trPr>
          <w:trHeight w:val="277"/>
        </w:trPr>
        <w:tc>
          <w:tcPr>
            <w:tcW w:w="9066" w:type="dxa"/>
            <w:shd w:val="clear" w:color="auto" w:fill="D9D9D9"/>
          </w:tcPr>
          <w:p w14:paraId="4DB532C1"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160604D5" w14:textId="77777777" w:rsidTr="00875DD0">
        <w:trPr>
          <w:trHeight w:val="756"/>
        </w:trPr>
        <w:tc>
          <w:tcPr>
            <w:tcW w:w="9066" w:type="dxa"/>
          </w:tcPr>
          <w:p w14:paraId="440F3235" w14:textId="77777777" w:rsidR="00623AF8" w:rsidRPr="001B4DFD" w:rsidRDefault="00623AF8" w:rsidP="00875DD0">
            <w:pPr>
              <w:spacing w:before="3" w:line="239" w:lineRule="exact"/>
              <w:jc w:val="both"/>
              <w:rPr>
                <w:rFonts w:ascii="Aptos" w:eastAsia="Arial MT" w:hAnsi="Aptos" w:cs="Arial MT"/>
                <w:color w:val="0D0D0D"/>
                <w:sz w:val="22"/>
                <w:szCs w:val="22"/>
                <w:lang w:val="de-AT"/>
              </w:rPr>
            </w:pPr>
            <w:r w:rsidRPr="001B4DFD">
              <w:rPr>
                <w:rFonts w:ascii="Aptos" w:eastAsia="Arial MT" w:hAnsi="Aptos" w:cs="Arial MT"/>
                <w:color w:val="0D0D0D"/>
                <w:sz w:val="22"/>
                <w:szCs w:val="22"/>
                <w:lang w:val="de-AT"/>
              </w:rPr>
              <w:t>Vergleichbare Indikatoren und Datengrundlagen in der EU sind wichtig für Entscheidungsprozesse, da sie es ermöglichen, die Situationen und Bedürfnisse der verschiedenen Mitgliedstaaten und Regionen zu erfassen und zu bewerten. Durch harmonisierte Daten können politische Ziele, Maßnahmen und Ergebnisse besser abgestimmt, überwacht und bewertet werden. Darüber hinaus können vergleichbare Daten den Wissensaustausch und die Zusammenarbeit fördern. Vergleichbare Daten sind daher nicht nur für den wissenschaftlichen Diskurs von Bedeutung, sondern tragen auch zu einer effektiven Planung, Ressourcenallokation und Politikgestaltung in Europa bei. In diesem Zusammenhang ist nicht nur die vergleichbare Qualität von Indikatoren und Datenbanken wichtig, sondern auch Initiativen zum Schutz sensibler Daten in Europa, insbesondere von Daten, die kritische Infrastrukturen betreffen. Diese Infrastrukturen - z.B. Daten für den Betrieb von Kraftwerken oder den öffentlichen Verkehr - werden sehr häufig von öffentlichen oder kommunalen Unternehmen bereitgestellt. Vor diesem Hintergrund ist es wichtig, dass diese Akteure die Ressourcen erhalten und aufbauen können, die sie zum Schutz der Infrastruktur benötigen.</w:t>
            </w:r>
          </w:p>
        </w:tc>
      </w:tr>
    </w:tbl>
    <w:p w14:paraId="7FF4103B" w14:textId="77777777" w:rsidR="00623AF8" w:rsidRPr="001B4DFD" w:rsidRDefault="00623AF8" w:rsidP="00623AF8">
      <w:pPr>
        <w:spacing w:after="120"/>
        <w:jc w:val="both"/>
        <w:rPr>
          <w:rFonts w:ascii="Aptos" w:hAnsi="Aptos"/>
          <w:i/>
          <w:iCs/>
          <w:sz w:val="22"/>
          <w:szCs w:val="22"/>
          <w:u w:val="single"/>
        </w:rPr>
      </w:pPr>
    </w:p>
    <w:p w14:paraId="511F91C2" w14:textId="77777777" w:rsidR="00623AF8" w:rsidRPr="001B4DFD" w:rsidRDefault="00623AF8" w:rsidP="00623AF8">
      <w:pPr>
        <w:rPr>
          <w:rFonts w:ascii="Aptos" w:hAnsi="Aptos"/>
        </w:rPr>
      </w:pPr>
    </w:p>
    <w:p w14:paraId="43278FBA" w14:textId="77777777" w:rsidR="00623AF8" w:rsidRPr="001B4DFD" w:rsidRDefault="00623AF8" w:rsidP="00623AF8">
      <w:pPr>
        <w:rPr>
          <w:rFonts w:ascii="Aptos" w:hAnsi="Aptos"/>
        </w:rPr>
      </w:pPr>
    </w:p>
    <w:p w14:paraId="5FC19AA6" w14:textId="77777777" w:rsidR="00623AF8" w:rsidRPr="001B4DFD" w:rsidRDefault="00623AF8" w:rsidP="00623AF8">
      <w:pPr>
        <w:rPr>
          <w:rFonts w:ascii="Aptos" w:hAnsi="Aptos"/>
        </w:rPr>
      </w:pPr>
    </w:p>
    <w:p w14:paraId="2156C878" w14:textId="77777777" w:rsidR="00623AF8" w:rsidRDefault="00623AF8" w:rsidP="00623AF8">
      <w:pPr>
        <w:rPr>
          <w:rFonts w:ascii="Aptos" w:hAnsi="Aptos"/>
        </w:rPr>
      </w:pPr>
    </w:p>
    <w:p w14:paraId="1955683B" w14:textId="77777777" w:rsidR="00623AF8" w:rsidRDefault="00623AF8" w:rsidP="00623AF8">
      <w:pPr>
        <w:rPr>
          <w:rFonts w:ascii="Aptos" w:hAnsi="Aptos"/>
        </w:rPr>
      </w:pPr>
    </w:p>
    <w:p w14:paraId="7C8C6198" w14:textId="77777777" w:rsidR="00623AF8" w:rsidRPr="001B4DFD" w:rsidRDefault="00623AF8" w:rsidP="00623AF8">
      <w:pPr>
        <w:rPr>
          <w:rFonts w:ascii="Aptos" w:hAnsi="Aptos"/>
        </w:rPr>
      </w:pPr>
    </w:p>
    <w:p w14:paraId="3088ECF8" w14:textId="77777777" w:rsidR="00623AF8" w:rsidRPr="001B4DFD" w:rsidRDefault="00623AF8" w:rsidP="00623AF8">
      <w:pPr>
        <w:rPr>
          <w:rFonts w:ascii="Aptos" w:hAnsi="Aptos"/>
        </w:rPr>
      </w:pPr>
    </w:p>
    <w:p w14:paraId="0FF7BD8A" w14:textId="77777777" w:rsidR="00623AF8" w:rsidRPr="001B4DFD" w:rsidRDefault="00623AF8" w:rsidP="00623AF8">
      <w:pPr>
        <w:rPr>
          <w:rFonts w:ascii="Aptos" w:hAnsi="Aptos"/>
        </w:rPr>
      </w:pPr>
    </w:p>
    <w:p w14:paraId="2E2F09A3" w14:textId="77777777" w:rsidR="00623AF8" w:rsidRPr="001B4DFD" w:rsidRDefault="00623AF8" w:rsidP="00623AF8">
      <w:pPr>
        <w:rPr>
          <w:rFonts w:ascii="Aptos" w:hAnsi="Aptos"/>
        </w:rPr>
      </w:pPr>
    </w:p>
    <w:p w14:paraId="5D917606" w14:textId="77777777" w:rsidR="00623AF8" w:rsidRPr="001B4DFD" w:rsidRDefault="00623AF8" w:rsidP="00623AF8">
      <w:pPr>
        <w:rPr>
          <w:rFonts w:ascii="Aptos" w:hAnsi="Aptos"/>
        </w:rPr>
      </w:pPr>
    </w:p>
    <w:p w14:paraId="3069ACC8" w14:textId="77777777" w:rsidR="00623AF8" w:rsidRPr="001B4DFD" w:rsidRDefault="00623AF8" w:rsidP="00623AF8">
      <w:pPr>
        <w:rPr>
          <w:rFonts w:ascii="Aptos" w:hAnsi="Aptos"/>
        </w:rPr>
      </w:pPr>
    </w:p>
    <w:p w14:paraId="61163E02" w14:textId="77777777" w:rsidR="00623AF8" w:rsidRPr="001B4DFD" w:rsidRDefault="00623AF8" w:rsidP="00623AF8">
      <w:pPr>
        <w:rPr>
          <w:rFonts w:ascii="Aptos" w:hAnsi="Aptos"/>
        </w:rPr>
      </w:pPr>
    </w:p>
    <w:p w14:paraId="2D55CC43" w14:textId="77777777" w:rsidR="00623AF8" w:rsidRPr="001B4DFD" w:rsidRDefault="00623AF8" w:rsidP="00623AF8">
      <w:pPr>
        <w:rPr>
          <w:rFonts w:ascii="Aptos" w:hAnsi="Aptos"/>
        </w:rPr>
      </w:pPr>
    </w:p>
    <w:p w14:paraId="4F89F1A4" w14:textId="77777777" w:rsidR="00623AF8" w:rsidRPr="001B4DFD" w:rsidRDefault="00623AF8" w:rsidP="00623AF8">
      <w:pPr>
        <w:rPr>
          <w:rFonts w:ascii="Aptos" w:hAnsi="Aptos"/>
        </w:rPr>
      </w:pPr>
    </w:p>
    <w:p w14:paraId="7A080F78"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20" w:name="_Toc167726972"/>
      <w:bookmarkStart w:id="321" w:name="_Toc170983756"/>
      <w:r w:rsidRPr="001B4DFD">
        <w:rPr>
          <w:rFonts w:ascii="Aptos" w:eastAsiaTheme="majorEastAsia" w:hAnsi="Aptos" w:cstheme="majorBidi"/>
          <w:b/>
          <w:color w:val="E4342D"/>
          <w:szCs w:val="32"/>
        </w:rPr>
        <w:t>Zollumgehungskonstruktionen im Onlinehandel</w:t>
      </w:r>
      <w:bookmarkEnd w:id="320"/>
      <w:bookmarkEnd w:id="321"/>
    </w:p>
    <w:p w14:paraId="22466834"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7CF0A089" w14:textId="77777777" w:rsidTr="00875DD0">
        <w:tc>
          <w:tcPr>
            <w:tcW w:w="9060" w:type="dxa"/>
            <w:shd w:val="clear" w:color="auto" w:fill="D9D9D9" w:themeFill="background1" w:themeFillShade="D9"/>
          </w:tcPr>
          <w:p w14:paraId="0218653E"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0DEB35FB" w14:textId="77777777" w:rsidTr="00875DD0">
        <w:tc>
          <w:tcPr>
            <w:tcW w:w="9060" w:type="dxa"/>
          </w:tcPr>
          <w:p w14:paraId="364B9DA3" w14:textId="77777777" w:rsidR="00623AF8" w:rsidRPr="001B4DFD" w:rsidRDefault="00623AF8" w:rsidP="00875DD0">
            <w:pPr>
              <w:spacing w:after="160" w:line="259" w:lineRule="auto"/>
              <w:jc w:val="both"/>
              <w:rPr>
                <w:rFonts w:ascii="Aptos" w:hAnsi="Aptos"/>
                <w:b/>
                <w:bCs/>
              </w:rPr>
            </w:pPr>
            <w:r w:rsidRPr="001B4DFD">
              <w:rPr>
                <w:rFonts w:ascii="Aptos" w:hAnsi="Aptos"/>
                <w:sz w:val="22"/>
                <w:szCs w:val="22"/>
              </w:rPr>
              <w:t xml:space="preserve">In den letzten Jahren ist der Umsatz des Online-Handels im europäischen Binnenmarkt stetig gestiegen. Die Industriepolitik von Drittstaaten zielt u.a. auf den Absatz von online gekauften Produkten in Europa ab und setzt damit die europäische Industrie unter Druck. Die Praktiken von Anbietern aus Drittstaaten zur Umgehung von Zöllen und Umsatzsteuern wurden optimiert. Beispielsweise umgehen asiatische Anbieter bestimmte Schwellenwerte, indem sie ihre Lieferungen in kleine Pakete aufteilen. </w:t>
            </w:r>
            <w:r w:rsidRPr="001B4DFD">
              <w:rPr>
                <w:rFonts w:ascii="Aptos" w:hAnsi="Aptos"/>
                <w:b/>
                <w:bCs/>
                <w:sz w:val="22"/>
                <w:szCs w:val="22"/>
              </w:rPr>
              <w:t>Welche Pläne haben Sie, um den Abgaben- und Mehrwertsteuerbetrug beim Online-Handel mit Drittländern einzudämmen?</w:t>
            </w:r>
          </w:p>
        </w:tc>
      </w:tr>
      <w:tr w:rsidR="00623AF8" w:rsidRPr="001B4DFD" w14:paraId="166ACBEB" w14:textId="77777777" w:rsidTr="00875DD0">
        <w:tc>
          <w:tcPr>
            <w:tcW w:w="9060" w:type="dxa"/>
            <w:shd w:val="clear" w:color="auto" w:fill="D9D9D9" w:themeFill="background1" w:themeFillShade="D9"/>
          </w:tcPr>
          <w:p w14:paraId="1382A7C4"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00C187B9" w14:textId="77777777" w:rsidTr="00875DD0">
        <w:tc>
          <w:tcPr>
            <w:tcW w:w="9060" w:type="dxa"/>
          </w:tcPr>
          <w:p w14:paraId="1A1DB550" w14:textId="77777777" w:rsidR="00623AF8" w:rsidRPr="001B4DFD" w:rsidRDefault="00623AF8" w:rsidP="00F63BE8">
            <w:pPr>
              <w:numPr>
                <w:ilvl w:val="0"/>
                <w:numId w:val="11"/>
              </w:numPr>
              <w:spacing w:before="120" w:after="120"/>
              <w:ind w:left="714" w:hanging="357"/>
              <w:contextualSpacing/>
              <w:rPr>
                <w:rFonts w:ascii="Aptos" w:hAnsi="Aptos"/>
              </w:rPr>
            </w:pPr>
            <w:r w:rsidRPr="001B4DFD">
              <w:rPr>
                <w:rFonts w:ascii="Aptos" w:hAnsi="Aptos"/>
                <w:sz w:val="22"/>
                <w:szCs w:val="22"/>
              </w:rPr>
              <w:t>Wie kann sichergestellt werden, dass die Zollbehörden mehr Kapazitäten und Kontrollbefugnisse erhalten?</w:t>
            </w:r>
          </w:p>
        </w:tc>
      </w:tr>
    </w:tbl>
    <w:p w14:paraId="1B806687"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57A30AD1" w14:textId="77777777" w:rsidTr="00875DD0">
        <w:trPr>
          <w:trHeight w:val="277"/>
        </w:trPr>
        <w:tc>
          <w:tcPr>
            <w:tcW w:w="9066" w:type="dxa"/>
            <w:shd w:val="clear" w:color="auto" w:fill="D9D9D9"/>
          </w:tcPr>
          <w:p w14:paraId="27EA03DD"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2B154453" w14:textId="77777777" w:rsidTr="00875DD0">
        <w:trPr>
          <w:trHeight w:val="4310"/>
        </w:trPr>
        <w:tc>
          <w:tcPr>
            <w:tcW w:w="9066" w:type="dxa"/>
          </w:tcPr>
          <w:p w14:paraId="24E2C7BC" w14:textId="77777777" w:rsidR="00623AF8" w:rsidRPr="001B4DFD" w:rsidRDefault="00623AF8" w:rsidP="00875DD0">
            <w:pPr>
              <w:spacing w:before="3" w:line="239" w:lineRule="exact"/>
              <w:jc w:val="both"/>
              <w:rPr>
                <w:rFonts w:ascii="Aptos" w:eastAsia="Arial MT" w:hAnsi="Aptos" w:cs="Arial MT"/>
                <w:color w:val="0D0D0D"/>
                <w:sz w:val="22"/>
                <w:szCs w:val="22"/>
                <w:lang w:val="de-AT"/>
              </w:rPr>
            </w:pPr>
            <w:r w:rsidRPr="001B4DFD">
              <w:rPr>
                <w:rFonts w:ascii="Aptos" w:eastAsia="Arial MT" w:hAnsi="Aptos" w:cs="Arial MT"/>
                <w:color w:val="0D0D0D"/>
                <w:sz w:val="22"/>
                <w:szCs w:val="22"/>
                <w:lang w:val="de-AT"/>
              </w:rPr>
              <w:t xml:space="preserve">Die Bedeutung des Online-Handels hat in den letzten Jahren stetig zugenommen und setzt viele Akteure der europäischen Wirtschaft unter Druck. Eine besondere Herausforderung stellt die Praxis vieler Anbieter aus Drittländern dar, Zölle und Umsatzsteuern durch verschiedene Methoden zu umgehen. Diese Praktiken haben sich im Laufe der Zeit verfeinert und optimiert. So nutzen beispielsweise asiatische Anbieter gezielt Schwellenwerte aus, indem sie ihre Lieferungen in kleinere Pakete aufteilen, um unter der Zollfreigrenze zu bleiben und damit zusätzliche Kosten zu vermeiden. Solche Praktiken führen nicht nur zu unlauterem Wettbewerb, sondern auch zu erheblichen Steuerausfällen für die EU-Mitgliedstaaten. Um den Steuer- und Mehrwertsteuerbetrug im Online-Handel mit Drittländern einzudämmen, bedarf es einer umfassenden Strategie. In diesem Zusammenhang sind verstärkte Kontrollen und die Einführung eines automatisierten Systems zur Überwachung von Sendungen zur frühzeitigen Erkennung verdächtiger Muster zu erwägen. Auch eine verstärkte Zusammenarbeit mit internationalen Zoll- und Steuerbehörden könnte dazu beitragen, betrügerische Aktivitäten effektiver zu bekämpfen. Darüber hinaus wäre die Einführung EU-weit einheitlicher Regelungen zur Besteuerung von Online-Käufen aus Drittstaaten eine sinnvolle Maßnahme, um bestehende Schlupflöcher zu schließen und für fairere Wettbewerbsbedingungen zu sorgen. Aus der Perspektive der Daseinsvorsorge wären regulatorische Verschärfungen wünschenswert, damit die öffentliche Hand über Steuern und Abgaben die Mittel erhält, die sie zur Aufrechterhaltung qualitativ hochwertiger öffentlicher Dienstleistungen benötigt.   </w:t>
            </w:r>
          </w:p>
        </w:tc>
      </w:tr>
    </w:tbl>
    <w:p w14:paraId="69EAF380" w14:textId="77777777" w:rsidR="00623AF8" w:rsidRPr="001B4DFD" w:rsidRDefault="00623AF8" w:rsidP="00623AF8">
      <w:pPr>
        <w:jc w:val="both"/>
        <w:rPr>
          <w:rFonts w:ascii="Aptos" w:hAnsi="Aptos"/>
          <w:bCs/>
          <w:sz w:val="22"/>
          <w:szCs w:val="22"/>
          <w:u w:val="single"/>
        </w:rPr>
      </w:pPr>
    </w:p>
    <w:p w14:paraId="758C5D0C" w14:textId="77777777" w:rsidR="00623AF8" w:rsidRPr="001B4DFD" w:rsidRDefault="00623AF8" w:rsidP="00623AF8">
      <w:pPr>
        <w:jc w:val="both"/>
        <w:rPr>
          <w:rFonts w:ascii="Aptos" w:hAnsi="Aptos"/>
          <w:bCs/>
          <w:sz w:val="22"/>
          <w:szCs w:val="22"/>
          <w:u w:val="single"/>
        </w:rPr>
      </w:pPr>
    </w:p>
    <w:p w14:paraId="24DA969D" w14:textId="77777777" w:rsidR="00623AF8" w:rsidRPr="001B4DFD" w:rsidRDefault="00623AF8" w:rsidP="00623AF8">
      <w:pPr>
        <w:jc w:val="both"/>
        <w:rPr>
          <w:rFonts w:ascii="Aptos" w:hAnsi="Aptos"/>
          <w:bCs/>
          <w:sz w:val="22"/>
          <w:szCs w:val="22"/>
          <w:u w:val="single"/>
        </w:rPr>
      </w:pPr>
    </w:p>
    <w:p w14:paraId="70D0C53F" w14:textId="77777777" w:rsidR="00623AF8" w:rsidRPr="001B4DFD" w:rsidRDefault="00623AF8" w:rsidP="00623AF8">
      <w:pPr>
        <w:jc w:val="both"/>
        <w:rPr>
          <w:rFonts w:ascii="Aptos" w:hAnsi="Aptos"/>
          <w:bCs/>
          <w:sz w:val="22"/>
          <w:szCs w:val="22"/>
          <w:u w:val="single"/>
        </w:rPr>
      </w:pPr>
    </w:p>
    <w:p w14:paraId="142BF547" w14:textId="77777777" w:rsidR="00623AF8" w:rsidRPr="001B4DFD" w:rsidRDefault="00623AF8" w:rsidP="00623AF8">
      <w:pPr>
        <w:jc w:val="both"/>
        <w:rPr>
          <w:rFonts w:ascii="Aptos" w:hAnsi="Aptos"/>
          <w:bCs/>
          <w:sz w:val="22"/>
          <w:szCs w:val="22"/>
          <w:u w:val="single"/>
        </w:rPr>
      </w:pPr>
    </w:p>
    <w:p w14:paraId="756D7424" w14:textId="77777777" w:rsidR="00623AF8" w:rsidRPr="001B4DFD" w:rsidRDefault="00623AF8" w:rsidP="00623AF8">
      <w:pPr>
        <w:jc w:val="both"/>
        <w:rPr>
          <w:rFonts w:ascii="Aptos" w:hAnsi="Aptos"/>
          <w:bCs/>
          <w:sz w:val="22"/>
          <w:szCs w:val="22"/>
          <w:u w:val="single"/>
        </w:rPr>
      </w:pPr>
    </w:p>
    <w:p w14:paraId="030D70A2" w14:textId="77777777" w:rsidR="00623AF8" w:rsidRPr="001B4DFD" w:rsidRDefault="00623AF8" w:rsidP="00623AF8">
      <w:pPr>
        <w:jc w:val="both"/>
        <w:rPr>
          <w:rFonts w:ascii="Aptos" w:hAnsi="Aptos"/>
          <w:bCs/>
          <w:sz w:val="22"/>
          <w:szCs w:val="22"/>
          <w:u w:val="single"/>
        </w:rPr>
      </w:pPr>
    </w:p>
    <w:p w14:paraId="35A6AB87" w14:textId="77777777" w:rsidR="00623AF8" w:rsidRPr="001B4DFD" w:rsidRDefault="00623AF8" w:rsidP="00623AF8">
      <w:pPr>
        <w:jc w:val="both"/>
        <w:rPr>
          <w:rFonts w:ascii="Aptos" w:hAnsi="Aptos"/>
          <w:bCs/>
          <w:sz w:val="22"/>
          <w:szCs w:val="22"/>
          <w:u w:val="single"/>
        </w:rPr>
      </w:pPr>
    </w:p>
    <w:p w14:paraId="560F281F" w14:textId="77777777" w:rsidR="00623AF8" w:rsidRPr="001B4DFD" w:rsidRDefault="00623AF8" w:rsidP="00623AF8">
      <w:pPr>
        <w:jc w:val="both"/>
        <w:rPr>
          <w:rFonts w:ascii="Aptos" w:hAnsi="Aptos"/>
          <w:bCs/>
          <w:sz w:val="22"/>
          <w:szCs w:val="22"/>
          <w:u w:val="single"/>
        </w:rPr>
      </w:pPr>
    </w:p>
    <w:p w14:paraId="1E830215" w14:textId="77777777" w:rsidR="00623AF8" w:rsidRPr="001B4DFD" w:rsidRDefault="00623AF8" w:rsidP="00623AF8">
      <w:pPr>
        <w:jc w:val="both"/>
        <w:rPr>
          <w:rFonts w:ascii="Aptos" w:hAnsi="Aptos"/>
          <w:bCs/>
          <w:sz w:val="22"/>
          <w:szCs w:val="22"/>
          <w:u w:val="single"/>
        </w:rPr>
      </w:pPr>
    </w:p>
    <w:p w14:paraId="22F3AAC9" w14:textId="77777777" w:rsidR="00623AF8" w:rsidRPr="001B4DFD" w:rsidRDefault="00623AF8" w:rsidP="00623AF8">
      <w:pPr>
        <w:jc w:val="both"/>
        <w:rPr>
          <w:rFonts w:ascii="Aptos" w:hAnsi="Aptos"/>
          <w:bCs/>
          <w:sz w:val="22"/>
          <w:szCs w:val="22"/>
          <w:u w:val="single"/>
        </w:rPr>
      </w:pPr>
    </w:p>
    <w:p w14:paraId="78EB9B9C" w14:textId="77777777" w:rsidR="00623AF8" w:rsidRPr="001B4DFD" w:rsidRDefault="00623AF8" w:rsidP="00623AF8">
      <w:pPr>
        <w:jc w:val="both"/>
        <w:rPr>
          <w:rFonts w:ascii="Aptos" w:hAnsi="Aptos"/>
          <w:bCs/>
          <w:sz w:val="22"/>
          <w:szCs w:val="22"/>
          <w:u w:val="single"/>
        </w:rPr>
      </w:pPr>
    </w:p>
    <w:p w14:paraId="01BDB187" w14:textId="77777777" w:rsidR="00623AF8" w:rsidRPr="001B4DFD" w:rsidRDefault="00623AF8" w:rsidP="00623AF8">
      <w:pPr>
        <w:jc w:val="both"/>
        <w:rPr>
          <w:rFonts w:ascii="Aptos" w:hAnsi="Aptos"/>
          <w:bCs/>
          <w:sz w:val="22"/>
          <w:szCs w:val="22"/>
          <w:u w:val="single"/>
        </w:rPr>
      </w:pPr>
    </w:p>
    <w:p w14:paraId="65503346" w14:textId="77777777" w:rsidR="00623AF8" w:rsidRPr="001B4DFD" w:rsidRDefault="00623AF8" w:rsidP="00623AF8">
      <w:pPr>
        <w:rPr>
          <w:rFonts w:ascii="Aptos" w:hAnsi="Aptos"/>
        </w:rPr>
      </w:pPr>
    </w:p>
    <w:p w14:paraId="50CBFD37" w14:textId="77777777" w:rsidR="00623AF8" w:rsidRPr="001B4DFD" w:rsidRDefault="00623AF8" w:rsidP="00623AF8">
      <w:pPr>
        <w:rPr>
          <w:rFonts w:ascii="Aptos" w:hAnsi="Aptos"/>
        </w:rPr>
      </w:pPr>
    </w:p>
    <w:p w14:paraId="3CBE1055"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22" w:name="_Toc167726973"/>
      <w:bookmarkStart w:id="323" w:name="_Toc170983757"/>
      <w:r w:rsidRPr="001B4DFD">
        <w:rPr>
          <w:rFonts w:ascii="Aptos" w:eastAsiaTheme="majorEastAsia" w:hAnsi="Aptos" w:cstheme="majorBidi"/>
          <w:b/>
          <w:color w:val="E4342D"/>
          <w:szCs w:val="32"/>
        </w:rPr>
        <w:t>Wettbewerbsverzerrung durch Importprodukte aus Drittstaaten – CBAM</w:t>
      </w:r>
      <w:bookmarkEnd w:id="322"/>
      <w:bookmarkEnd w:id="323"/>
    </w:p>
    <w:p w14:paraId="62854F30"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265229AD" w14:textId="77777777" w:rsidTr="00875DD0">
        <w:tc>
          <w:tcPr>
            <w:tcW w:w="9060" w:type="dxa"/>
            <w:shd w:val="clear" w:color="auto" w:fill="D9D9D9" w:themeFill="background1" w:themeFillShade="D9"/>
          </w:tcPr>
          <w:p w14:paraId="2F3BDB20"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0D49090E" w14:textId="77777777" w:rsidTr="00875DD0">
        <w:tc>
          <w:tcPr>
            <w:tcW w:w="9060" w:type="dxa"/>
          </w:tcPr>
          <w:p w14:paraId="39159D87" w14:textId="77777777" w:rsidR="00623AF8" w:rsidRPr="001B4DFD" w:rsidRDefault="00623AF8" w:rsidP="00875DD0">
            <w:pPr>
              <w:spacing w:before="120" w:after="120"/>
              <w:jc w:val="both"/>
              <w:rPr>
                <w:rFonts w:ascii="Aptos" w:hAnsi="Aptos" w:cs="Segoe UI"/>
                <w:color w:val="0D0D0D"/>
                <w:highlight w:val="yellow"/>
                <w:shd w:val="clear" w:color="auto" w:fill="FFFFFF"/>
              </w:rPr>
            </w:pPr>
            <w:r w:rsidRPr="001B4DFD">
              <w:rPr>
                <w:rFonts w:ascii="Aptos" w:hAnsi="Aptos" w:cs="Segoe UI"/>
                <w:color w:val="0D0D0D"/>
                <w:sz w:val="22"/>
                <w:szCs w:val="22"/>
                <w:shd w:val="clear" w:color="auto" w:fill="FFFFFF"/>
              </w:rPr>
              <w:t xml:space="preserve">Importierte Produkte aus anderen Drittländern können den Wettbewerb in der EU verzerren, indem Importeure Kostenvorteile durch niedrigere Umwelt- oder Arbeitsstandards erzielen.  Der Carbon Border Adjustment Mechanism (CBAM) ist eine Initiative der Europäischen Union zur Regulierung von Importen aus Ländern mit niedrigeren Umweltstandards. Er soll sicherstellen, dass importierte Produkte den gleichen CO2-Emissionsstandards unterliegen wie heimische Waren, indem auf kohlenstoffintensive Importe eine Abgabe erhoben wird. </w:t>
            </w:r>
            <w:r w:rsidRPr="001B4DFD">
              <w:rPr>
                <w:rFonts w:ascii="Aptos" w:hAnsi="Aptos" w:cs="Segoe UI"/>
                <w:b/>
                <w:bCs/>
                <w:color w:val="0D0D0D"/>
                <w:sz w:val="22"/>
                <w:szCs w:val="22"/>
                <w:shd w:val="clear" w:color="auto" w:fill="FFFFFF"/>
              </w:rPr>
              <w:t>Wie stehen Sie zum Carbon Border Adjustment Mechanism (CBAM) und planen Sie weitere Initiativen, um Wettbewerbsverzerrungen bei Importprodukten aus Drittländern zu verhindern?</w:t>
            </w:r>
          </w:p>
        </w:tc>
      </w:tr>
      <w:tr w:rsidR="00623AF8" w:rsidRPr="001B4DFD" w14:paraId="3473DFB7" w14:textId="77777777" w:rsidTr="00875DD0">
        <w:tc>
          <w:tcPr>
            <w:tcW w:w="9060" w:type="dxa"/>
            <w:shd w:val="clear" w:color="auto" w:fill="D9D9D9" w:themeFill="background1" w:themeFillShade="D9"/>
          </w:tcPr>
          <w:p w14:paraId="45ED1CBA"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6E8DEF3D" w14:textId="77777777" w:rsidTr="00875DD0">
        <w:tc>
          <w:tcPr>
            <w:tcW w:w="9060" w:type="dxa"/>
          </w:tcPr>
          <w:p w14:paraId="5C5A48A5" w14:textId="77777777" w:rsidR="00623AF8" w:rsidRPr="001B4DFD" w:rsidRDefault="00623AF8" w:rsidP="00F63BE8">
            <w:pPr>
              <w:numPr>
                <w:ilvl w:val="0"/>
                <w:numId w:val="15"/>
              </w:numPr>
              <w:contextualSpacing/>
              <w:rPr>
                <w:rFonts w:ascii="Aptos" w:hAnsi="Aptos"/>
                <w:sz w:val="22"/>
                <w:szCs w:val="22"/>
              </w:rPr>
            </w:pPr>
            <w:r w:rsidRPr="001B4DFD">
              <w:rPr>
                <w:rFonts w:ascii="Aptos" w:hAnsi="Aptos"/>
                <w:sz w:val="22"/>
                <w:szCs w:val="22"/>
              </w:rPr>
              <w:t xml:space="preserve">Planen Sie Initiativen, um wettbewerbsverzerrende Subventionen von Importeuren aus Drittländern einzudämmen? </w:t>
            </w:r>
          </w:p>
          <w:p w14:paraId="0EA1C1A1" w14:textId="77777777" w:rsidR="00623AF8" w:rsidRPr="001B4DFD" w:rsidRDefault="00623AF8" w:rsidP="00F63BE8">
            <w:pPr>
              <w:numPr>
                <w:ilvl w:val="0"/>
                <w:numId w:val="15"/>
              </w:numPr>
              <w:contextualSpacing/>
              <w:rPr>
                <w:rFonts w:ascii="Aptos" w:hAnsi="Aptos"/>
                <w:sz w:val="22"/>
                <w:szCs w:val="22"/>
                <w:lang w:val="de-DE"/>
              </w:rPr>
            </w:pPr>
            <w:r w:rsidRPr="001B4DFD">
              <w:rPr>
                <w:rFonts w:ascii="Aptos" w:hAnsi="Aptos"/>
                <w:sz w:val="22"/>
                <w:szCs w:val="22"/>
              </w:rPr>
              <w:t>Welche weiteren Initiativen planen Sie, um gleiche Ausgangsbedingungen für EU-Erzeuger und Importeure aus Drittländern zu schaffen?</w:t>
            </w:r>
          </w:p>
        </w:tc>
      </w:tr>
    </w:tbl>
    <w:p w14:paraId="561FE860" w14:textId="77777777" w:rsidR="00623AF8" w:rsidRPr="001B4DFD" w:rsidRDefault="00623AF8" w:rsidP="00623AF8">
      <w:pPr>
        <w:spacing w:after="120"/>
        <w:jc w:val="both"/>
        <w:rPr>
          <w:rFonts w:ascii="Aptos" w:hAnsi="Aptos"/>
          <w:i/>
          <w:iCs/>
          <w:sz w:val="22"/>
          <w:szCs w:val="22"/>
          <w:u w:val="single"/>
        </w:rPr>
      </w:pPr>
    </w:p>
    <w:tbl>
      <w:tblPr>
        <w:tblStyle w:val="TableNormal2"/>
        <w:tblW w:w="9054" w:type="dxa"/>
        <w:tblLayout w:type="fixed"/>
        <w:tblLook w:val="01E0" w:firstRow="1" w:lastRow="1" w:firstColumn="1" w:lastColumn="1" w:noHBand="0" w:noVBand="0"/>
      </w:tblPr>
      <w:tblGrid>
        <w:gridCol w:w="9054"/>
      </w:tblGrid>
      <w:tr w:rsidR="00623AF8" w:rsidRPr="001B4DFD" w14:paraId="46F093A2" w14:textId="77777777" w:rsidTr="00875DD0">
        <w:trPr>
          <w:trHeight w:val="242"/>
        </w:trPr>
        <w:tc>
          <w:tcPr>
            <w:tcW w:w="9054" w:type="dxa"/>
            <w:shd w:val="clear" w:color="auto" w:fill="D9D9D9"/>
          </w:tcPr>
          <w:p w14:paraId="21229666"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74B7BB06" w14:textId="77777777" w:rsidTr="00875DD0">
        <w:trPr>
          <w:trHeight w:val="3773"/>
        </w:trPr>
        <w:tc>
          <w:tcPr>
            <w:tcW w:w="9054" w:type="dxa"/>
          </w:tcPr>
          <w:p w14:paraId="165C79C2" w14:textId="77777777" w:rsidR="00623AF8" w:rsidRPr="001B4DFD" w:rsidRDefault="00623AF8" w:rsidP="00875DD0">
            <w:pPr>
              <w:spacing w:before="3" w:line="239" w:lineRule="exact"/>
              <w:jc w:val="both"/>
              <w:rPr>
                <w:rFonts w:ascii="Aptos" w:eastAsia="Arial MT" w:hAnsi="Aptos" w:cs="Arial MT"/>
                <w:color w:val="0D0D0D"/>
                <w:sz w:val="22"/>
                <w:szCs w:val="22"/>
                <w:lang w:val="de-AT"/>
              </w:rPr>
            </w:pPr>
            <w:r w:rsidRPr="001B4DFD">
              <w:rPr>
                <w:rFonts w:ascii="Aptos" w:eastAsia="Arial MT" w:hAnsi="Aptos" w:cs="Arial MT"/>
                <w:color w:val="0D0D0D"/>
                <w:sz w:val="22"/>
                <w:szCs w:val="22"/>
                <w:lang w:val="de-AT"/>
              </w:rPr>
              <w:t>Damit die EU ihre sozial-ökologischen Ziele erreichen kann, spielen auch die Lieferketten eine wichtige Rolle. Importierte Produkte aus Drittländern können den Wettbewerb in der EU erheblich verzerren, indem Importeure durch niedrigere Umwelt- oder Arbeitsstandards Kostenvorteile erzielen. Solche unfairen Handelspraktiken benachteiligen europäische Unternehmen, die strengeren Umwelt- und Arbeitsnormen unterliegen und daher höhere Produktionskosten haben. Der Carbon Border Adjustment Mechanism (CBAM) ist eine wichtige Initiative der Europäischen Union, um diese Wettbewerbsverzerrungen zu korrigieren</w:t>
            </w:r>
            <w:r w:rsidRPr="001B4DFD">
              <w:rPr>
                <w:rFonts w:ascii="Aptos" w:eastAsia="Arial MT" w:hAnsi="Aptos" w:cs="Arial MT"/>
                <w:color w:val="0D0D0D"/>
                <w:sz w:val="22"/>
                <w:szCs w:val="22"/>
                <w:vertAlign w:val="superscript"/>
              </w:rPr>
              <w:footnoteReference w:id="7"/>
            </w:r>
            <w:r w:rsidRPr="001B4DFD">
              <w:rPr>
                <w:rFonts w:ascii="Aptos" w:eastAsia="Arial MT" w:hAnsi="Aptos" w:cs="Arial MT"/>
                <w:color w:val="0D0D0D"/>
                <w:sz w:val="22"/>
                <w:szCs w:val="22"/>
                <w:lang w:val="de-AT"/>
              </w:rPr>
              <w:t>. CBAM funktioniert, indem auf Importe aus Ländern mit niedrigeren Umweltstandards eine Abgabe erhoben wird, die der Differenz zwischen den niedrigeren CO2-Emissionskosten der Exportländer und den höheren Standards der EU entspricht. Dadurch soll sichergestellt werden, dass für importierte Produkte die gleichen CO2-Emissionsstandards gelten wie für einheimische Produkte. Diese Maßnahme schafft ein „level playing field“, das heißt gleiche Wettbewerbsbedingungen für in- und ausländische Produkte. In diesem Zusammenhang sind aus Sicht der Daseinsvorsorge auch Initiativen gegen wettbewerbsverzerrende Subventionen von Importeuren aus Drittstaaten notwendig.</w:t>
            </w:r>
          </w:p>
        </w:tc>
      </w:tr>
    </w:tbl>
    <w:p w14:paraId="478ED42F" w14:textId="77777777" w:rsidR="00623AF8" w:rsidRPr="001B4DFD" w:rsidRDefault="00623AF8" w:rsidP="00623AF8">
      <w:pPr>
        <w:ind w:left="360"/>
        <w:contextualSpacing/>
        <w:jc w:val="both"/>
        <w:rPr>
          <w:rFonts w:ascii="Aptos" w:hAnsi="Aptos"/>
          <w:sz w:val="18"/>
          <w:szCs w:val="18"/>
        </w:rPr>
      </w:pPr>
    </w:p>
    <w:p w14:paraId="4D6EE46B" w14:textId="77777777" w:rsidR="00623AF8" w:rsidRPr="001B4DFD" w:rsidRDefault="00623AF8" w:rsidP="00623AF8">
      <w:pPr>
        <w:spacing w:before="80" w:after="80"/>
        <w:ind w:left="360"/>
        <w:contextualSpacing/>
        <w:jc w:val="both"/>
        <w:rPr>
          <w:rFonts w:ascii="Aptos" w:hAnsi="Aptos"/>
          <w:sz w:val="18"/>
          <w:szCs w:val="18"/>
        </w:rPr>
      </w:pPr>
    </w:p>
    <w:p w14:paraId="323DB271" w14:textId="77777777" w:rsidR="00623AF8" w:rsidRPr="001B4DFD" w:rsidRDefault="00623AF8" w:rsidP="00F63BE8">
      <w:pPr>
        <w:numPr>
          <w:ilvl w:val="0"/>
          <w:numId w:val="46"/>
        </w:numPr>
        <w:spacing w:before="80" w:after="80"/>
        <w:contextualSpacing/>
        <w:jc w:val="both"/>
        <w:rPr>
          <w:rFonts w:ascii="Aptos" w:hAnsi="Aptos"/>
          <w:sz w:val="22"/>
          <w:szCs w:val="22"/>
        </w:rPr>
      </w:pPr>
      <w:r w:rsidRPr="001B4DFD">
        <w:rPr>
          <w:rFonts w:ascii="Aptos" w:hAnsi="Aptos"/>
          <w:b/>
          <w:sz w:val="22"/>
          <w:szCs w:val="22"/>
        </w:rPr>
        <w:br w:type="page"/>
      </w:r>
    </w:p>
    <w:p w14:paraId="03F35D2A" w14:textId="77777777" w:rsidR="00623AF8" w:rsidRPr="001B4DFD" w:rsidRDefault="00623AF8" w:rsidP="00623AF8">
      <w:pPr>
        <w:rPr>
          <w:rFonts w:ascii="Aptos" w:hAnsi="Aptos"/>
        </w:rPr>
      </w:pPr>
    </w:p>
    <w:p w14:paraId="2A49CC02" w14:textId="77777777" w:rsidR="00623AF8" w:rsidRPr="001B4DFD" w:rsidRDefault="00623AF8" w:rsidP="00623AF8">
      <w:pPr>
        <w:rPr>
          <w:rFonts w:ascii="Aptos" w:hAnsi="Aptos"/>
        </w:rPr>
      </w:pPr>
    </w:p>
    <w:p w14:paraId="6C242198" w14:textId="77777777" w:rsidR="00623AF8" w:rsidRPr="001B4DFD" w:rsidRDefault="00623AF8" w:rsidP="00623AF8">
      <w:pPr>
        <w:rPr>
          <w:rFonts w:ascii="Aptos" w:hAnsi="Aptos"/>
        </w:rPr>
      </w:pPr>
    </w:p>
    <w:p w14:paraId="4129BF40"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24" w:name="_Toc167726974"/>
      <w:bookmarkStart w:id="325" w:name="_Toc170983758"/>
      <w:r w:rsidRPr="001B4DFD">
        <w:rPr>
          <w:rFonts w:ascii="Aptos" w:eastAsiaTheme="majorEastAsia" w:hAnsi="Aptos" w:cstheme="majorBidi"/>
          <w:b/>
          <w:color w:val="E4342D"/>
          <w:szCs w:val="32"/>
        </w:rPr>
        <w:t>Öffentliche Investitionen auf lokaler Ebene  (Fiskalregeln)</w:t>
      </w:r>
      <w:bookmarkEnd w:id="324"/>
      <w:bookmarkEnd w:id="325"/>
    </w:p>
    <w:tbl>
      <w:tblPr>
        <w:tblStyle w:val="Tabellenraster"/>
        <w:tblW w:w="0" w:type="auto"/>
        <w:tblLook w:val="04A0" w:firstRow="1" w:lastRow="0" w:firstColumn="1" w:lastColumn="0" w:noHBand="0" w:noVBand="1"/>
      </w:tblPr>
      <w:tblGrid>
        <w:gridCol w:w="9060"/>
      </w:tblGrid>
      <w:tr w:rsidR="00623AF8" w:rsidRPr="001B4DFD" w14:paraId="4542B6F5" w14:textId="77777777" w:rsidTr="00875DD0">
        <w:tc>
          <w:tcPr>
            <w:tcW w:w="9060" w:type="dxa"/>
            <w:shd w:val="clear" w:color="auto" w:fill="D9D9D9" w:themeFill="background1" w:themeFillShade="D9"/>
          </w:tcPr>
          <w:p w14:paraId="799ADDFA"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4239728E" w14:textId="77777777" w:rsidTr="00875DD0">
        <w:tc>
          <w:tcPr>
            <w:tcW w:w="9060" w:type="dxa"/>
          </w:tcPr>
          <w:p w14:paraId="2B71A7A7" w14:textId="77777777" w:rsidR="00623AF8" w:rsidRPr="001B4DFD" w:rsidRDefault="00623AF8" w:rsidP="00875DD0">
            <w:pPr>
              <w:spacing w:before="120" w:after="120"/>
              <w:jc w:val="both"/>
              <w:rPr>
                <w:rFonts w:ascii="Aptos" w:hAnsi="Aptos"/>
                <w:b/>
                <w:bCs/>
                <w:sz w:val="22"/>
                <w:szCs w:val="22"/>
              </w:rPr>
            </w:pPr>
            <w:r w:rsidRPr="001B4DFD">
              <w:rPr>
                <w:rFonts w:ascii="Aptos" w:hAnsi="Aptos" w:cs="Segoe UI"/>
                <w:color w:val="0D0D0D"/>
                <w:sz w:val="22"/>
                <w:szCs w:val="22"/>
                <w:shd w:val="clear" w:color="auto" w:fill="FFFFFF"/>
              </w:rPr>
              <w:t xml:space="preserve">Die Bekämpfung der Klimakrise findet vor allem auf lokaler Ebene statt, daher brauchen die Städte und Gemeinden in der EU nicht nur ausreichende finanzielle Mittel, wie z.B. kommunale Klimainvestitionsfonds, sondern auch Mitspracherechte. Städte, Gemeinden und andere öffentliche Akteure sind für die Daseinsvorsorge unverzichtbar. Finanzielle Engpässe erschweren die Leistungserbringung vor Ort für die EU-Bürger:innen erheblich und enge Fiskalregeln der Mitgliedstaaten können dringend erforderliche öffentliche Investitionen auf lokaler Ebene verhindern. </w:t>
            </w:r>
            <w:r w:rsidRPr="001B4DFD">
              <w:rPr>
                <w:rFonts w:ascii="Aptos" w:hAnsi="Aptos" w:cs="Segoe UI"/>
                <w:b/>
                <w:bCs/>
                <w:color w:val="0D0D0D"/>
                <w:sz w:val="22"/>
                <w:szCs w:val="22"/>
                <w:shd w:val="clear" w:color="auto" w:fill="FFFFFF"/>
              </w:rPr>
              <w:t>Wie wollen Sie sicherstellen, dass Städte, Gemeinden und andere öffentliche Akteure ihre laufenden Ausgaben und Investitionen in Zukunftsfelder wie Digitalisierung und Klimawandel vor dem Hintergrund strenger Fiskalregeln tätigen können?</w:t>
            </w:r>
          </w:p>
        </w:tc>
      </w:tr>
      <w:tr w:rsidR="00623AF8" w:rsidRPr="001B4DFD" w14:paraId="7F68525A" w14:textId="77777777" w:rsidTr="00875DD0">
        <w:tc>
          <w:tcPr>
            <w:tcW w:w="9060" w:type="dxa"/>
            <w:shd w:val="clear" w:color="auto" w:fill="D9D9D9" w:themeFill="background1" w:themeFillShade="D9"/>
          </w:tcPr>
          <w:p w14:paraId="30EC96F7"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166F6C63" w14:textId="77777777" w:rsidTr="00875DD0">
        <w:trPr>
          <w:trHeight w:val="891"/>
        </w:trPr>
        <w:tc>
          <w:tcPr>
            <w:tcW w:w="9060" w:type="dxa"/>
          </w:tcPr>
          <w:p w14:paraId="602C319E" w14:textId="77777777" w:rsidR="00623AF8" w:rsidRPr="001B4DFD" w:rsidRDefault="00623AF8" w:rsidP="00F63BE8">
            <w:pPr>
              <w:numPr>
                <w:ilvl w:val="0"/>
                <w:numId w:val="15"/>
              </w:numPr>
              <w:contextualSpacing/>
              <w:rPr>
                <w:rFonts w:ascii="Aptos" w:hAnsi="Aptos"/>
                <w:sz w:val="22"/>
                <w:szCs w:val="22"/>
              </w:rPr>
            </w:pPr>
            <w:r w:rsidRPr="001B4DFD">
              <w:rPr>
                <w:rFonts w:ascii="Aptos" w:hAnsi="Aptos"/>
                <w:sz w:val="22"/>
                <w:szCs w:val="22"/>
              </w:rPr>
              <w:t>Sind Ausnahmen für soziale oder ökologische Investitionen in den Fiskalregeln vorgesehen („golden rule“)?</w:t>
            </w:r>
          </w:p>
          <w:p w14:paraId="1A785C08" w14:textId="77777777" w:rsidR="00623AF8" w:rsidRPr="001B4DFD" w:rsidRDefault="00623AF8" w:rsidP="00F63BE8">
            <w:pPr>
              <w:numPr>
                <w:ilvl w:val="0"/>
                <w:numId w:val="15"/>
              </w:numPr>
              <w:spacing w:before="120" w:after="120"/>
              <w:contextualSpacing/>
              <w:jc w:val="both"/>
              <w:rPr>
                <w:rFonts w:ascii="Aptos" w:hAnsi="Aptos"/>
                <w:sz w:val="22"/>
                <w:szCs w:val="22"/>
              </w:rPr>
            </w:pPr>
            <w:r w:rsidRPr="001B4DFD">
              <w:rPr>
                <w:rFonts w:ascii="Aptos" w:hAnsi="Aptos"/>
                <w:sz w:val="22"/>
                <w:szCs w:val="22"/>
              </w:rPr>
              <w:t xml:space="preserve">Wie möchten Sie sicherstellen, dass das derzeitige Regelwerk nicht zum Regelbruch motiviert? </w:t>
            </w:r>
          </w:p>
        </w:tc>
      </w:tr>
    </w:tbl>
    <w:p w14:paraId="4B9DBE66"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35ED1DE0" w14:textId="77777777" w:rsidTr="00875DD0">
        <w:trPr>
          <w:trHeight w:val="277"/>
        </w:trPr>
        <w:tc>
          <w:tcPr>
            <w:tcW w:w="9066" w:type="dxa"/>
            <w:shd w:val="clear" w:color="auto" w:fill="D9D9D9"/>
          </w:tcPr>
          <w:p w14:paraId="7D9E1DE0" w14:textId="77777777" w:rsidR="00623AF8" w:rsidRPr="001B4DFD" w:rsidRDefault="00623AF8" w:rsidP="00875DD0">
            <w:pPr>
              <w:spacing w:line="258" w:lineRule="exact"/>
              <w:rPr>
                <w:rFonts w:ascii="Aptos" w:eastAsia="Arial MT" w:hAnsi="Aptos" w:cs="Arial MT"/>
                <w:b/>
                <w:sz w:val="22"/>
                <w:szCs w:val="20"/>
                <w:lang w:val="en-GB"/>
              </w:rPr>
            </w:pPr>
            <w:r w:rsidRPr="001B4DFD">
              <w:rPr>
                <w:rFonts w:ascii="Aptos" w:eastAsia="Arial MT" w:hAnsi="Aptos" w:cs="Arial MT"/>
                <w:b/>
                <w:sz w:val="22"/>
                <w:szCs w:val="20"/>
                <w:lang w:val="en-GB"/>
              </w:rPr>
              <w:t>Hintergrundinformationen</w:t>
            </w:r>
          </w:p>
        </w:tc>
      </w:tr>
      <w:tr w:rsidR="00623AF8" w:rsidRPr="001B4DFD" w14:paraId="6626C223" w14:textId="77777777" w:rsidTr="00875DD0">
        <w:trPr>
          <w:trHeight w:val="1516"/>
        </w:trPr>
        <w:tc>
          <w:tcPr>
            <w:tcW w:w="9066" w:type="dxa"/>
          </w:tcPr>
          <w:p w14:paraId="649FEBD2" w14:textId="77777777" w:rsidR="00623AF8" w:rsidRPr="001B4DFD" w:rsidRDefault="00623AF8" w:rsidP="00875DD0">
            <w:pPr>
              <w:jc w:val="both"/>
              <w:rPr>
                <w:rFonts w:ascii="Aptos" w:hAnsi="Aptos"/>
                <w:color w:val="0D0D0D"/>
                <w:sz w:val="22"/>
                <w:szCs w:val="22"/>
                <w:lang w:val="de-AT"/>
              </w:rPr>
            </w:pPr>
            <w:r w:rsidRPr="001B4DFD">
              <w:rPr>
                <w:rFonts w:ascii="Aptos" w:hAnsi="Aptos"/>
                <w:sz w:val="22"/>
                <w:szCs w:val="22"/>
                <w:lang w:val="de-AT"/>
              </w:rPr>
              <w:t>Um sicherzustellen, dass Städte, Gemeinden und andere öffentliche Akteure ihre laufenden Ausgaben und Investitionen in Zukunftsfelder wie Digitalisierung und Klimawandel tätigen können, ist es wichtig, eine Balance zwischen Haushaltsdisziplin und der notwendigen Flexibilität für Zukunftsinvestitionen zu finden. Dabei könnte die Anwendung der "Goldenen Regel" für öffentliche Investitionen im Haushaltsrecht helfen</w:t>
            </w:r>
            <w:r w:rsidRPr="001B4DFD">
              <w:rPr>
                <w:rFonts w:ascii="Aptos" w:hAnsi="Aptos"/>
                <w:sz w:val="22"/>
                <w:szCs w:val="22"/>
                <w:vertAlign w:val="superscript"/>
              </w:rPr>
              <w:footnoteReference w:id="8"/>
            </w:r>
            <w:r w:rsidRPr="001B4DFD">
              <w:rPr>
                <w:rFonts w:ascii="Aptos" w:hAnsi="Aptos"/>
                <w:sz w:val="22"/>
                <w:szCs w:val="22"/>
                <w:vertAlign w:val="subscript"/>
                <w:lang w:val="de-AT"/>
              </w:rPr>
              <w:t>.</w:t>
            </w:r>
            <w:r w:rsidRPr="001B4DFD">
              <w:rPr>
                <w:rFonts w:ascii="Aptos" w:hAnsi="Aptos"/>
                <w:sz w:val="22"/>
                <w:szCs w:val="22"/>
                <w:lang w:val="de-AT"/>
              </w:rPr>
              <w:t xml:space="preserve"> Die Goldene Regel unterscheidet zwischen laufenden Haushaltsausgaben und Investitionen. Dabei sollen die öffentlichen Haushalte ihre laufenden Ausgaben aus laufenden Einnahmen finanzieren, während eine expansive Finanzpolitik in langlebige Güter und Infrastrukturprojekte umgesetzt werden kann. Dies würde es den Städten und Gemeinden ermöglichen, in wichtige Zukunftsbereiche zu investieren, ohne die Haushaltsdisziplin zu vernachlässigen. Dabei ist es aus Sicht der Daseinsvorsorge wichtig, dass das Haushaltsrecht Ausnahmen für soziale und ökologische Investitionen vorsieht und transparente Spielregeln diese Investitionen ermöglichen, ohne Anreize für Regelverstöße zu schaffen.</w:t>
            </w:r>
          </w:p>
        </w:tc>
      </w:tr>
    </w:tbl>
    <w:p w14:paraId="77F2934D" w14:textId="77777777" w:rsidR="00623AF8" w:rsidRPr="001B4DFD" w:rsidRDefault="00623AF8" w:rsidP="00623AF8">
      <w:pPr>
        <w:rPr>
          <w:rFonts w:ascii="Aptos" w:hAnsi="Aptos"/>
          <w:bCs/>
          <w:iCs/>
          <w:sz w:val="22"/>
          <w:szCs w:val="22"/>
        </w:rPr>
      </w:pPr>
    </w:p>
    <w:p w14:paraId="3009E1F7" w14:textId="77777777" w:rsidR="00623AF8" w:rsidRPr="001B4DFD" w:rsidRDefault="00623AF8" w:rsidP="00623AF8">
      <w:pPr>
        <w:ind w:firstLine="360"/>
        <w:rPr>
          <w:rFonts w:ascii="Aptos" w:hAnsi="Aptos"/>
          <w:bCs/>
          <w:sz w:val="22"/>
          <w:szCs w:val="22"/>
        </w:rPr>
      </w:pPr>
      <w:r w:rsidRPr="001B4DFD">
        <w:rPr>
          <w:rFonts w:ascii="Aptos" w:hAnsi="Aptos"/>
          <w:bCs/>
          <w:sz w:val="22"/>
          <w:szCs w:val="22"/>
        </w:rPr>
        <w:br w:type="page"/>
      </w:r>
    </w:p>
    <w:p w14:paraId="062E9747" w14:textId="77777777" w:rsidR="00623AF8" w:rsidRPr="001B4DFD" w:rsidRDefault="00623AF8" w:rsidP="00623AF8">
      <w:pPr>
        <w:spacing w:after="120"/>
        <w:jc w:val="both"/>
        <w:rPr>
          <w:rFonts w:ascii="Aptos" w:hAnsi="Aptos"/>
        </w:rPr>
      </w:pPr>
    </w:p>
    <w:p w14:paraId="446E2A67" w14:textId="77777777" w:rsidR="00623AF8" w:rsidRPr="001B4DFD" w:rsidRDefault="00623AF8" w:rsidP="00623AF8">
      <w:pPr>
        <w:rPr>
          <w:rFonts w:ascii="Aptos" w:hAnsi="Aptos"/>
        </w:rPr>
      </w:pPr>
    </w:p>
    <w:p w14:paraId="515D8051"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26" w:name="_Toc167726975"/>
      <w:bookmarkStart w:id="327" w:name="_Toc170983759"/>
      <w:r w:rsidRPr="001B4DFD">
        <w:rPr>
          <w:rFonts w:ascii="Aptos" w:eastAsiaTheme="majorEastAsia" w:hAnsi="Aptos" w:cstheme="majorBidi"/>
          <w:b/>
          <w:color w:val="E4342D"/>
          <w:szCs w:val="32"/>
        </w:rPr>
        <w:t>Stärkung der Währungsunion durch Investitionen in Safe Assets Märkte</w:t>
      </w:r>
      <w:bookmarkEnd w:id="326"/>
      <w:bookmarkEnd w:id="327"/>
    </w:p>
    <w:p w14:paraId="0B108789"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7FACC648" w14:textId="77777777" w:rsidTr="00875DD0">
        <w:tc>
          <w:tcPr>
            <w:tcW w:w="9060" w:type="dxa"/>
            <w:shd w:val="clear" w:color="auto" w:fill="D9D9D9" w:themeFill="background1" w:themeFillShade="D9"/>
          </w:tcPr>
          <w:p w14:paraId="142C39A9"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 xml:space="preserve">Frage </w:t>
            </w:r>
          </w:p>
        </w:tc>
      </w:tr>
      <w:tr w:rsidR="00623AF8" w:rsidRPr="001B4DFD" w14:paraId="01C430D8" w14:textId="77777777" w:rsidTr="00875DD0">
        <w:tc>
          <w:tcPr>
            <w:tcW w:w="9060" w:type="dxa"/>
          </w:tcPr>
          <w:p w14:paraId="223FB9B6" w14:textId="77777777" w:rsidR="00623AF8" w:rsidRPr="001B4DFD" w:rsidRDefault="00623AF8" w:rsidP="00875DD0">
            <w:pPr>
              <w:spacing w:before="120" w:after="120"/>
              <w:jc w:val="both"/>
              <w:rPr>
                <w:rFonts w:ascii="Aptos" w:hAnsi="Aptos"/>
                <w:b/>
                <w:bCs/>
                <w:sz w:val="22"/>
                <w:szCs w:val="22"/>
              </w:rPr>
            </w:pPr>
            <w:r w:rsidRPr="001B4DFD">
              <w:rPr>
                <w:rFonts w:ascii="Aptos" w:hAnsi="Aptos"/>
                <w:sz w:val="22"/>
                <w:szCs w:val="22"/>
              </w:rPr>
              <w:t xml:space="preserve">Die Stärkung der Währungsunion in der EU ist von entscheidender Bedeutung, da sie nicht nur die Stabilität des Euro gewährleistet und das Vertrauen in die Märkte stärkt, sondern auch zur Schaffung eines gemeinsamen Marktes für sichere Anlagen beiträgt. " Safe Asset"-Märkte sind für Anleger, die stabile Renditen und ein geringes Ausfallrisiko suchen, von entscheidender Bedeutung. Eine engere Integration innerhalb der Währungsunion kann die Entwicklung solcher Märkte fördern, indem sie die Verfügbarkeit sicherer Anlagen erhöht und gleichzeitig die Widerstandsfähigkeit des Euroraums gegenüber wirtschaftlichen Schocks stärkt. </w:t>
            </w:r>
            <w:r w:rsidRPr="001B4DFD">
              <w:rPr>
                <w:rFonts w:ascii="Aptos" w:hAnsi="Aptos"/>
                <w:b/>
                <w:bCs/>
                <w:sz w:val="22"/>
                <w:szCs w:val="22"/>
              </w:rPr>
              <w:t>Welche Initiativen planen Sie, um die Währungsunion zu stärken?</w:t>
            </w:r>
          </w:p>
        </w:tc>
      </w:tr>
      <w:tr w:rsidR="00623AF8" w:rsidRPr="001B4DFD" w14:paraId="36EBC2F1" w14:textId="77777777" w:rsidTr="00875DD0">
        <w:tc>
          <w:tcPr>
            <w:tcW w:w="9060" w:type="dxa"/>
            <w:shd w:val="clear" w:color="auto" w:fill="D9D9D9" w:themeFill="background1" w:themeFillShade="D9"/>
          </w:tcPr>
          <w:p w14:paraId="5E928B02"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0FEF8B5A" w14:textId="77777777" w:rsidTr="00875DD0">
        <w:tc>
          <w:tcPr>
            <w:tcW w:w="9060" w:type="dxa"/>
          </w:tcPr>
          <w:p w14:paraId="0DA261A9" w14:textId="77777777" w:rsidR="00623AF8" w:rsidRPr="001B4DFD" w:rsidRDefault="00623AF8" w:rsidP="00F63BE8">
            <w:pPr>
              <w:numPr>
                <w:ilvl w:val="0"/>
                <w:numId w:val="16"/>
              </w:numPr>
              <w:spacing w:before="120" w:after="120"/>
              <w:ind w:left="714" w:hanging="357"/>
              <w:contextualSpacing/>
              <w:rPr>
                <w:rFonts w:ascii="Aptos" w:hAnsi="Aptos"/>
                <w:sz w:val="22"/>
                <w:szCs w:val="22"/>
              </w:rPr>
            </w:pPr>
            <w:r w:rsidRPr="001B4DFD">
              <w:rPr>
                <w:rFonts w:ascii="Aptos" w:hAnsi="Aptos"/>
                <w:sz w:val="22"/>
                <w:szCs w:val="22"/>
              </w:rPr>
              <w:t>Welche Überlegungen gibt es, in sichere Anlagemärkte zu investieren, um die gemeinsame Währung zu stabilisieren?</w:t>
            </w:r>
          </w:p>
          <w:p w14:paraId="29893629" w14:textId="77777777" w:rsidR="00623AF8" w:rsidRPr="001B4DFD" w:rsidRDefault="00623AF8" w:rsidP="00F63BE8">
            <w:pPr>
              <w:numPr>
                <w:ilvl w:val="0"/>
                <w:numId w:val="16"/>
              </w:numPr>
              <w:spacing w:before="120" w:after="120"/>
              <w:ind w:left="714" w:hanging="357"/>
              <w:contextualSpacing/>
              <w:rPr>
                <w:rFonts w:ascii="Aptos" w:hAnsi="Aptos"/>
                <w:sz w:val="22"/>
                <w:szCs w:val="22"/>
              </w:rPr>
            </w:pPr>
            <w:r w:rsidRPr="001B4DFD">
              <w:rPr>
                <w:rFonts w:ascii="Aptos" w:hAnsi="Aptos"/>
                <w:sz w:val="22"/>
                <w:szCs w:val="22"/>
              </w:rPr>
              <w:t>Wie wollen Sie sicherstellen, dass zusätzliche EU-Ausgaben für relevante Sektoren initiiert werden, um den EU-Markt zu stärken?</w:t>
            </w:r>
          </w:p>
        </w:tc>
      </w:tr>
    </w:tbl>
    <w:p w14:paraId="73C1C7F8"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5A197C4E" w14:textId="77777777" w:rsidTr="00875DD0">
        <w:trPr>
          <w:trHeight w:val="277"/>
        </w:trPr>
        <w:tc>
          <w:tcPr>
            <w:tcW w:w="9066" w:type="dxa"/>
            <w:shd w:val="clear" w:color="auto" w:fill="D9D9D9"/>
          </w:tcPr>
          <w:p w14:paraId="6C2171D9"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0E02ACDE" w14:textId="77777777" w:rsidTr="00875DD0">
        <w:trPr>
          <w:trHeight w:val="1516"/>
        </w:trPr>
        <w:tc>
          <w:tcPr>
            <w:tcW w:w="9066" w:type="dxa"/>
          </w:tcPr>
          <w:p w14:paraId="1EC29A86" w14:textId="77777777" w:rsidR="00623AF8" w:rsidRPr="001B4DFD" w:rsidRDefault="00623AF8" w:rsidP="00875DD0">
            <w:pPr>
              <w:jc w:val="both"/>
              <w:rPr>
                <w:rFonts w:ascii="Aptos" w:hAnsi="Aptos"/>
                <w:sz w:val="22"/>
                <w:szCs w:val="22"/>
                <w:lang w:val="de-AT"/>
              </w:rPr>
            </w:pPr>
            <w:r w:rsidRPr="001B4DFD">
              <w:rPr>
                <w:rFonts w:ascii="Aptos" w:hAnsi="Aptos"/>
                <w:sz w:val="22"/>
                <w:szCs w:val="22"/>
                <w:lang w:val="de-AT"/>
              </w:rPr>
              <w:t>Ein starker Euro ist ein wesentlicher Faktor für den Wohlstand in Europa. In diesem Zusammenhang ist die Stärkung der Währungsunion in der EU ein zentraler Baustein für die Stärkung des Vertrauens von Finanzmarktakteuren, aber auch für die Schaffung eines gemeinsamen Marktes für sichere Anlagen. Märkte für "safe Assets", die auch als Märkte für "sichere Anlagen" bezeichnet werden, sind für Anleger von großer Bedeutung, da sie stabile Renditen und ein geringes Ausfallrisiko bieten</w:t>
            </w:r>
            <w:r w:rsidRPr="001B4DFD">
              <w:rPr>
                <w:rFonts w:ascii="Aptos" w:hAnsi="Aptos"/>
                <w:sz w:val="22"/>
                <w:szCs w:val="22"/>
                <w:vertAlign w:val="superscript"/>
              </w:rPr>
              <w:footnoteReference w:id="9"/>
            </w:r>
            <w:r w:rsidRPr="001B4DFD">
              <w:rPr>
                <w:rFonts w:ascii="Aptos" w:hAnsi="Aptos"/>
                <w:sz w:val="22"/>
                <w:szCs w:val="22"/>
                <w:vertAlign w:val="subscript"/>
                <w:lang w:val="de-AT"/>
              </w:rPr>
              <w:t>.</w:t>
            </w:r>
            <w:r w:rsidRPr="001B4DFD">
              <w:rPr>
                <w:rFonts w:ascii="Aptos" w:hAnsi="Aptos"/>
                <w:sz w:val="22"/>
                <w:szCs w:val="22"/>
                <w:lang w:val="de-AT"/>
              </w:rPr>
              <w:t xml:space="preserve"> Solche Märkte bestehen in der Regel aus hochwertigen Staatsanleihen und anderen Finanzinstrumenten, die als sehr sicher gelten. In der EU könnten beispielsweise gemeinsam begebene Anleihen oder hoch bewertete Staatsanleihen der Mitgliedstaaten als sichere Anlagen dienen. Eine engere Integration innerhalb der Währungsunion kann die Entwicklung solcher Märkte fördern, indem sie die Verfügbarkeit sicherer Anlagen erhöht und gleichzeitig die Widerstandsfähigkeit des Euroraums gegenüber wirtschaftlichen Schocks stärkt. Aus Perspektive der Daseinsvorsorge sind stabile Kapitalmärkte, die relevante Sektoren fördern und Zukunftsinvestitionen absichern, von großer Bedeutung.</w:t>
            </w:r>
          </w:p>
          <w:p w14:paraId="2AAEC685" w14:textId="77777777" w:rsidR="00623AF8" w:rsidRPr="001B4DFD" w:rsidRDefault="00623AF8" w:rsidP="00875DD0">
            <w:pPr>
              <w:jc w:val="both"/>
              <w:rPr>
                <w:rFonts w:ascii="Aptos" w:hAnsi="Aptos"/>
                <w:color w:val="0D0D0D"/>
                <w:sz w:val="22"/>
                <w:szCs w:val="22"/>
                <w:lang w:val="de-AT"/>
              </w:rPr>
            </w:pPr>
          </w:p>
        </w:tc>
      </w:tr>
    </w:tbl>
    <w:p w14:paraId="17AE7E3E" w14:textId="77777777" w:rsidR="00623AF8" w:rsidRPr="001B4DFD" w:rsidRDefault="00623AF8" w:rsidP="00623AF8">
      <w:pPr>
        <w:rPr>
          <w:rFonts w:ascii="Aptos" w:hAnsi="Aptos"/>
          <w:bCs/>
          <w:iCs/>
          <w:sz w:val="22"/>
          <w:szCs w:val="22"/>
        </w:rPr>
      </w:pPr>
      <w:r w:rsidRPr="001B4DFD">
        <w:rPr>
          <w:rFonts w:ascii="Aptos" w:hAnsi="Aptos"/>
          <w:bCs/>
          <w:iCs/>
          <w:sz w:val="22"/>
          <w:szCs w:val="22"/>
        </w:rPr>
        <w:br w:type="page"/>
      </w:r>
    </w:p>
    <w:p w14:paraId="1C2DCFD7" w14:textId="77777777" w:rsidR="00623AF8" w:rsidRPr="001B4DFD" w:rsidRDefault="00623AF8" w:rsidP="00623AF8">
      <w:pPr>
        <w:spacing w:after="120"/>
        <w:jc w:val="both"/>
        <w:rPr>
          <w:rFonts w:ascii="Aptos" w:hAnsi="Aptos"/>
          <w:bCs/>
          <w:iCs/>
          <w:sz w:val="22"/>
          <w:szCs w:val="22"/>
        </w:rPr>
      </w:pPr>
    </w:p>
    <w:p w14:paraId="248B313E" w14:textId="77777777" w:rsidR="00623AF8" w:rsidRPr="001B4DFD" w:rsidRDefault="00623AF8" w:rsidP="00623AF8">
      <w:pPr>
        <w:rPr>
          <w:rFonts w:ascii="Aptos" w:hAnsi="Aptos"/>
        </w:rPr>
      </w:pPr>
    </w:p>
    <w:p w14:paraId="0AECCB9A"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28" w:name="_Toc167726976"/>
      <w:bookmarkStart w:id="329" w:name="_Toc170983760"/>
      <w:r w:rsidRPr="001B4DFD">
        <w:rPr>
          <w:rFonts w:ascii="Aptos" w:eastAsiaTheme="majorEastAsia" w:hAnsi="Aptos" w:cstheme="majorBidi"/>
          <w:b/>
          <w:color w:val="E4342D"/>
          <w:szCs w:val="32"/>
        </w:rPr>
        <w:t>Neue öffentliche Finanzierungsmethoden (ASFINAG-Modell)</w:t>
      </w:r>
      <w:bookmarkEnd w:id="328"/>
      <w:bookmarkEnd w:id="329"/>
    </w:p>
    <w:p w14:paraId="394B8FA3"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76C7B438" w14:textId="77777777" w:rsidTr="00875DD0">
        <w:tc>
          <w:tcPr>
            <w:tcW w:w="9060" w:type="dxa"/>
            <w:shd w:val="clear" w:color="auto" w:fill="D9D9D9" w:themeFill="background1" w:themeFillShade="D9"/>
          </w:tcPr>
          <w:p w14:paraId="22D23F00"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1CD9FB55" w14:textId="77777777" w:rsidTr="00875DD0">
        <w:tc>
          <w:tcPr>
            <w:tcW w:w="9060" w:type="dxa"/>
          </w:tcPr>
          <w:p w14:paraId="6659C4A6" w14:textId="77777777" w:rsidR="00623AF8" w:rsidRPr="001B4DFD" w:rsidRDefault="00623AF8" w:rsidP="00875DD0">
            <w:pPr>
              <w:spacing w:before="120" w:after="120"/>
              <w:jc w:val="both"/>
              <w:rPr>
                <w:rFonts w:ascii="Aptos" w:hAnsi="Aptos"/>
                <w:b/>
                <w:bCs/>
                <w:sz w:val="22"/>
                <w:szCs w:val="22"/>
              </w:rPr>
            </w:pPr>
            <w:r w:rsidRPr="001B4DFD">
              <w:rPr>
                <w:rFonts w:ascii="Aptos" w:hAnsi="Aptos"/>
                <w:sz w:val="22"/>
                <w:szCs w:val="22"/>
              </w:rPr>
              <w:t xml:space="preserve">Restriktive Defizitregeln erschweren die Finanzierung von Infrastrukturprojekten durch Schuldenaufnahme. Staatsgarantien können helfen, diese Lücke zu schließen. Das erfolgreiche Beispiel der österreichischen ASFINAG zeigt, dass durch staatlich garantierte Finanzierungen massive Investitionen getätigt werden können, die die Konjunktur ankurbeln. Ähnliche Modelle könnten auch für den sozialen Wohnbau umgesetzt werden, indem der Staat niedrige Zinsen subventioniert. Gerade vor dem Hintergrund steigender Inflation und hoher Zinsen wären solche Finanzierungsformen dringend notwendig. </w:t>
            </w:r>
            <w:r w:rsidRPr="001B4DFD">
              <w:rPr>
                <w:rFonts w:ascii="Aptos" w:hAnsi="Aptos"/>
                <w:b/>
                <w:bCs/>
                <w:sz w:val="22"/>
                <w:szCs w:val="22"/>
              </w:rPr>
              <w:t>Welche Rolle spielen für Sie staatliche Garantien bei der Finanzierung von Infrastrukturprojekten?</w:t>
            </w:r>
          </w:p>
        </w:tc>
      </w:tr>
      <w:tr w:rsidR="00623AF8" w:rsidRPr="001B4DFD" w14:paraId="18C5A5AF" w14:textId="77777777" w:rsidTr="00875DD0">
        <w:tc>
          <w:tcPr>
            <w:tcW w:w="9060" w:type="dxa"/>
            <w:shd w:val="clear" w:color="auto" w:fill="D9D9D9" w:themeFill="background1" w:themeFillShade="D9"/>
          </w:tcPr>
          <w:p w14:paraId="718BBC59"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3AC78EB8" w14:textId="77777777" w:rsidTr="00875DD0">
        <w:tc>
          <w:tcPr>
            <w:tcW w:w="9060" w:type="dxa"/>
          </w:tcPr>
          <w:p w14:paraId="7171EE15" w14:textId="77777777" w:rsidR="00623AF8" w:rsidRPr="001B4DFD" w:rsidRDefault="00623AF8" w:rsidP="00F63BE8">
            <w:pPr>
              <w:numPr>
                <w:ilvl w:val="0"/>
                <w:numId w:val="17"/>
              </w:numPr>
              <w:spacing w:before="120" w:after="120"/>
              <w:contextualSpacing/>
              <w:jc w:val="both"/>
              <w:rPr>
                <w:rFonts w:ascii="Aptos" w:hAnsi="Aptos"/>
                <w:sz w:val="22"/>
                <w:szCs w:val="22"/>
                <w:lang w:val="de-DE"/>
              </w:rPr>
            </w:pPr>
            <w:r w:rsidRPr="001B4DFD">
              <w:rPr>
                <w:rFonts w:ascii="Aptos" w:hAnsi="Aptos"/>
                <w:sz w:val="22"/>
                <w:szCs w:val="22"/>
                <w:lang w:val="de-DE"/>
              </w:rPr>
              <w:t>Welche Initiativen planen Sie, um öffentlichen Akteuren die Finanzierung von Infrastrukturprojekten (Wohnungsbau, Straßen, Energie) außerhalb von PPP-Modellen zu ermöglichen?</w:t>
            </w:r>
          </w:p>
        </w:tc>
      </w:tr>
    </w:tbl>
    <w:p w14:paraId="14BB02B0" w14:textId="77777777" w:rsidR="00623AF8" w:rsidRPr="001B4DFD"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1B4DFD" w14:paraId="1935DB47" w14:textId="77777777" w:rsidTr="00875DD0">
        <w:trPr>
          <w:trHeight w:val="277"/>
        </w:trPr>
        <w:tc>
          <w:tcPr>
            <w:tcW w:w="9066" w:type="dxa"/>
            <w:shd w:val="clear" w:color="auto" w:fill="D9D9D9"/>
          </w:tcPr>
          <w:p w14:paraId="6562C53E"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6075E891" w14:textId="77777777" w:rsidTr="00875DD0">
        <w:trPr>
          <w:trHeight w:val="1516"/>
        </w:trPr>
        <w:tc>
          <w:tcPr>
            <w:tcW w:w="9066" w:type="dxa"/>
          </w:tcPr>
          <w:p w14:paraId="422A0105" w14:textId="77777777" w:rsidR="00623AF8" w:rsidRPr="001B4DFD" w:rsidRDefault="00623AF8" w:rsidP="00875DD0">
            <w:pPr>
              <w:spacing w:before="100" w:beforeAutospacing="1" w:after="100" w:afterAutospacing="1"/>
              <w:jc w:val="both"/>
              <w:rPr>
                <w:rFonts w:ascii="Times New Roman" w:eastAsia="Times New Roman" w:hAnsi="Times New Roman" w:cs="Times New Roman"/>
                <w:sz w:val="22"/>
                <w:szCs w:val="22"/>
                <w:lang w:val="de-AT" w:eastAsia="de-DE"/>
              </w:rPr>
            </w:pPr>
            <w:r w:rsidRPr="001B4DFD">
              <w:rPr>
                <w:rFonts w:ascii="Aptos" w:hAnsi="Aptos"/>
                <w:sz w:val="22"/>
                <w:szCs w:val="22"/>
                <w:lang w:val="de-AT"/>
              </w:rPr>
              <w:t>Die notwendigen Infrastrukturinvestitionen in der EU erfordern neue Modelle der öffentlichen Finanzierung. Beispielsweise kann eine Verschuldung mit Staatsgarantien das notwendige Kapital freisetzen, wie das Beispiel der ASFINAG erfolgreich gezeigt hat.  Die ASFINAG (Autobahnen- und Schnellstraßen-Finanzierungs-Aktiengesellschaft) ist ein österreichisches Unternehmen, das für die Planung, den Bau, die Finanzierung und den Betrieb der Autobahnen und Schnellstraßen in Österreich zuständig ist. Die ASFINAG finanziert sich hauptsächlich über Mautgebühren und staatlich garantierte Anleihen. Diese staatlichen Garantien ermöglichen es der ASFINAG, auf den Kapitalmärkten zu günstigen Konditionen Kredite aufzunehmen, um notwendige Infrastrukturprojekte zu realisieren. Diese Methode hat sich bewährt und ermöglicht es der ASFINAG, umfangreiche Investitionen in die Verkehrsinfrastruktur zu tätigen, ohne die staatlichen Haushaltsregeln zu verletzen</w:t>
            </w:r>
            <w:r w:rsidRPr="001B4DFD">
              <w:rPr>
                <w:rFonts w:ascii="Aptos" w:hAnsi="Aptos"/>
                <w:sz w:val="22"/>
                <w:szCs w:val="22"/>
                <w:vertAlign w:val="superscript"/>
              </w:rPr>
              <w:footnoteReference w:id="10"/>
            </w:r>
            <w:r w:rsidRPr="001B4DFD">
              <w:rPr>
                <w:rFonts w:ascii="Aptos" w:eastAsia="Times New Roman" w:hAnsi="Aptos" w:cs="Times New Roman"/>
                <w:sz w:val="22"/>
                <w:szCs w:val="22"/>
                <w:vertAlign w:val="subscript"/>
                <w:lang w:val="de-AT" w:eastAsia="de-DE"/>
              </w:rPr>
              <w:t>.</w:t>
            </w:r>
            <w:r w:rsidRPr="001B4DFD">
              <w:rPr>
                <w:rFonts w:ascii="Aptos" w:eastAsia="Times New Roman" w:hAnsi="Aptos" w:cs="Times New Roman"/>
                <w:sz w:val="22"/>
                <w:szCs w:val="22"/>
                <w:lang w:val="de-AT" w:eastAsia="de-DE"/>
              </w:rPr>
              <w:t xml:space="preserve"> </w:t>
            </w:r>
            <w:r w:rsidRPr="001B4DFD">
              <w:rPr>
                <w:rFonts w:ascii="Aptos" w:hAnsi="Aptos"/>
                <w:sz w:val="22"/>
                <w:szCs w:val="22"/>
                <w:lang w:val="de-AT"/>
              </w:rPr>
              <w:t xml:space="preserve">Ähnliche Modelle könnten auch im sozialen Wohnbau durch staatliche Zinszuschüsse umgesetzt werden. Gerade vor dem Hintergrund steigender Inflation und hoher Zinsen wären solche Finanzierungsformen dringend notwendig, um den dringend benötigten Wohnraum zu schaffen und gleichzeitig die Belastung für den Staatshaushalt zu minimieren. Staatliche Bürgschaften könnten sicherstellen, dass auch bei ungünstigen Marktbedingungen weiterhin in soziale Projekte investiert werden kann. Aus der Perspektive der Daseinsvorsorge sind solche Finanzierungsformen außerhalb risikoreicher Public-Private-Partnership-Modelle attraktiv, um notwendige Infrastrukturinvestitionen abzusichern. </w:t>
            </w:r>
          </w:p>
        </w:tc>
      </w:tr>
    </w:tbl>
    <w:p w14:paraId="2667F505" w14:textId="77777777" w:rsidR="00623AF8" w:rsidRPr="001B4DFD" w:rsidRDefault="00623AF8" w:rsidP="00623AF8">
      <w:pPr>
        <w:rPr>
          <w:rFonts w:ascii="Aptos" w:hAnsi="Aptos"/>
          <w:sz w:val="18"/>
          <w:szCs w:val="18"/>
        </w:rPr>
      </w:pPr>
    </w:p>
    <w:p w14:paraId="7D2F7B55" w14:textId="77777777" w:rsidR="00623AF8" w:rsidRPr="001B4DFD" w:rsidRDefault="00623AF8" w:rsidP="00623AF8">
      <w:pPr>
        <w:ind w:left="360"/>
        <w:rPr>
          <w:rFonts w:ascii="Aptos" w:hAnsi="Aptos"/>
          <w:bCs/>
          <w:iCs/>
          <w:sz w:val="22"/>
          <w:szCs w:val="22"/>
        </w:rPr>
      </w:pPr>
      <w:r w:rsidRPr="001B4DFD">
        <w:rPr>
          <w:rFonts w:ascii="Aptos" w:hAnsi="Aptos"/>
          <w:bCs/>
          <w:iCs/>
          <w:sz w:val="22"/>
          <w:szCs w:val="22"/>
        </w:rPr>
        <w:br w:type="page"/>
      </w:r>
    </w:p>
    <w:p w14:paraId="219B66C3" w14:textId="77777777" w:rsidR="00623AF8" w:rsidRPr="001B4DFD" w:rsidRDefault="00623AF8" w:rsidP="00623AF8">
      <w:pPr>
        <w:spacing w:after="120"/>
        <w:jc w:val="both"/>
        <w:rPr>
          <w:rFonts w:ascii="Aptos" w:hAnsi="Aptos"/>
          <w:bCs/>
          <w:iCs/>
          <w:sz w:val="22"/>
          <w:szCs w:val="22"/>
        </w:rPr>
      </w:pPr>
    </w:p>
    <w:p w14:paraId="61C21C7B" w14:textId="77777777" w:rsidR="00623AF8" w:rsidRDefault="00623AF8" w:rsidP="00623AF8">
      <w:pPr>
        <w:spacing w:before="120"/>
        <w:jc w:val="both"/>
        <w:outlineLvl w:val="0"/>
        <w:rPr>
          <w:rFonts w:ascii="Aptos" w:eastAsiaTheme="majorEastAsia" w:hAnsi="Aptos" w:cstheme="majorBidi"/>
          <w:b/>
          <w:color w:val="E4342D"/>
          <w:szCs w:val="32"/>
        </w:rPr>
      </w:pPr>
      <w:bookmarkStart w:id="330" w:name="_Toc167726977"/>
    </w:p>
    <w:p w14:paraId="6ECB8C1F"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31" w:name="_Toc170983761"/>
      <w:r w:rsidRPr="001B4DFD">
        <w:rPr>
          <w:rFonts w:ascii="Aptos" w:eastAsiaTheme="majorEastAsia" w:hAnsi="Aptos" w:cstheme="majorBidi"/>
          <w:b/>
          <w:color w:val="E4342D"/>
          <w:szCs w:val="32"/>
        </w:rPr>
        <w:t>Vertiefung der Kapitalmarktunion</w:t>
      </w:r>
      <w:bookmarkEnd w:id="330"/>
      <w:bookmarkEnd w:id="331"/>
    </w:p>
    <w:p w14:paraId="11CB819E"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548AC1F5" w14:textId="77777777" w:rsidTr="00875DD0">
        <w:tc>
          <w:tcPr>
            <w:tcW w:w="90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73843B8"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2B7DE0CB" w14:textId="77777777" w:rsidTr="00875DD0">
        <w:tc>
          <w:tcPr>
            <w:tcW w:w="9060" w:type="dxa"/>
            <w:tcBorders>
              <w:top w:val="single" w:sz="4" w:space="0" w:color="auto"/>
            </w:tcBorders>
          </w:tcPr>
          <w:p w14:paraId="6A3FC538" w14:textId="77777777" w:rsidR="00623AF8" w:rsidRPr="001B4DFD" w:rsidRDefault="00623AF8" w:rsidP="00875DD0">
            <w:pPr>
              <w:spacing w:before="120" w:after="120"/>
              <w:jc w:val="both"/>
              <w:rPr>
                <w:rFonts w:ascii="Aptos" w:hAnsi="Aptos"/>
                <w:sz w:val="22"/>
                <w:szCs w:val="22"/>
              </w:rPr>
            </w:pPr>
            <w:r w:rsidRPr="001B4DFD">
              <w:rPr>
                <w:rFonts w:ascii="Aptos" w:hAnsi="Aptos"/>
                <w:sz w:val="22"/>
                <w:szCs w:val="22"/>
              </w:rPr>
              <w:t xml:space="preserve">Die Kapitalmarktunion ist ein Eckpfeiler der europäischen Finanzintegration und erleichtert den grenzüberschreitenden Kapitalverkehr. Sie ist auch aus geopolitischen Gründen ein wichtiger Baustein für den Wirtschaftsstandort Europa. Es gibt jedoch weiterhin einen Steuerwettbewerb zwischen den Mitgliedstaaten, der zulasten der öffentlichen Einnahmen die Daseinsvorsorge für die EU-Bürger:innen schwächt. </w:t>
            </w:r>
            <w:r w:rsidRPr="001B4DFD">
              <w:rPr>
                <w:rFonts w:ascii="Aptos" w:hAnsi="Aptos"/>
                <w:b/>
                <w:bCs/>
                <w:sz w:val="22"/>
                <w:szCs w:val="22"/>
              </w:rPr>
              <w:t>Planen Sie weitere Schritte zur Vertiefung der Kapitalmarktunion?</w:t>
            </w:r>
          </w:p>
        </w:tc>
      </w:tr>
      <w:tr w:rsidR="00623AF8" w:rsidRPr="001B4DFD" w14:paraId="17462016" w14:textId="77777777" w:rsidTr="00875DD0">
        <w:tc>
          <w:tcPr>
            <w:tcW w:w="9060" w:type="dxa"/>
            <w:shd w:val="clear" w:color="auto" w:fill="D9D9D9" w:themeFill="background1" w:themeFillShade="D9"/>
          </w:tcPr>
          <w:p w14:paraId="1725915B"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3BCCB2AE" w14:textId="77777777" w:rsidTr="00875DD0">
        <w:tc>
          <w:tcPr>
            <w:tcW w:w="9060" w:type="dxa"/>
          </w:tcPr>
          <w:p w14:paraId="78499F2A" w14:textId="77777777" w:rsidR="00623AF8" w:rsidRPr="001B4DFD" w:rsidRDefault="00623AF8" w:rsidP="00F63BE8">
            <w:pPr>
              <w:numPr>
                <w:ilvl w:val="0"/>
                <w:numId w:val="12"/>
              </w:numPr>
              <w:spacing w:before="120" w:after="120"/>
              <w:ind w:left="714" w:hanging="357"/>
              <w:contextualSpacing/>
              <w:jc w:val="both"/>
              <w:rPr>
                <w:rFonts w:ascii="Aptos" w:hAnsi="Aptos"/>
                <w:sz w:val="22"/>
                <w:szCs w:val="22"/>
              </w:rPr>
            </w:pPr>
            <w:r w:rsidRPr="001B4DFD">
              <w:rPr>
                <w:rFonts w:ascii="Aptos" w:hAnsi="Aptos"/>
                <w:sz w:val="22"/>
                <w:szCs w:val="22"/>
              </w:rPr>
              <w:t xml:space="preserve">Welche Rolle spielt Ihrer Ansicht nach die Harmonisierung der Steuersysteme? </w:t>
            </w:r>
          </w:p>
          <w:p w14:paraId="3B6C10C9" w14:textId="77777777" w:rsidR="00623AF8" w:rsidRPr="001B4DFD" w:rsidRDefault="00623AF8" w:rsidP="00F63BE8">
            <w:pPr>
              <w:numPr>
                <w:ilvl w:val="0"/>
                <w:numId w:val="12"/>
              </w:numPr>
              <w:spacing w:before="120" w:after="120"/>
              <w:ind w:left="714" w:hanging="357"/>
              <w:contextualSpacing/>
              <w:jc w:val="both"/>
              <w:rPr>
                <w:rFonts w:ascii="Aptos" w:hAnsi="Aptos"/>
                <w:sz w:val="22"/>
                <w:szCs w:val="22"/>
              </w:rPr>
            </w:pPr>
            <w:r w:rsidRPr="001B4DFD">
              <w:rPr>
                <w:rFonts w:ascii="Aptos" w:hAnsi="Aptos"/>
                <w:sz w:val="22"/>
                <w:szCs w:val="22"/>
              </w:rPr>
              <w:t>Planen Sie eine Harmonisierung der Körperschaftssteuer und des Insolvenzrechts?</w:t>
            </w:r>
          </w:p>
        </w:tc>
      </w:tr>
    </w:tbl>
    <w:p w14:paraId="36EF97E0"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0B304BE2" w14:textId="77777777" w:rsidTr="00875DD0">
        <w:trPr>
          <w:trHeight w:val="277"/>
        </w:trPr>
        <w:tc>
          <w:tcPr>
            <w:tcW w:w="9066" w:type="dxa"/>
            <w:shd w:val="clear" w:color="auto" w:fill="D9D9D9"/>
          </w:tcPr>
          <w:p w14:paraId="20A23DF9"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40533803" w14:textId="77777777" w:rsidTr="00875DD0">
        <w:trPr>
          <w:trHeight w:val="1516"/>
        </w:trPr>
        <w:tc>
          <w:tcPr>
            <w:tcW w:w="9066" w:type="dxa"/>
          </w:tcPr>
          <w:p w14:paraId="56DBC915" w14:textId="77777777" w:rsidR="00623AF8" w:rsidRPr="001B4DFD" w:rsidRDefault="00623AF8" w:rsidP="00875DD0">
            <w:pPr>
              <w:spacing w:after="120"/>
              <w:jc w:val="both"/>
              <w:rPr>
                <w:rFonts w:ascii="Aptos" w:hAnsi="Aptos"/>
                <w:b/>
                <w:iCs/>
                <w:sz w:val="22"/>
                <w:szCs w:val="22"/>
                <w:lang w:val="de-AT"/>
              </w:rPr>
            </w:pPr>
            <w:r w:rsidRPr="001B4DFD">
              <w:rPr>
                <w:sz w:val="22"/>
                <w:szCs w:val="22"/>
                <w:lang w:val="de-AT"/>
              </w:rPr>
              <w:t>Ziel der Kapitalmarktunion ist die Integration und Harmonisierung der Kapitalmärkte in der EU, um Unternehmen und Investoren einen besseren Zugang zu Finanzmitteln zu ermöglichen. Dies soll durch die Beseitigung von Hindernissen und die Schaffung eines einheitlichen Kapitalmarkts erreicht werden, der die Effizienz und Wettbewerbsfähigkeit des europäischen Finanzsystems stärkt. Die Kapitalmarktunion ist auch eine wesentliche Voraussetzung, um die Fragmentierung der europäischen Finanzmärkte zu überwinden und den Unternehmen einen besseren Zugang zu Finanzierungsmöglichkeiten und den Anlegern eine größere Auswahl zu bieten. Wichtige Schritte auf dem Weg zu einer solchen Kapitalmarktunion sind Maßnahmen zur Harmonisierung der Regulierung, die Entwicklung gemeinsamer Standards und die Förderung von Investitionen in nachhaltige Projekte. Sie ist auch aus geopolitischen Gründen ein wichtiger Baustein für den Wirtschaftsstandort Europa, da sie die Wettbewerbsfähigkeit der EU im globalen Kontext stärkt und die Finanzstabilität erhöht. Aus der Perspektive der Daseinsvorsorge ist insbesondere die Harmonisierung der Steuersysteme zwischen den EU-Mitgliedstaaten relevant, um einerseits die wirtschaftliche Widerstandsfähigkeit und andererseits die Transparenz für die nationalen Aufsichtsbehörden zu verbessern. Darüber hinaus kann durch die Vertiefung der Kapitalmarktunion der Steuerwettbewerb zwischen den EU-Mitgliedstaaten sowie die Intransparenz von Kapitalströmen verringert werden, was wiederum die Steuerflucht reduziert und damit Mittel für notwendige Infrastrukturinvestitionen freisetzt.</w:t>
            </w:r>
          </w:p>
          <w:p w14:paraId="48BE1C5F" w14:textId="77777777" w:rsidR="00623AF8" w:rsidRPr="001B4DFD" w:rsidRDefault="00623AF8" w:rsidP="00875DD0">
            <w:pPr>
              <w:spacing w:before="100" w:beforeAutospacing="1" w:after="100" w:afterAutospacing="1"/>
              <w:jc w:val="both"/>
              <w:rPr>
                <w:rFonts w:ascii="Times New Roman" w:eastAsia="Times New Roman" w:hAnsi="Times New Roman" w:cs="Times New Roman"/>
                <w:sz w:val="22"/>
                <w:szCs w:val="22"/>
                <w:lang w:val="de-AT" w:eastAsia="de-DE"/>
              </w:rPr>
            </w:pPr>
          </w:p>
        </w:tc>
      </w:tr>
    </w:tbl>
    <w:p w14:paraId="53989A37" w14:textId="77777777" w:rsidR="00623AF8" w:rsidRPr="001B4DFD" w:rsidRDefault="00623AF8" w:rsidP="00623AF8">
      <w:pPr>
        <w:ind w:left="360"/>
        <w:contextualSpacing/>
        <w:rPr>
          <w:rFonts w:ascii="Aptos" w:hAnsi="Aptos"/>
          <w:sz w:val="18"/>
          <w:szCs w:val="18"/>
        </w:rPr>
      </w:pPr>
    </w:p>
    <w:p w14:paraId="206102A1" w14:textId="77777777" w:rsidR="00623AF8" w:rsidRPr="001B4DFD" w:rsidRDefault="00623AF8" w:rsidP="00623AF8">
      <w:pPr>
        <w:spacing w:after="120"/>
        <w:jc w:val="both"/>
        <w:rPr>
          <w:rFonts w:ascii="Aptos" w:hAnsi="Aptos"/>
          <w:b/>
          <w:iCs/>
          <w:sz w:val="22"/>
          <w:szCs w:val="22"/>
        </w:rPr>
      </w:pPr>
    </w:p>
    <w:p w14:paraId="44AE9B60" w14:textId="77777777" w:rsidR="00623AF8" w:rsidRPr="001B4DFD" w:rsidRDefault="00623AF8" w:rsidP="00623AF8">
      <w:pPr>
        <w:rPr>
          <w:rFonts w:ascii="Aptos" w:eastAsiaTheme="majorEastAsia" w:hAnsi="Aptos" w:cstheme="majorBidi"/>
          <w:b/>
          <w:color w:val="E4342D"/>
          <w:szCs w:val="32"/>
        </w:rPr>
      </w:pPr>
      <w:r w:rsidRPr="001B4DFD">
        <w:rPr>
          <w:rFonts w:ascii="Aptos" w:hAnsi="Aptos"/>
        </w:rPr>
        <w:br w:type="page"/>
      </w:r>
    </w:p>
    <w:p w14:paraId="798B9740" w14:textId="77777777" w:rsidR="00623AF8" w:rsidRPr="001B4DFD" w:rsidRDefault="00623AF8" w:rsidP="00623AF8">
      <w:pPr>
        <w:jc w:val="both"/>
        <w:rPr>
          <w:rFonts w:ascii="Aptos" w:hAnsi="Aptos"/>
          <w:bCs/>
          <w:sz w:val="22"/>
          <w:szCs w:val="22"/>
          <w:u w:val="single"/>
        </w:rPr>
      </w:pPr>
    </w:p>
    <w:p w14:paraId="7B36693C" w14:textId="77777777" w:rsidR="00623AF8" w:rsidRPr="001B4DFD" w:rsidRDefault="00623AF8" w:rsidP="00623AF8">
      <w:pPr>
        <w:rPr>
          <w:rFonts w:ascii="Aptos" w:hAnsi="Aptos"/>
        </w:rPr>
      </w:pPr>
    </w:p>
    <w:p w14:paraId="71700DB8" w14:textId="77777777" w:rsidR="00623AF8" w:rsidRPr="001B4DFD" w:rsidRDefault="00623AF8" w:rsidP="00623AF8">
      <w:pPr>
        <w:rPr>
          <w:rFonts w:ascii="Aptos" w:hAnsi="Aptos"/>
        </w:rPr>
      </w:pPr>
      <w:bookmarkStart w:id="332" w:name="_Toc164686685"/>
    </w:p>
    <w:p w14:paraId="72CB2D79" w14:textId="77777777" w:rsidR="00623AF8" w:rsidRPr="001B4DFD" w:rsidRDefault="00623AF8" w:rsidP="00623AF8">
      <w:pPr>
        <w:spacing w:after="120"/>
        <w:jc w:val="both"/>
        <w:outlineLvl w:val="0"/>
        <w:rPr>
          <w:rFonts w:ascii="Aptos" w:eastAsiaTheme="majorEastAsia" w:hAnsi="Aptos" w:cstheme="majorBidi"/>
          <w:b/>
          <w:i/>
          <w:iCs/>
          <w:color w:val="E4342D"/>
          <w:sz w:val="22"/>
          <w:szCs w:val="22"/>
          <w:u w:val="single"/>
        </w:rPr>
      </w:pPr>
      <w:bookmarkStart w:id="333" w:name="_Toc167726978"/>
      <w:bookmarkStart w:id="334" w:name="_Toc170983762"/>
      <w:bookmarkEnd w:id="332"/>
      <w:r w:rsidRPr="001B4DFD">
        <w:rPr>
          <w:rFonts w:ascii="Aptos" w:eastAsiaTheme="majorEastAsia" w:hAnsi="Aptos" w:cstheme="majorBidi"/>
          <w:b/>
          <w:color w:val="E4342D"/>
          <w:szCs w:val="32"/>
        </w:rPr>
        <w:t>Verbesserung der Rahmenbedingung für die interkommunale Zusammenarbeit</w:t>
      </w:r>
      <w:bookmarkEnd w:id="333"/>
      <w:bookmarkEnd w:id="334"/>
    </w:p>
    <w:tbl>
      <w:tblPr>
        <w:tblStyle w:val="Tabellenraster"/>
        <w:tblW w:w="0" w:type="auto"/>
        <w:tblLook w:val="04A0" w:firstRow="1" w:lastRow="0" w:firstColumn="1" w:lastColumn="0" w:noHBand="0" w:noVBand="1"/>
      </w:tblPr>
      <w:tblGrid>
        <w:gridCol w:w="9060"/>
      </w:tblGrid>
      <w:tr w:rsidR="00623AF8" w:rsidRPr="001B4DFD" w14:paraId="47563ADA" w14:textId="77777777" w:rsidTr="00875DD0">
        <w:tc>
          <w:tcPr>
            <w:tcW w:w="9060" w:type="dxa"/>
            <w:shd w:val="clear" w:color="auto" w:fill="D9D9D9" w:themeFill="background1" w:themeFillShade="D9"/>
          </w:tcPr>
          <w:p w14:paraId="779C6EDE"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2CA493E9" w14:textId="77777777" w:rsidTr="00875DD0">
        <w:tc>
          <w:tcPr>
            <w:tcW w:w="9060" w:type="dxa"/>
          </w:tcPr>
          <w:p w14:paraId="521C8EF1" w14:textId="77777777" w:rsidR="00623AF8" w:rsidRPr="001B4DFD" w:rsidRDefault="00623AF8" w:rsidP="00875DD0">
            <w:pPr>
              <w:spacing w:before="120" w:after="120"/>
              <w:jc w:val="both"/>
              <w:rPr>
                <w:rFonts w:ascii="Aptos" w:hAnsi="Aptos"/>
                <w:b/>
                <w:bCs/>
                <w:sz w:val="22"/>
                <w:szCs w:val="22"/>
              </w:rPr>
            </w:pPr>
            <w:r w:rsidRPr="001B4DFD">
              <w:rPr>
                <w:rFonts w:ascii="Aptos" w:hAnsi="Aptos"/>
                <w:sz w:val="22"/>
                <w:szCs w:val="22"/>
              </w:rPr>
              <w:t xml:space="preserve">Interkommunale Zusammenarbeit, öffentlich-rechtliche Verträge und Verwaltungsgemeinschaften sind wichtige Instrumente zur effizienten Erfüllung öffentlicher Aufgaben unter Berücksichtigung eines sparsamen und nachhaltigen Einsatzes der vorhandenen Finanzmittel. Ein Mehr an Bürgerservice und eine Optimierung der Verwaltungskosten stehen dabei im Mittelpunkt. Interkommunale Zusammenarbeit, konkret Verwaltungsgemeinschaften und Kooperationen, unterliegen seit 2012 der Umsatzsteuerpflicht. Obwohl im eigenen Wirkungsbereich der Gemeinden erbracht, verteuerten sich diese Leistungen im Rahmen der interkommunalen Zusammenarbeit auf einen Schlag um 20 Prozent. </w:t>
            </w:r>
            <w:r w:rsidRPr="001B4DFD">
              <w:rPr>
                <w:rFonts w:ascii="Aptos" w:hAnsi="Aptos"/>
                <w:b/>
                <w:bCs/>
                <w:sz w:val="22"/>
                <w:szCs w:val="22"/>
              </w:rPr>
              <w:t>Planen Sie eine Initiative zur Förderung der interkommunalen Zusammenarbeit zwischen EU-Gemeinden und EU-Städten?</w:t>
            </w:r>
          </w:p>
        </w:tc>
      </w:tr>
      <w:tr w:rsidR="00623AF8" w:rsidRPr="001B4DFD" w14:paraId="4AF460E0" w14:textId="77777777" w:rsidTr="00875DD0">
        <w:tc>
          <w:tcPr>
            <w:tcW w:w="9060" w:type="dxa"/>
            <w:tcBorders>
              <w:bottom w:val="single" w:sz="4" w:space="0" w:color="auto"/>
            </w:tcBorders>
            <w:shd w:val="clear" w:color="auto" w:fill="D9D9D9" w:themeFill="background1" w:themeFillShade="D9"/>
          </w:tcPr>
          <w:p w14:paraId="40CB1BC0"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46B82A71" w14:textId="77777777" w:rsidTr="00875DD0">
        <w:tc>
          <w:tcPr>
            <w:tcW w:w="9060" w:type="dxa"/>
          </w:tcPr>
          <w:p w14:paraId="1C356032" w14:textId="77777777" w:rsidR="00623AF8" w:rsidRPr="001B4DFD" w:rsidRDefault="00623AF8" w:rsidP="00F63BE8">
            <w:pPr>
              <w:numPr>
                <w:ilvl w:val="0"/>
                <w:numId w:val="43"/>
              </w:numPr>
              <w:spacing w:before="120" w:after="120"/>
              <w:contextualSpacing/>
              <w:jc w:val="both"/>
              <w:rPr>
                <w:rFonts w:ascii="Aptos" w:hAnsi="Aptos"/>
                <w:sz w:val="22"/>
                <w:szCs w:val="22"/>
              </w:rPr>
            </w:pPr>
            <w:r w:rsidRPr="001B4DFD">
              <w:rPr>
                <w:rFonts w:ascii="Aptos" w:hAnsi="Aptos"/>
                <w:sz w:val="22"/>
                <w:szCs w:val="22"/>
              </w:rPr>
              <w:t>Werden Sie sich dafür einsetzen, dass bei der interkommunalen Kooperation ein Verzicht auf die Mehrwertsteuer (Vergaberichtlinie) möglich wird?</w:t>
            </w:r>
          </w:p>
        </w:tc>
      </w:tr>
    </w:tbl>
    <w:p w14:paraId="22410772" w14:textId="77777777" w:rsidR="00623AF8" w:rsidRPr="001B4DFD" w:rsidRDefault="00623AF8" w:rsidP="00623AF8">
      <w:pPr>
        <w:spacing w:after="120"/>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1B4DFD" w14:paraId="036566EC" w14:textId="77777777" w:rsidTr="00875DD0">
        <w:trPr>
          <w:trHeight w:val="277"/>
        </w:trPr>
        <w:tc>
          <w:tcPr>
            <w:tcW w:w="9066" w:type="dxa"/>
            <w:shd w:val="clear" w:color="auto" w:fill="D9D9D9"/>
          </w:tcPr>
          <w:p w14:paraId="33C76473"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40693BDD" w14:textId="77777777" w:rsidTr="00875DD0">
        <w:trPr>
          <w:trHeight w:val="1516"/>
        </w:trPr>
        <w:tc>
          <w:tcPr>
            <w:tcW w:w="9066" w:type="dxa"/>
          </w:tcPr>
          <w:p w14:paraId="642A28B9" w14:textId="77777777" w:rsidR="00623AF8" w:rsidRPr="001B4DFD" w:rsidRDefault="00623AF8" w:rsidP="00875DD0">
            <w:pPr>
              <w:spacing w:after="120"/>
              <w:jc w:val="both"/>
              <w:rPr>
                <w:sz w:val="22"/>
                <w:szCs w:val="22"/>
                <w:lang w:val="de-AT"/>
              </w:rPr>
            </w:pPr>
            <w:r w:rsidRPr="001B4DFD">
              <w:rPr>
                <w:rFonts w:ascii="Aptos" w:hAnsi="Aptos"/>
                <w:sz w:val="22"/>
                <w:szCs w:val="22"/>
                <w:lang w:val="de-AT"/>
              </w:rPr>
              <w:t>Derzeit gibt es in Europa zahlreiche Förderprogramme und finanzielle Unterstützungsmöglichkeiten, die den Kommunen bei der Bewältigung ihrer Herausforderungen helfen sollen. Leider bleiben diese Möglichkeiten oft ungenutzt, da viele Kommunen nicht über die Ressourcen oder das Fachwissen verfügen, um geeignete Projektanträge zu stellen und die notwendigen administrativen Aufgaben zu erledigen. Eine verstärkte Zusammenarbeit kann helfen, die vorhandenen Ressourcen zu bündeln und die Expertise verschiedener Kommunen zu teilen, was die Chancen auf Fördermittel deutlich erhöht. Die Themen sind vielfältig und reichen von der Modernisierung der Infrastruktur bis hin zur Förderung von Bildung, Kultur und Umweltschutz. In einigen europäischen Regionen gibt es bereits positive Beispiele für eine erfolgreiche interkommunale Zusammenarbeit. Kommunen haben sich zusammengeschlossen, um gemeinsame Infrastrukturprojekte zu realisieren, den Tourismus zu fördern oder die Energiewende voranzutreiben</w:t>
            </w:r>
            <w:r w:rsidRPr="001B4DFD">
              <w:rPr>
                <w:rFonts w:ascii="Aptos" w:hAnsi="Aptos"/>
                <w:sz w:val="22"/>
                <w:szCs w:val="22"/>
                <w:vertAlign w:val="superscript"/>
              </w:rPr>
              <w:footnoteReference w:id="11"/>
            </w:r>
            <w:r w:rsidRPr="001B4DFD">
              <w:rPr>
                <w:rFonts w:ascii="Aptos" w:hAnsi="Aptos"/>
                <w:sz w:val="22"/>
                <w:szCs w:val="22"/>
                <w:vertAlign w:val="subscript"/>
                <w:lang w:val="de-AT"/>
              </w:rPr>
              <w:t>.</w:t>
            </w:r>
            <w:r w:rsidRPr="001B4DFD">
              <w:rPr>
                <w:rFonts w:ascii="Aptos" w:hAnsi="Aptos"/>
                <w:sz w:val="22"/>
                <w:szCs w:val="22"/>
                <w:lang w:val="de-AT"/>
              </w:rPr>
              <w:t xml:space="preserve"> Diese Projekte zeigen, dass ein koordiniertes und kooperatives Vorgehen für die Kommunen von Vorteil ist und zu positiven Ergebnissen führen kann. Allerdings unterliegt die interkommunale Zusammenarbeit - konkret Verwaltungsgemeinschaften und Kooperationen - im Gegensatz zu Banken und Versicherungen seit 2012 der Umsatzsteuerpflicht. Obwohl diese Leistungen im eigenen Wirkungsbereich der Gemeinden erbracht werden, sind sie im Rahmen der interkommunalen Zusammenarbeit auf einen Schlag um 20 Prozent teurer geworden. Aus Sicht der Daseinsvorsorge ist es wichtig, die Potenziale der europäischen Förderprogramme voll auszuschöpfen und die Lebensqualität in den Kommunen nachhaltig zu verbessern. </w:t>
            </w:r>
          </w:p>
        </w:tc>
      </w:tr>
    </w:tbl>
    <w:p w14:paraId="202A7464" w14:textId="77777777" w:rsidR="00623AF8" w:rsidRPr="001B4DFD" w:rsidRDefault="00623AF8" w:rsidP="00623AF8">
      <w:pPr>
        <w:spacing w:after="120"/>
        <w:jc w:val="both"/>
        <w:rPr>
          <w:rFonts w:ascii="Aptos" w:hAnsi="Aptos"/>
          <w:sz w:val="22"/>
          <w:szCs w:val="22"/>
        </w:rPr>
      </w:pPr>
    </w:p>
    <w:p w14:paraId="17BFD169"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35" w:name="_Toc167726979"/>
    </w:p>
    <w:p w14:paraId="34D15BA6" w14:textId="77777777" w:rsidR="00623AF8" w:rsidRPr="001B4DFD" w:rsidRDefault="00623AF8" w:rsidP="00623AF8"/>
    <w:p w14:paraId="5EB5B31D" w14:textId="77777777" w:rsidR="00623AF8" w:rsidRDefault="00623AF8" w:rsidP="00623AF8">
      <w:pPr>
        <w:spacing w:before="120"/>
        <w:jc w:val="both"/>
        <w:outlineLvl w:val="0"/>
        <w:rPr>
          <w:rFonts w:ascii="Aptos" w:eastAsiaTheme="majorEastAsia" w:hAnsi="Aptos" w:cstheme="majorBidi"/>
          <w:b/>
          <w:color w:val="E4342D"/>
          <w:szCs w:val="32"/>
        </w:rPr>
      </w:pPr>
    </w:p>
    <w:p w14:paraId="7BA54822" w14:textId="77777777" w:rsidR="00623AF8" w:rsidRDefault="00623AF8" w:rsidP="00623AF8">
      <w:pPr>
        <w:spacing w:before="120"/>
        <w:jc w:val="both"/>
        <w:outlineLvl w:val="0"/>
        <w:rPr>
          <w:rFonts w:ascii="Aptos" w:eastAsiaTheme="majorEastAsia" w:hAnsi="Aptos" w:cstheme="majorBidi"/>
          <w:b/>
          <w:color w:val="E4342D"/>
          <w:szCs w:val="32"/>
        </w:rPr>
      </w:pPr>
    </w:p>
    <w:p w14:paraId="0ECD3013" w14:textId="77777777" w:rsidR="00623AF8" w:rsidRDefault="00623AF8" w:rsidP="00623AF8">
      <w:pPr>
        <w:spacing w:before="120"/>
        <w:jc w:val="both"/>
        <w:outlineLvl w:val="0"/>
        <w:rPr>
          <w:rFonts w:ascii="Aptos" w:eastAsiaTheme="majorEastAsia" w:hAnsi="Aptos" w:cstheme="majorBidi"/>
          <w:b/>
          <w:color w:val="E4342D"/>
          <w:szCs w:val="32"/>
        </w:rPr>
      </w:pPr>
    </w:p>
    <w:p w14:paraId="70B9F5C8"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36" w:name="_Toc170983763"/>
      <w:r w:rsidRPr="001B4DFD">
        <w:rPr>
          <w:rFonts w:ascii="Aptos" w:eastAsiaTheme="majorEastAsia" w:hAnsi="Aptos" w:cstheme="majorBidi"/>
          <w:b/>
          <w:color w:val="E4342D"/>
          <w:szCs w:val="32"/>
        </w:rPr>
        <w:t>Vorbeugung von immobilienwirtschaftlich induzierten Finanzkrisen</w:t>
      </w:r>
      <w:bookmarkEnd w:id="335"/>
      <w:bookmarkEnd w:id="336"/>
    </w:p>
    <w:p w14:paraId="2916F24B"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44B81F65" w14:textId="77777777" w:rsidTr="00875DD0">
        <w:tc>
          <w:tcPr>
            <w:tcW w:w="9060" w:type="dxa"/>
            <w:shd w:val="clear" w:color="auto" w:fill="D9D9D9" w:themeFill="background1" w:themeFillShade="D9"/>
          </w:tcPr>
          <w:p w14:paraId="7059EBCE"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1D473730" w14:textId="77777777" w:rsidTr="00875DD0">
        <w:tc>
          <w:tcPr>
            <w:tcW w:w="9060" w:type="dxa"/>
          </w:tcPr>
          <w:p w14:paraId="66992C59" w14:textId="77777777" w:rsidR="00623AF8" w:rsidRPr="001B4DFD" w:rsidRDefault="00623AF8" w:rsidP="00875DD0">
            <w:pPr>
              <w:spacing w:before="120" w:after="120"/>
              <w:jc w:val="both"/>
              <w:rPr>
                <w:rFonts w:ascii="Aptos" w:hAnsi="Aptos"/>
                <w:b/>
                <w:bCs/>
                <w:sz w:val="22"/>
                <w:szCs w:val="22"/>
              </w:rPr>
            </w:pPr>
            <w:r w:rsidRPr="001B4DFD">
              <w:rPr>
                <w:rFonts w:ascii="Aptos" w:hAnsi="Aptos" w:cs="Segoe UI"/>
                <w:color w:val="0D0D0D"/>
                <w:sz w:val="22"/>
                <w:szCs w:val="22"/>
                <w:shd w:val="clear" w:color="auto" w:fill="FFFFFF"/>
              </w:rPr>
              <w:t xml:space="preserve">Die Finanzkrise von 2007-2008 wurde vor allem durch eine Kombination aus übermäßiger Vergabe von Hypothekenkrediten an risikoreiche Schuldner, unzureichender Regulierung und dem Zusammenbruch des US-Immobilienmarktes ausgelöst, der zu einem massiven Wertverlust von Vermögenswerten führte und das gesamte Finanzsystem destabilisierte. Auch der europäische Immobilienmarkt war in den letzten 15 Jahren von einer großzügigen privaten und öffentlichen Kreditvergabe geprägt. </w:t>
            </w:r>
            <w:r w:rsidRPr="001B4DFD">
              <w:rPr>
                <w:rFonts w:ascii="Aptos" w:hAnsi="Aptos" w:cs="Segoe UI"/>
                <w:b/>
                <w:bCs/>
                <w:color w:val="0D0D0D"/>
                <w:sz w:val="22"/>
                <w:szCs w:val="22"/>
                <w:shd w:val="clear" w:color="auto" w:fill="FFFFFF"/>
              </w:rPr>
              <w:t>Welche Maßnahmen planen Sie, um das Risiko einer immobilienwirtschaftlich induzierten Finanzkrise in Europa zu vermeiden?</w:t>
            </w:r>
          </w:p>
        </w:tc>
      </w:tr>
      <w:tr w:rsidR="00623AF8" w:rsidRPr="001B4DFD" w14:paraId="0195855A" w14:textId="77777777" w:rsidTr="00875DD0">
        <w:tc>
          <w:tcPr>
            <w:tcW w:w="9060" w:type="dxa"/>
            <w:shd w:val="clear" w:color="auto" w:fill="D9D9D9" w:themeFill="background1" w:themeFillShade="D9"/>
          </w:tcPr>
          <w:p w14:paraId="501CF2A5"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0150A074" w14:textId="77777777" w:rsidTr="00875DD0">
        <w:tc>
          <w:tcPr>
            <w:tcW w:w="9060" w:type="dxa"/>
          </w:tcPr>
          <w:p w14:paraId="60298644" w14:textId="77777777" w:rsidR="00623AF8" w:rsidRPr="001B4DFD" w:rsidRDefault="00623AF8" w:rsidP="00F63BE8">
            <w:pPr>
              <w:numPr>
                <w:ilvl w:val="0"/>
                <w:numId w:val="13"/>
              </w:numPr>
              <w:spacing w:before="120" w:after="120"/>
              <w:ind w:left="714" w:hanging="357"/>
              <w:contextualSpacing/>
              <w:rPr>
                <w:rFonts w:ascii="Aptos" w:hAnsi="Aptos"/>
                <w:sz w:val="22"/>
                <w:szCs w:val="22"/>
              </w:rPr>
            </w:pPr>
            <w:r w:rsidRPr="001B4DFD">
              <w:rPr>
                <w:rFonts w:ascii="Aptos" w:hAnsi="Aptos"/>
                <w:sz w:val="22"/>
                <w:szCs w:val="22"/>
              </w:rPr>
              <w:t>Welche Schritte planen Sie, damit sehr große verbundene Unternehmen (z.B. ab 1 Mrd. Bilanzsumme) eine konsolidierte Bilanz vorlegen müssen?</w:t>
            </w:r>
          </w:p>
          <w:p w14:paraId="3410BDDD" w14:textId="77777777" w:rsidR="00623AF8" w:rsidRPr="001B4DFD" w:rsidRDefault="00623AF8" w:rsidP="00F63BE8">
            <w:pPr>
              <w:numPr>
                <w:ilvl w:val="0"/>
                <w:numId w:val="13"/>
              </w:numPr>
              <w:spacing w:before="120" w:after="120"/>
              <w:ind w:left="714" w:hanging="357"/>
              <w:contextualSpacing/>
              <w:rPr>
                <w:rFonts w:ascii="Aptos" w:hAnsi="Aptos"/>
                <w:sz w:val="22"/>
                <w:szCs w:val="22"/>
              </w:rPr>
            </w:pPr>
            <w:r w:rsidRPr="001B4DFD">
              <w:rPr>
                <w:rFonts w:ascii="Aptos" w:hAnsi="Aptos"/>
                <w:sz w:val="22"/>
                <w:szCs w:val="22"/>
              </w:rPr>
              <w:t>Gibt es weitere Überlegungen zur Stabilisierung des Finanzmarktes mit Blick auf potenzielle Überschuldung großer Akteure am Immobilienmarkt?</w:t>
            </w:r>
          </w:p>
        </w:tc>
      </w:tr>
    </w:tbl>
    <w:p w14:paraId="0D283B77"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0A529AE8" w14:textId="77777777" w:rsidTr="00875DD0">
        <w:trPr>
          <w:trHeight w:val="277"/>
        </w:trPr>
        <w:tc>
          <w:tcPr>
            <w:tcW w:w="9066" w:type="dxa"/>
            <w:shd w:val="clear" w:color="auto" w:fill="D9D9D9"/>
          </w:tcPr>
          <w:p w14:paraId="5B7DF5FC"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02B633A1" w14:textId="77777777" w:rsidTr="00875DD0">
        <w:trPr>
          <w:trHeight w:val="1516"/>
        </w:trPr>
        <w:tc>
          <w:tcPr>
            <w:tcW w:w="9066" w:type="dxa"/>
          </w:tcPr>
          <w:p w14:paraId="1E0D63B1" w14:textId="77777777" w:rsidR="00623AF8" w:rsidRPr="001B4DFD" w:rsidRDefault="00623AF8" w:rsidP="00875DD0">
            <w:pPr>
              <w:spacing w:after="120"/>
              <w:jc w:val="both"/>
              <w:rPr>
                <w:sz w:val="22"/>
                <w:szCs w:val="22"/>
                <w:lang w:val="de-AT"/>
              </w:rPr>
            </w:pPr>
            <w:r w:rsidRPr="001B4DFD">
              <w:rPr>
                <w:rFonts w:ascii="Aptos" w:hAnsi="Aptos"/>
                <w:sz w:val="22"/>
                <w:szCs w:val="22"/>
                <w:lang w:val="de-AT"/>
              </w:rPr>
              <w:t>Die aktuelle Situation auf dem europäischen Immobilienmarkt ist aus mehreren Gründen sehr angespannt: hohe Zinslast, hohe Inflation und stark gestiegene Energiekosten, um nur einige zu nennen. Zwar unterscheidet sich diese Lage inhaltlich von der Finanzkrise 2007-2008, die hauptsächlich durch eine übermäßige Vergabe von Hypothekenkrediten an risikoreiche Schuldner, unzureichende Regulierung und den Zusammenbruch des US-Immobilienmarktes ausgelöst wurde, was zu einem massiven Wertverlust von Vermögenswerten und zur Destabilisierung des gesamten Finanzsystems führte. Dennoch war der europäische Immobilienmarkt in den letzten 15 Jahren durch eine großzügige private und öffentliche Kreditvergabe geprägt und reagiert sensibel auf konjunkturelle Einbrüche. Aus Sicht der Daseinsvorsorge ist es wichtig, das Risiko zukünftiger Finanzkrisen zu reduzieren. In diesem Zusammenhang ist die Transparenz großer privatwirtschaftlicher Unternehmen sowie sinnvolle Regularien wichtig, um Überschuldung und Insolvenz zu vermeiden.</w:t>
            </w:r>
          </w:p>
        </w:tc>
      </w:tr>
    </w:tbl>
    <w:p w14:paraId="22E74F0D" w14:textId="77777777" w:rsidR="00623AF8" w:rsidRPr="001B4DFD" w:rsidRDefault="00623AF8" w:rsidP="00623AF8">
      <w:pPr>
        <w:jc w:val="both"/>
        <w:rPr>
          <w:rFonts w:ascii="Aptos" w:hAnsi="Aptos"/>
          <w:bCs/>
          <w:sz w:val="22"/>
          <w:szCs w:val="22"/>
          <w:u w:val="single"/>
        </w:rPr>
      </w:pPr>
      <w:r w:rsidRPr="001B4DFD">
        <w:rPr>
          <w:rFonts w:ascii="Aptos" w:hAnsi="Aptos"/>
          <w:bCs/>
          <w:sz w:val="22"/>
          <w:szCs w:val="22"/>
          <w:u w:val="single"/>
        </w:rPr>
        <w:br w:type="page"/>
      </w:r>
    </w:p>
    <w:p w14:paraId="1ED07BF8" w14:textId="77777777" w:rsidR="00623AF8" w:rsidRPr="001B4DFD" w:rsidRDefault="00623AF8" w:rsidP="00623AF8">
      <w:pPr>
        <w:jc w:val="both"/>
        <w:rPr>
          <w:rFonts w:ascii="Aptos" w:hAnsi="Aptos"/>
          <w:bCs/>
          <w:sz w:val="22"/>
          <w:szCs w:val="22"/>
          <w:u w:val="single"/>
        </w:rPr>
      </w:pPr>
    </w:p>
    <w:p w14:paraId="3F30A632" w14:textId="77777777" w:rsidR="00623AF8" w:rsidRPr="001B4DFD" w:rsidRDefault="00623AF8" w:rsidP="00623AF8">
      <w:pPr>
        <w:rPr>
          <w:rFonts w:ascii="Aptos" w:hAnsi="Aptos"/>
        </w:rPr>
      </w:pPr>
    </w:p>
    <w:p w14:paraId="4864A27B" w14:textId="77777777" w:rsidR="00623AF8" w:rsidRPr="001B4DFD" w:rsidRDefault="00623AF8" w:rsidP="00623AF8">
      <w:pPr>
        <w:rPr>
          <w:rFonts w:ascii="Aptos" w:hAnsi="Aptos"/>
        </w:rPr>
      </w:pPr>
    </w:p>
    <w:p w14:paraId="57BA2C1D"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37" w:name="_Toc167726980"/>
      <w:bookmarkStart w:id="338" w:name="_Toc170983764"/>
      <w:r w:rsidRPr="001B4DFD">
        <w:rPr>
          <w:rFonts w:ascii="Aptos" w:eastAsiaTheme="majorEastAsia" w:hAnsi="Aptos" w:cstheme="majorBidi"/>
          <w:b/>
          <w:color w:val="E4342D"/>
          <w:szCs w:val="32"/>
        </w:rPr>
        <w:t>Erweiterung fiskalischer Instrumente für Zukunftsinvestitionen</w:t>
      </w:r>
      <w:bookmarkEnd w:id="337"/>
      <w:bookmarkEnd w:id="338"/>
    </w:p>
    <w:p w14:paraId="1C3B2FCD"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5A62B22C" w14:textId="77777777" w:rsidTr="00875DD0">
        <w:tc>
          <w:tcPr>
            <w:tcW w:w="9060" w:type="dxa"/>
            <w:shd w:val="clear" w:color="auto" w:fill="D9D9D9" w:themeFill="background1" w:themeFillShade="D9"/>
          </w:tcPr>
          <w:p w14:paraId="25A58817"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763DC715" w14:textId="77777777" w:rsidTr="00875DD0">
        <w:tc>
          <w:tcPr>
            <w:tcW w:w="9060" w:type="dxa"/>
          </w:tcPr>
          <w:p w14:paraId="175A1755" w14:textId="77777777" w:rsidR="00623AF8" w:rsidRPr="001B4DFD" w:rsidRDefault="00623AF8" w:rsidP="00875DD0">
            <w:pPr>
              <w:spacing w:before="120" w:after="120"/>
              <w:jc w:val="both"/>
              <w:rPr>
                <w:rFonts w:ascii="Aptos" w:hAnsi="Aptos"/>
                <w:sz w:val="22"/>
                <w:szCs w:val="22"/>
                <w:lang w:val="de-DE"/>
              </w:rPr>
            </w:pPr>
            <w:r w:rsidRPr="001B4DFD">
              <w:rPr>
                <w:rFonts w:ascii="Aptos" w:hAnsi="Aptos" w:cs="Segoe UI"/>
                <w:color w:val="0D0D0D"/>
                <w:sz w:val="22"/>
                <w:szCs w:val="22"/>
                <w:shd w:val="clear" w:color="auto" w:fill="FFFFFF"/>
              </w:rPr>
              <w:t xml:space="preserve">Vor dem Hintergrund des hohen Investitionsbedarfs in den Bereichen Sozialpolitik, Klimaschutz und kritische Infrastrukturen sind ein solider EU-Haushalt und finanzstarke Mitgliedstaaten erforderlich. Der Einsatz wirksamer steuerlicher Instrumente ermöglicht eine gerechtere Verteilung der finanziellen Lasten und trägt zur Schließung von Steuerschlupflöchern bei, was wiederum die Integrität des EU-Finanzsystems fördert. </w:t>
            </w:r>
            <w:r w:rsidRPr="001B4DFD">
              <w:rPr>
                <w:rFonts w:ascii="Aptos" w:hAnsi="Aptos" w:cs="Segoe UI"/>
                <w:b/>
                <w:bCs/>
                <w:color w:val="0D0D0D"/>
                <w:sz w:val="22"/>
                <w:szCs w:val="22"/>
                <w:shd w:val="clear" w:color="auto" w:fill="FFFFFF"/>
              </w:rPr>
              <w:t>Welche fiskalischen Instrumente (Kerosinsteuer, Finanztransaktionssteuer, Vermögens- und Stiftungsabgabe etc.) halten Sie für elementar, um sozial- und klimapolitische Programme EU-weit finanzieren zu können?</w:t>
            </w:r>
          </w:p>
        </w:tc>
      </w:tr>
      <w:tr w:rsidR="00623AF8" w:rsidRPr="001B4DFD" w14:paraId="3DB2D2A1" w14:textId="77777777" w:rsidTr="00875DD0">
        <w:tc>
          <w:tcPr>
            <w:tcW w:w="9060" w:type="dxa"/>
            <w:shd w:val="clear" w:color="auto" w:fill="D9D9D9" w:themeFill="background1" w:themeFillShade="D9"/>
          </w:tcPr>
          <w:p w14:paraId="3B0B5B1A"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365EE2B3" w14:textId="77777777" w:rsidTr="00875DD0">
        <w:tc>
          <w:tcPr>
            <w:tcW w:w="9060" w:type="dxa"/>
          </w:tcPr>
          <w:p w14:paraId="104750B2" w14:textId="77777777" w:rsidR="00623AF8" w:rsidRPr="001B4DFD" w:rsidRDefault="00623AF8" w:rsidP="00F63BE8">
            <w:pPr>
              <w:numPr>
                <w:ilvl w:val="0"/>
                <w:numId w:val="18"/>
              </w:numPr>
              <w:spacing w:before="120" w:after="120"/>
              <w:contextualSpacing/>
              <w:jc w:val="both"/>
              <w:rPr>
                <w:rFonts w:ascii="Aptos" w:hAnsi="Aptos"/>
                <w:sz w:val="22"/>
                <w:szCs w:val="22"/>
                <w:lang w:val="de-DE"/>
              </w:rPr>
            </w:pPr>
            <w:r w:rsidRPr="001B4DFD">
              <w:rPr>
                <w:rFonts w:ascii="Aptos" w:hAnsi="Aptos"/>
                <w:sz w:val="22"/>
                <w:szCs w:val="22"/>
              </w:rPr>
              <w:t>Mit welchen Fiskalmaßnahmen wollen Sie den EU-Haushalt stärken, um große transnationale Transformationsprojekte (Eisenbahnnetze, Energienetze) finanzieren zu können?</w:t>
            </w:r>
          </w:p>
          <w:p w14:paraId="1AEF66DA" w14:textId="77777777" w:rsidR="00623AF8" w:rsidRPr="001B4DFD" w:rsidRDefault="00623AF8" w:rsidP="00F63BE8">
            <w:pPr>
              <w:numPr>
                <w:ilvl w:val="0"/>
                <w:numId w:val="18"/>
              </w:numPr>
              <w:spacing w:before="120" w:after="120"/>
              <w:contextualSpacing/>
              <w:jc w:val="both"/>
              <w:rPr>
                <w:rFonts w:ascii="Aptos" w:hAnsi="Aptos"/>
                <w:sz w:val="22"/>
                <w:szCs w:val="22"/>
                <w:lang w:val="de-DE"/>
              </w:rPr>
            </w:pPr>
            <w:r w:rsidRPr="001B4DFD">
              <w:rPr>
                <w:rFonts w:ascii="Aptos" w:hAnsi="Aptos"/>
                <w:sz w:val="22"/>
                <w:szCs w:val="22"/>
                <w:lang w:val="de-DE"/>
              </w:rPr>
              <w:t>Welche Maßnahmen planen Sie, um den Steuerwettbewerb zwischen den EU-Mitgliedstaaten zu verringern?</w:t>
            </w:r>
          </w:p>
          <w:p w14:paraId="6D4976C9" w14:textId="77777777" w:rsidR="00623AF8" w:rsidRPr="001B4DFD" w:rsidRDefault="00623AF8" w:rsidP="00F63BE8">
            <w:pPr>
              <w:numPr>
                <w:ilvl w:val="0"/>
                <w:numId w:val="18"/>
              </w:numPr>
              <w:spacing w:before="120" w:after="120"/>
              <w:contextualSpacing/>
              <w:jc w:val="both"/>
              <w:rPr>
                <w:rFonts w:ascii="Aptos" w:hAnsi="Aptos"/>
                <w:sz w:val="22"/>
                <w:szCs w:val="22"/>
                <w:lang w:val="de-DE"/>
              </w:rPr>
            </w:pPr>
            <w:r w:rsidRPr="001B4DFD">
              <w:rPr>
                <w:rFonts w:ascii="Aptos" w:hAnsi="Aptos"/>
                <w:sz w:val="22"/>
                <w:szCs w:val="22"/>
                <w:lang w:val="de-DE"/>
              </w:rPr>
              <w:t>Welche Initiativen halten Sie für wichtig, damit die Mitgliedstaaten in ihren Steuergesetzen mehr Spielraum erhalten, um sozial- und klimapolitische Programme umzusetzen?</w:t>
            </w:r>
          </w:p>
        </w:tc>
      </w:tr>
    </w:tbl>
    <w:p w14:paraId="712BB33C"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5C9737D3" w14:textId="77777777" w:rsidTr="00875DD0">
        <w:trPr>
          <w:trHeight w:val="277"/>
        </w:trPr>
        <w:tc>
          <w:tcPr>
            <w:tcW w:w="9066" w:type="dxa"/>
            <w:shd w:val="clear" w:color="auto" w:fill="D9D9D9"/>
          </w:tcPr>
          <w:p w14:paraId="3487E634"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74389143" w14:textId="77777777" w:rsidTr="00875DD0">
        <w:trPr>
          <w:trHeight w:val="1516"/>
        </w:trPr>
        <w:tc>
          <w:tcPr>
            <w:tcW w:w="9066" w:type="dxa"/>
          </w:tcPr>
          <w:p w14:paraId="304578D0" w14:textId="77777777" w:rsidR="00623AF8" w:rsidRPr="001B4DFD" w:rsidRDefault="00623AF8" w:rsidP="00875DD0">
            <w:pPr>
              <w:spacing w:after="120"/>
              <w:jc w:val="both"/>
              <w:rPr>
                <w:sz w:val="22"/>
                <w:szCs w:val="22"/>
                <w:lang w:val="de-AT"/>
              </w:rPr>
            </w:pPr>
            <w:r w:rsidRPr="001B4DFD">
              <w:rPr>
                <w:rFonts w:ascii="Aptos" w:hAnsi="Aptos"/>
                <w:sz w:val="22"/>
                <w:szCs w:val="22"/>
                <w:lang w:val="de-AT"/>
              </w:rPr>
              <w:t xml:space="preserve">Um sozial- und klimapolitische Programme EU-weit finanzieren zu können, sind verschiedene fiskalische Instrumente von zentraler Bedeutung. Auch für die notwendigen transnationalen Infrastrukturinvestitionen - z.B. Ausbau des europäischen Schienennetzes, Optimierung des Energienetzes - sind neue EU-Programme erforderlich. In diesem Zusammenhang stellt sich die Frage nach neuen fiskalischen Instrumenten zur Bewältigung dieser Herausforderungen. Beispielsweise könnte die Einführung von Steuern und Abgaben auf bestimmte Bereiche oder Finanztransaktionen dazu beitragen, zusätzliche Einnahmen zu generieren, die zur Finanzierung dieser Programme verwendet werden können. Steuerliche Maßnahmen für den EU-Haushalt sollten jedoch mit Augenmaß eingesetzt werden und darauf abzielen, eine gerechtere Verteilung der finanziellen Lasten zu erreichen und gleichzeitig die Integrität des Finanzsystems zu stärken. Darüber hinaus ist es wichtig, dass diese Instrumente effizient gestaltet werden, um ihre Ziele zu erreichen, und dass sie in einem koordinierten Rahmen auf EU-Ebene eingesetzt werden, um Wettbewerbsverzerrungen zu vermeiden und ihre Wirksamkeit zu maximieren.  Aus der Sicht der Daseinsvorsorge ist es wichtig, dass Investitionen in die Zukunft möglich sind und dafür ausreichende Mittel im EU-Haushalt bereitgestellt werden.  </w:t>
            </w:r>
          </w:p>
        </w:tc>
      </w:tr>
    </w:tbl>
    <w:p w14:paraId="39299F0B" w14:textId="77777777" w:rsidR="00623AF8" w:rsidRPr="001B4DFD" w:rsidRDefault="00623AF8" w:rsidP="00623AF8">
      <w:pPr>
        <w:jc w:val="both"/>
        <w:rPr>
          <w:rFonts w:ascii="Aptos" w:hAnsi="Aptos"/>
          <w:sz w:val="22"/>
          <w:szCs w:val="22"/>
        </w:rPr>
      </w:pPr>
    </w:p>
    <w:p w14:paraId="0CC72B76" w14:textId="77777777" w:rsidR="00623AF8" w:rsidRPr="001B4DFD" w:rsidRDefault="00623AF8" w:rsidP="00623AF8">
      <w:pPr>
        <w:jc w:val="both"/>
        <w:rPr>
          <w:rFonts w:ascii="Aptos" w:hAnsi="Aptos"/>
          <w:sz w:val="22"/>
          <w:szCs w:val="22"/>
        </w:rPr>
      </w:pPr>
    </w:p>
    <w:p w14:paraId="4FDB05C3" w14:textId="77777777" w:rsidR="00623AF8" w:rsidRPr="001B4DFD" w:rsidRDefault="00623AF8" w:rsidP="00623AF8">
      <w:pPr>
        <w:jc w:val="both"/>
        <w:rPr>
          <w:rFonts w:ascii="Aptos" w:hAnsi="Aptos"/>
          <w:sz w:val="22"/>
          <w:szCs w:val="22"/>
        </w:rPr>
      </w:pPr>
    </w:p>
    <w:p w14:paraId="2078F703" w14:textId="77777777" w:rsidR="00623AF8" w:rsidRPr="001B4DFD" w:rsidRDefault="00623AF8" w:rsidP="00623AF8">
      <w:pPr>
        <w:jc w:val="both"/>
        <w:rPr>
          <w:rFonts w:ascii="Aptos" w:hAnsi="Aptos"/>
          <w:sz w:val="22"/>
          <w:szCs w:val="22"/>
        </w:rPr>
      </w:pPr>
    </w:p>
    <w:p w14:paraId="5BA8FA84" w14:textId="77777777" w:rsidR="00623AF8" w:rsidRPr="001B4DFD" w:rsidRDefault="00623AF8" w:rsidP="00623AF8">
      <w:pPr>
        <w:rPr>
          <w:rFonts w:ascii="Aptos" w:hAnsi="Aptos"/>
        </w:rPr>
      </w:pPr>
    </w:p>
    <w:p w14:paraId="7C9F7E47" w14:textId="77777777" w:rsidR="00623AF8" w:rsidRPr="001B4DFD" w:rsidRDefault="00623AF8" w:rsidP="00623AF8">
      <w:pPr>
        <w:rPr>
          <w:rFonts w:ascii="Aptos" w:hAnsi="Aptos"/>
        </w:rPr>
      </w:pPr>
    </w:p>
    <w:p w14:paraId="0DBC7251" w14:textId="77777777" w:rsidR="00623AF8" w:rsidRPr="001B4DFD" w:rsidRDefault="00623AF8" w:rsidP="00623AF8">
      <w:pPr>
        <w:rPr>
          <w:rFonts w:ascii="Aptos" w:hAnsi="Aptos"/>
        </w:rPr>
      </w:pPr>
    </w:p>
    <w:p w14:paraId="117A3F1B" w14:textId="77777777" w:rsidR="00623AF8" w:rsidRPr="001B4DFD" w:rsidRDefault="00623AF8" w:rsidP="00623AF8">
      <w:pPr>
        <w:rPr>
          <w:rFonts w:ascii="Aptos" w:hAnsi="Aptos"/>
        </w:rPr>
      </w:pPr>
    </w:p>
    <w:p w14:paraId="19D3B2B2" w14:textId="77777777" w:rsidR="00623AF8" w:rsidRPr="001B4DFD" w:rsidRDefault="00623AF8" w:rsidP="00623AF8">
      <w:pPr>
        <w:rPr>
          <w:rFonts w:ascii="Aptos" w:hAnsi="Aptos"/>
        </w:rPr>
      </w:pPr>
    </w:p>
    <w:p w14:paraId="697B1FDE" w14:textId="77777777" w:rsidR="00623AF8" w:rsidRDefault="00623AF8" w:rsidP="00623AF8">
      <w:pPr>
        <w:spacing w:before="120"/>
        <w:jc w:val="both"/>
        <w:outlineLvl w:val="0"/>
        <w:rPr>
          <w:rFonts w:ascii="Aptos" w:eastAsiaTheme="majorEastAsia" w:hAnsi="Aptos" w:cstheme="majorBidi"/>
          <w:b/>
          <w:color w:val="E4342D"/>
          <w:szCs w:val="32"/>
        </w:rPr>
      </w:pPr>
      <w:bookmarkStart w:id="339" w:name="_Toc167726981"/>
    </w:p>
    <w:p w14:paraId="3382733F"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40" w:name="_Toc170983765"/>
      <w:r w:rsidRPr="001B4DFD">
        <w:rPr>
          <w:rFonts w:ascii="Aptos" w:eastAsiaTheme="majorEastAsia" w:hAnsi="Aptos" w:cstheme="majorBidi"/>
          <w:b/>
          <w:color w:val="E4342D"/>
          <w:szCs w:val="32"/>
        </w:rPr>
        <w:t>Kommunale Investitionen  - Periodenabgrenzung/Abschreibungen</w:t>
      </w:r>
      <w:bookmarkEnd w:id="339"/>
      <w:bookmarkEnd w:id="340"/>
    </w:p>
    <w:p w14:paraId="2E8C0B6F"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77900B18" w14:textId="77777777" w:rsidTr="00875DD0">
        <w:tc>
          <w:tcPr>
            <w:tcW w:w="9060" w:type="dxa"/>
            <w:shd w:val="clear" w:color="auto" w:fill="D9D9D9" w:themeFill="background1" w:themeFillShade="D9"/>
          </w:tcPr>
          <w:p w14:paraId="4D9F691B"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 xml:space="preserve">Frage </w:t>
            </w:r>
          </w:p>
        </w:tc>
      </w:tr>
      <w:tr w:rsidR="00623AF8" w:rsidRPr="001B4DFD" w14:paraId="5349F28E" w14:textId="77777777" w:rsidTr="00875DD0">
        <w:tc>
          <w:tcPr>
            <w:tcW w:w="9060" w:type="dxa"/>
          </w:tcPr>
          <w:p w14:paraId="6C069333" w14:textId="77777777" w:rsidR="00623AF8" w:rsidRPr="001B4DFD" w:rsidRDefault="00623AF8" w:rsidP="00875DD0">
            <w:pPr>
              <w:spacing w:before="120" w:after="120"/>
              <w:jc w:val="both"/>
              <w:rPr>
                <w:rFonts w:ascii="Aptos" w:hAnsi="Aptos"/>
                <w:b/>
                <w:bCs/>
                <w:sz w:val="22"/>
                <w:szCs w:val="22"/>
                <w:highlight w:val="yellow"/>
              </w:rPr>
            </w:pPr>
            <w:r w:rsidRPr="001B4DFD">
              <w:rPr>
                <w:rFonts w:ascii="Aptos" w:hAnsi="Aptos"/>
                <w:sz w:val="22"/>
                <w:szCs w:val="22"/>
              </w:rPr>
              <w:t xml:space="preserve">Kommunale Investitionen sind entscheidend für die Erhaltung des Wohlstands in den europäischen Städten und Regionen. Gemäß dem ESVG 2010 gelten Investitionen als Ausgaben und belasten somit direkt das öffentliche Defizit und den öffentlichen Schuldenstand zum Zeitpunkt des Kaufs oder der konventionellen Errichtung eines Vermögenswerts. Im Gegensatz dazu behandelt jedes private Unternehmen Investitionen gemäß den Rechnungslegungsvorschriften als Vermögenswerte in der Bilanz, die im Laufe der Zeit abgeschrieben werden. Diese Praxis erschwert die Finanzierung öffentlicher Investitionen: </w:t>
            </w:r>
            <w:r w:rsidRPr="001B4DFD">
              <w:rPr>
                <w:rFonts w:ascii="Aptos" w:hAnsi="Aptos"/>
                <w:b/>
                <w:bCs/>
                <w:sz w:val="22"/>
                <w:szCs w:val="22"/>
              </w:rPr>
              <w:t>Planen Sie für  kommunale Investitionen eine Periodenabgrenzung vorgesehen, so dass große Investitionen, die mehrere Jahrzehnte dauern (z.B. der Bau einer U-Bahn), jährlich abgeschrieben werden können?</w:t>
            </w:r>
          </w:p>
        </w:tc>
      </w:tr>
      <w:tr w:rsidR="00623AF8" w:rsidRPr="001B4DFD" w14:paraId="10BDB64F" w14:textId="77777777" w:rsidTr="00875DD0">
        <w:tc>
          <w:tcPr>
            <w:tcW w:w="9060" w:type="dxa"/>
            <w:shd w:val="clear" w:color="auto" w:fill="D9D9D9" w:themeFill="background1" w:themeFillShade="D9"/>
          </w:tcPr>
          <w:p w14:paraId="56EB0222"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1791C397" w14:textId="77777777" w:rsidTr="00875DD0">
        <w:tc>
          <w:tcPr>
            <w:tcW w:w="9060" w:type="dxa"/>
          </w:tcPr>
          <w:p w14:paraId="5907B403" w14:textId="77777777" w:rsidR="00623AF8" w:rsidRPr="001B4DFD" w:rsidRDefault="00623AF8" w:rsidP="00F63BE8">
            <w:pPr>
              <w:numPr>
                <w:ilvl w:val="0"/>
                <w:numId w:val="19"/>
              </w:numPr>
              <w:spacing w:before="120" w:after="120"/>
              <w:ind w:left="714" w:hanging="357"/>
              <w:contextualSpacing/>
              <w:jc w:val="both"/>
              <w:rPr>
                <w:rFonts w:ascii="Aptos" w:hAnsi="Aptos"/>
                <w:sz w:val="22"/>
                <w:szCs w:val="22"/>
                <w:lang w:val="de-DE"/>
              </w:rPr>
            </w:pPr>
            <w:r w:rsidRPr="001B4DFD">
              <w:rPr>
                <w:rFonts w:ascii="Aptos" w:hAnsi="Aptos"/>
                <w:sz w:val="22"/>
                <w:szCs w:val="22"/>
                <w:lang w:val="de-DE"/>
              </w:rPr>
              <w:t>Welche weiteren Initiativen und EU-Programme planen Sie, damit kommunale Investitionen langfristig abgesichert sind?</w:t>
            </w:r>
          </w:p>
        </w:tc>
      </w:tr>
    </w:tbl>
    <w:p w14:paraId="4E092BEE"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4FA3A2BD" w14:textId="77777777" w:rsidTr="00875DD0">
        <w:trPr>
          <w:trHeight w:val="277"/>
        </w:trPr>
        <w:tc>
          <w:tcPr>
            <w:tcW w:w="9066" w:type="dxa"/>
            <w:shd w:val="clear" w:color="auto" w:fill="D9D9D9"/>
          </w:tcPr>
          <w:p w14:paraId="50E72C84"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350D5DC4" w14:textId="77777777" w:rsidTr="00875DD0">
        <w:trPr>
          <w:trHeight w:val="1516"/>
        </w:trPr>
        <w:tc>
          <w:tcPr>
            <w:tcW w:w="9066" w:type="dxa"/>
          </w:tcPr>
          <w:p w14:paraId="53A6FDE2" w14:textId="77777777" w:rsidR="00623AF8" w:rsidRPr="001B4DFD" w:rsidRDefault="00623AF8" w:rsidP="00875DD0">
            <w:pPr>
              <w:jc w:val="both"/>
              <w:rPr>
                <w:rFonts w:ascii="Aptos" w:hAnsi="Aptos"/>
                <w:sz w:val="22"/>
                <w:szCs w:val="22"/>
                <w:lang w:val="de-AT"/>
              </w:rPr>
            </w:pPr>
            <w:r w:rsidRPr="001B4DFD">
              <w:rPr>
                <w:rFonts w:ascii="Aptos" w:hAnsi="Aptos"/>
                <w:sz w:val="22"/>
                <w:szCs w:val="22"/>
                <w:lang w:val="de-AT"/>
              </w:rPr>
              <w:t>Städte und Gemeinden müssen regelmäßig große Infrastrukturinvestitionen planen und durchführen, sei es für den Ausbau des U-Bahnnetzes, die Verbesserung der Wasserversorgung oder die Schaffung neuer Erholungsgebiete für ihre Bürger. Kommunale Investitionen sind daher entscheidend für den Erhalt des Wohlstands in den europäischen Städten und Regionen. Nach dem ESVG 2010 gelten Investitionen als Ausgaben und belasten damit unmittelbar das öffentliche Defizit und den öffentlichen Schuldenstand zum Zeitpunkt des Erwerbs oder der konventionellen Herstellung eines Vermögenswertes</w:t>
            </w:r>
            <w:r w:rsidRPr="001B4DFD">
              <w:rPr>
                <w:rFonts w:ascii="Aptos" w:hAnsi="Aptos"/>
                <w:sz w:val="22"/>
                <w:szCs w:val="22"/>
                <w:vertAlign w:val="superscript"/>
              </w:rPr>
              <w:footnoteReference w:id="12"/>
            </w:r>
            <w:r w:rsidRPr="001B4DFD">
              <w:rPr>
                <w:rFonts w:ascii="Aptos" w:hAnsi="Aptos"/>
                <w:sz w:val="22"/>
                <w:szCs w:val="22"/>
                <w:vertAlign w:val="subscript"/>
                <w:lang w:val="de-AT"/>
              </w:rPr>
              <w:t xml:space="preserve">. </w:t>
            </w:r>
            <w:r w:rsidRPr="001B4DFD">
              <w:rPr>
                <w:rFonts w:ascii="Aptos" w:hAnsi="Aptos"/>
                <w:sz w:val="22"/>
                <w:szCs w:val="22"/>
                <w:lang w:val="de-AT"/>
              </w:rPr>
              <w:t>Im Gegensatz dazu behandelt jedes private Unternehmen Investitionen gemäß den Rechnungslegungsvorschriften als Vermögenswerte in der Bilanz, die im Laufe der Zeit abgeschrieben werden. Diese Praxis erschwert die Finanzierung öffentlicher Investitionen. Aus Perspektive der Daseinsvorsorge ist es wichtig, dass Städte und Gemeinden den notwendigen Handlungsspielraum erhalten, um die notwendigen Infrastrukturinvestitionen tätigen zu können. In diesem Zusammenhang wäre die Möglichkeit einer Periodenabgrenzung/Abschreibung für kommunale Investitionen relevant. Eine solche Periodenabgrenzung würde es ermöglichen, die finanzielle Belastung gleichmäßiger über die Laufzeit der Investition zu verteilen und damit die Finanzierbarkeit für die Kommunen zu verbessern.</w:t>
            </w:r>
          </w:p>
          <w:p w14:paraId="48669D0B" w14:textId="77777777" w:rsidR="00623AF8" w:rsidRPr="001B4DFD" w:rsidRDefault="00623AF8" w:rsidP="00875DD0">
            <w:pPr>
              <w:ind w:left="360"/>
              <w:contextualSpacing/>
              <w:rPr>
                <w:rFonts w:ascii="Aptos" w:hAnsi="Aptos"/>
                <w:sz w:val="18"/>
                <w:szCs w:val="18"/>
                <w:lang w:val="de-AT"/>
              </w:rPr>
            </w:pPr>
          </w:p>
          <w:p w14:paraId="23A395F3" w14:textId="77777777" w:rsidR="00623AF8" w:rsidRPr="001B4DFD" w:rsidRDefault="00623AF8" w:rsidP="00875DD0">
            <w:pPr>
              <w:rPr>
                <w:rFonts w:ascii="Aptos" w:hAnsi="Aptos"/>
                <w:bCs/>
                <w:sz w:val="22"/>
                <w:szCs w:val="22"/>
                <w:lang w:val="de-AT"/>
              </w:rPr>
            </w:pPr>
          </w:p>
          <w:p w14:paraId="55BC54C8" w14:textId="77777777" w:rsidR="00623AF8" w:rsidRPr="001B4DFD" w:rsidRDefault="00623AF8" w:rsidP="00875DD0">
            <w:pPr>
              <w:spacing w:after="120"/>
              <w:jc w:val="both"/>
              <w:rPr>
                <w:sz w:val="22"/>
                <w:szCs w:val="22"/>
                <w:lang w:val="de-AT"/>
              </w:rPr>
            </w:pPr>
          </w:p>
        </w:tc>
      </w:tr>
    </w:tbl>
    <w:p w14:paraId="5CD2EB43" w14:textId="77777777" w:rsidR="00623AF8" w:rsidRPr="001B4DFD" w:rsidRDefault="00623AF8" w:rsidP="00623AF8">
      <w:pPr>
        <w:ind w:left="360"/>
        <w:contextualSpacing/>
        <w:rPr>
          <w:rFonts w:ascii="Aptos" w:hAnsi="Aptos"/>
          <w:color w:val="0000FF"/>
          <w:sz w:val="18"/>
          <w:szCs w:val="18"/>
          <w:u w:val="single"/>
        </w:rPr>
      </w:pPr>
    </w:p>
    <w:p w14:paraId="229858FC" w14:textId="77777777" w:rsidR="00623AF8" w:rsidRPr="001B4DFD" w:rsidRDefault="00623AF8" w:rsidP="00623AF8">
      <w:pPr>
        <w:rPr>
          <w:rFonts w:ascii="Aptos" w:hAnsi="Aptos"/>
          <w:bCs/>
          <w:sz w:val="22"/>
          <w:szCs w:val="22"/>
        </w:rPr>
      </w:pPr>
    </w:p>
    <w:p w14:paraId="499A87C0" w14:textId="77777777" w:rsidR="00623AF8" w:rsidRPr="001B4DFD" w:rsidRDefault="00623AF8" w:rsidP="00623AF8">
      <w:pPr>
        <w:rPr>
          <w:rFonts w:ascii="Aptos" w:hAnsi="Aptos"/>
          <w:sz w:val="22"/>
          <w:szCs w:val="22"/>
        </w:rPr>
      </w:pPr>
    </w:p>
    <w:p w14:paraId="4856A02C" w14:textId="77777777" w:rsidR="00623AF8" w:rsidRPr="001B4DFD" w:rsidRDefault="00623AF8" w:rsidP="00623AF8">
      <w:pPr>
        <w:rPr>
          <w:rFonts w:ascii="Aptos" w:hAnsi="Aptos"/>
        </w:rPr>
      </w:pPr>
    </w:p>
    <w:p w14:paraId="3E4BA681" w14:textId="77777777" w:rsidR="00623AF8" w:rsidRDefault="00623AF8" w:rsidP="00623AF8">
      <w:pPr>
        <w:spacing w:after="120"/>
        <w:jc w:val="both"/>
        <w:outlineLvl w:val="0"/>
        <w:rPr>
          <w:rFonts w:ascii="Aptos" w:eastAsiaTheme="majorEastAsia" w:hAnsi="Aptos" w:cstheme="majorBidi"/>
          <w:b/>
          <w:sz w:val="40"/>
          <w:szCs w:val="48"/>
        </w:rPr>
      </w:pPr>
      <w:bookmarkStart w:id="341" w:name="_Toc167726982"/>
    </w:p>
    <w:p w14:paraId="773F79A1" w14:textId="77777777" w:rsidR="00623AF8" w:rsidRPr="001B4DFD" w:rsidRDefault="00623AF8" w:rsidP="00623AF8">
      <w:pPr>
        <w:spacing w:after="120"/>
        <w:jc w:val="both"/>
        <w:outlineLvl w:val="0"/>
        <w:rPr>
          <w:rFonts w:ascii="Aptos" w:eastAsiaTheme="majorEastAsia" w:hAnsi="Aptos" w:cstheme="majorBidi"/>
          <w:b/>
          <w:sz w:val="40"/>
          <w:szCs w:val="48"/>
        </w:rPr>
      </w:pPr>
      <w:bookmarkStart w:id="342" w:name="_Toc170983766"/>
      <w:r w:rsidRPr="001B4DFD">
        <w:rPr>
          <w:rFonts w:ascii="Aptos" w:eastAsiaTheme="majorEastAsia" w:hAnsi="Aptos" w:cstheme="majorBidi"/>
          <w:b/>
          <w:sz w:val="40"/>
          <w:szCs w:val="48"/>
        </w:rPr>
        <w:t>Teilbereich II – Finanzierung &amp; Förderung</w:t>
      </w:r>
      <w:bookmarkEnd w:id="341"/>
      <w:bookmarkEnd w:id="342"/>
    </w:p>
    <w:p w14:paraId="5929FC5D" w14:textId="77777777" w:rsidR="00623AF8" w:rsidRPr="001B4DFD" w:rsidRDefault="00623AF8" w:rsidP="00623AF8">
      <w:pPr>
        <w:rPr>
          <w:rFonts w:ascii="Aptos" w:hAnsi="Aptos"/>
          <w:bCs/>
          <w:sz w:val="22"/>
          <w:szCs w:val="22"/>
        </w:rPr>
      </w:pPr>
    </w:p>
    <w:p w14:paraId="3AC364C3"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43" w:name="_Toc164948266"/>
      <w:bookmarkStart w:id="344" w:name="_Toc167726983"/>
      <w:bookmarkStart w:id="345" w:name="_Toc170983767"/>
      <w:r w:rsidRPr="001B4DFD">
        <w:rPr>
          <w:rFonts w:ascii="Aptos" w:eastAsiaTheme="majorEastAsia" w:hAnsi="Aptos" w:cstheme="majorBidi"/>
          <w:b/>
          <w:color w:val="E4342D"/>
          <w:szCs w:val="32"/>
        </w:rPr>
        <w:t>Öffentliche Finanzierung für grüne Investitionsprojekte</w:t>
      </w:r>
      <w:bookmarkEnd w:id="343"/>
      <w:bookmarkEnd w:id="344"/>
      <w:bookmarkEnd w:id="345"/>
    </w:p>
    <w:p w14:paraId="74FD52AC"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43FA30C2" w14:textId="77777777" w:rsidTr="00875DD0">
        <w:tc>
          <w:tcPr>
            <w:tcW w:w="9060" w:type="dxa"/>
            <w:shd w:val="clear" w:color="auto" w:fill="D9D9D9" w:themeFill="background1" w:themeFillShade="D9"/>
          </w:tcPr>
          <w:p w14:paraId="3559756A" w14:textId="77777777" w:rsidR="00623AF8" w:rsidRPr="001B4DFD" w:rsidRDefault="00623AF8" w:rsidP="00875DD0">
            <w:pPr>
              <w:rPr>
                <w:rFonts w:ascii="Aptos" w:hAnsi="Aptos"/>
                <w:b/>
                <w:iCs/>
              </w:rPr>
            </w:pPr>
            <w:r w:rsidRPr="001B4DFD">
              <w:rPr>
                <w:rFonts w:ascii="Aptos" w:hAnsi="Aptos"/>
                <w:b/>
                <w:iCs/>
                <w:sz w:val="22"/>
                <w:szCs w:val="22"/>
              </w:rPr>
              <w:t>Frage</w:t>
            </w:r>
          </w:p>
        </w:tc>
      </w:tr>
      <w:tr w:rsidR="00623AF8" w:rsidRPr="001B4DFD" w14:paraId="18CAEF20" w14:textId="77777777" w:rsidTr="00875DD0">
        <w:tc>
          <w:tcPr>
            <w:tcW w:w="9060" w:type="dxa"/>
          </w:tcPr>
          <w:p w14:paraId="702D66BA" w14:textId="77777777" w:rsidR="00623AF8" w:rsidRPr="001B4DFD" w:rsidRDefault="00623AF8" w:rsidP="00875DD0">
            <w:pPr>
              <w:jc w:val="both"/>
              <w:rPr>
                <w:rFonts w:ascii="Aptos" w:hAnsi="Aptos"/>
                <w:kern w:val="2"/>
                <w:sz w:val="22"/>
                <w:szCs w:val="22"/>
                <w14:ligatures w14:val="standardContextual"/>
              </w:rPr>
            </w:pPr>
            <w:r w:rsidRPr="001B4DFD">
              <w:rPr>
                <w:rFonts w:ascii="Aptos" w:hAnsi="Aptos"/>
                <w:sz w:val="22"/>
                <w:szCs w:val="22"/>
              </w:rPr>
              <w:t xml:space="preserve">Öffentliche Infrastrukturen sind das Fundament der europäischen Entwicklung und Voraussetzung für Lebensqualität, Wirtschaftswachstum und Preisstabilität. Die Energie-, Verkehrs-, Gebäude- und Wasserinfrastruktur ist jedoch für ca. 60% der europäischen Treibhausgasemissionen verantwortlich. Um die Klimaziele der Europäischen Union zu erreichen, ist ein struktureller Umbau und Ausbau der bestehenden Infrastruktursysteme unumgänglich. </w:t>
            </w:r>
            <w:r w:rsidRPr="001B4DFD">
              <w:rPr>
                <w:rFonts w:ascii="Aptos" w:hAnsi="Aptos"/>
                <w:b/>
                <w:bCs/>
                <w:sz w:val="22"/>
                <w:szCs w:val="22"/>
              </w:rPr>
              <w:t>Wie wollen Sie sicherstellen, dass öffentliche Gelder in grüne Investitionsprojekte fließen?</w:t>
            </w:r>
          </w:p>
        </w:tc>
      </w:tr>
      <w:tr w:rsidR="00623AF8" w:rsidRPr="001B4DFD" w14:paraId="2464BD3D" w14:textId="77777777" w:rsidTr="00875DD0">
        <w:tc>
          <w:tcPr>
            <w:tcW w:w="9060" w:type="dxa"/>
            <w:shd w:val="clear" w:color="auto" w:fill="D9D9D9" w:themeFill="background1" w:themeFillShade="D9"/>
          </w:tcPr>
          <w:p w14:paraId="3C445459" w14:textId="77777777" w:rsidR="00623AF8" w:rsidRPr="001B4DFD" w:rsidRDefault="00623AF8" w:rsidP="00875DD0">
            <w:pPr>
              <w:rPr>
                <w:rFonts w:ascii="Aptos" w:hAnsi="Aptos"/>
                <w:b/>
                <w:bCs/>
              </w:rPr>
            </w:pPr>
            <w:r w:rsidRPr="001B4DFD">
              <w:rPr>
                <w:rFonts w:ascii="Aptos" w:hAnsi="Aptos"/>
                <w:b/>
                <w:bCs/>
                <w:sz w:val="22"/>
                <w:szCs w:val="22"/>
              </w:rPr>
              <w:t>Nachfrage</w:t>
            </w:r>
          </w:p>
        </w:tc>
      </w:tr>
      <w:tr w:rsidR="00623AF8" w:rsidRPr="001B4DFD" w14:paraId="583D08FE" w14:textId="77777777" w:rsidTr="00875DD0">
        <w:tc>
          <w:tcPr>
            <w:tcW w:w="9060" w:type="dxa"/>
          </w:tcPr>
          <w:p w14:paraId="47BC9E02" w14:textId="77777777" w:rsidR="00623AF8" w:rsidRPr="001B4DFD" w:rsidRDefault="00623AF8" w:rsidP="00F63BE8">
            <w:pPr>
              <w:numPr>
                <w:ilvl w:val="0"/>
                <w:numId w:val="19"/>
              </w:numPr>
              <w:spacing w:before="120" w:after="120"/>
              <w:contextualSpacing/>
              <w:jc w:val="both"/>
              <w:rPr>
                <w:rFonts w:ascii="Aptos" w:hAnsi="Aptos"/>
                <w:sz w:val="22"/>
                <w:szCs w:val="22"/>
                <w:lang w:val="de-DE"/>
              </w:rPr>
            </w:pPr>
            <w:r w:rsidRPr="001B4DFD">
              <w:rPr>
                <w:rFonts w:ascii="Aptos" w:hAnsi="Aptos"/>
                <w:sz w:val="22"/>
                <w:szCs w:val="22"/>
                <w:lang w:val="de-DE"/>
              </w:rPr>
              <w:t>Welche EU-Programme und Initiativen planen Sie, damit grüne Investitionsprojekte angestoßen werden?</w:t>
            </w:r>
          </w:p>
          <w:p w14:paraId="2A068C31" w14:textId="77777777" w:rsidR="00623AF8" w:rsidRPr="001B4DFD" w:rsidRDefault="00623AF8" w:rsidP="00F63BE8">
            <w:pPr>
              <w:numPr>
                <w:ilvl w:val="0"/>
                <w:numId w:val="19"/>
              </w:numPr>
              <w:spacing w:before="120" w:after="120"/>
              <w:contextualSpacing/>
              <w:jc w:val="both"/>
              <w:rPr>
                <w:rFonts w:ascii="Aptos" w:hAnsi="Aptos"/>
                <w:sz w:val="22"/>
                <w:szCs w:val="22"/>
                <w:lang w:val="de-DE"/>
              </w:rPr>
            </w:pPr>
            <w:r w:rsidRPr="001B4DFD">
              <w:rPr>
                <w:rFonts w:ascii="Aptos" w:hAnsi="Aptos"/>
                <w:sz w:val="22"/>
                <w:szCs w:val="22"/>
                <w:lang w:val="de-DE"/>
              </w:rPr>
              <w:t>Wie wollen Sie sicherstellen, dass es auch weiterhin ein hohes Volumen an öffentlichen Finanzierungen gibt, damit die Klima- und Energieziele und die Resilienz abgedeckt werden können (CEF)?</w:t>
            </w:r>
          </w:p>
        </w:tc>
      </w:tr>
    </w:tbl>
    <w:p w14:paraId="388EE645" w14:textId="77777777" w:rsidR="00623AF8" w:rsidRPr="001B4DFD"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1B4DFD" w14:paraId="63B7333B" w14:textId="77777777" w:rsidTr="00875DD0">
        <w:trPr>
          <w:trHeight w:val="277"/>
        </w:trPr>
        <w:tc>
          <w:tcPr>
            <w:tcW w:w="9066" w:type="dxa"/>
            <w:shd w:val="clear" w:color="auto" w:fill="D9D9D9"/>
          </w:tcPr>
          <w:p w14:paraId="5D24B16B"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2377111A" w14:textId="77777777" w:rsidTr="00875DD0">
        <w:trPr>
          <w:trHeight w:val="1516"/>
        </w:trPr>
        <w:tc>
          <w:tcPr>
            <w:tcW w:w="9066" w:type="dxa"/>
          </w:tcPr>
          <w:p w14:paraId="063544B7" w14:textId="77777777" w:rsidR="00623AF8" w:rsidRPr="001B4DFD" w:rsidRDefault="00623AF8" w:rsidP="00875DD0">
            <w:pPr>
              <w:jc w:val="both"/>
              <w:rPr>
                <w:rFonts w:ascii="Aptos" w:hAnsi="Aptos"/>
                <w:b/>
                <w:iCs/>
                <w:sz w:val="22"/>
                <w:szCs w:val="22"/>
                <w:lang w:val="de-AT"/>
              </w:rPr>
            </w:pPr>
            <w:r w:rsidRPr="001B4DFD">
              <w:rPr>
                <w:rFonts w:ascii="Aptos" w:hAnsi="Aptos"/>
                <w:sz w:val="22"/>
                <w:szCs w:val="22"/>
                <w:lang w:val="de-AT"/>
              </w:rPr>
              <w:t>Die EU unterstützt nachdrücklich den Übergang zu einer CO</w:t>
            </w:r>
            <w:r w:rsidRPr="001B4DFD">
              <w:rPr>
                <w:rFonts w:ascii="Aptos" w:hAnsi="Aptos"/>
                <w:sz w:val="22"/>
                <w:szCs w:val="22"/>
                <w:vertAlign w:val="subscript"/>
                <w:lang w:val="de-AT"/>
              </w:rPr>
              <w:t>2</w:t>
            </w:r>
            <w:r w:rsidRPr="001B4DFD">
              <w:rPr>
                <w:rFonts w:ascii="Aptos" w:hAnsi="Aptos"/>
                <w:sz w:val="22"/>
                <w:szCs w:val="22"/>
                <w:lang w:val="de-AT"/>
              </w:rPr>
              <w:t>-armen, ressourceneffizienteren und nachhaltigen Wirtschaft. Damit sollen die klima- und energiepolitischen Ziele erreicht werden, die im Rahmen der nachhaltigen Entwicklungsziele der Vereinten Nationen für 2030 vereinbart wurden. Der Klimawandel wird von der österreichischen Wirtschaft zunehmend wahrgenommen. Insbesondere der Klimawandel ist für öffentliche Unternehmen eine Realität und Österreich ist vom Klimawandel besonders betroffen. In einer aktuellen Umfrage der Europäischen Investitionsbank (EIBIS 2022)</w:t>
            </w:r>
            <w:r w:rsidRPr="001B4DFD">
              <w:rPr>
                <w:rFonts w:ascii="Aptos" w:hAnsi="Aptos"/>
                <w:sz w:val="22"/>
                <w:szCs w:val="22"/>
                <w:vertAlign w:val="superscript"/>
              </w:rPr>
              <w:footnoteReference w:id="13"/>
            </w:r>
            <w:r w:rsidRPr="001B4DFD">
              <w:rPr>
                <w:rFonts w:ascii="Aptos" w:hAnsi="Aptos"/>
                <w:sz w:val="22"/>
                <w:szCs w:val="22"/>
                <w:lang w:val="de-AT"/>
              </w:rPr>
              <w:t xml:space="preserve"> geben 64 % der österreichischen Unternehmen an, vom Klimawandel betroffen zu sein. Dieser Wert liegt beispielsweise deutlich höher als in Dänemark (36 %), Lettland (41 %) und Bulgarien (44 %). 40 % der österreichischen Unternehmen haben Maßnahmen entwickelt oder in solche investiert, um sich gegen physische Risiken des Klimawandels zu wappnen. Dies entspricht in etwa dem EU-Durchschnitt (36%). Um die sozial-ökologische Transformation zu erreichen, sind umfangreiche öffentliche Investitionen erforderlich. Dafür muss eine gemeinschaftliche Politik umgesetzt werden, die für Klimamaßnahmen förderlich ist, wie etwa durch (i) die Bepreisung von CO₂-Emissionen, (ii) eine Abkehr von umweltschädlichen und nicht-resilienten Subventionen, (iii) eine Verlagerung zu nachhaltigen Investitionen, (iv) eine Priorisierung resilienter Infrastrukturprojekte, (v) zielgerichtete Finanzierung der nachhaltigen Daseinsvorsorge.</w:t>
            </w:r>
          </w:p>
          <w:p w14:paraId="4499D1A2" w14:textId="77777777" w:rsidR="00623AF8" w:rsidRPr="001B4DFD" w:rsidRDefault="00623AF8" w:rsidP="00875DD0">
            <w:pPr>
              <w:ind w:left="360"/>
              <w:contextualSpacing/>
              <w:rPr>
                <w:rFonts w:ascii="Aptos" w:hAnsi="Aptos"/>
                <w:sz w:val="18"/>
                <w:szCs w:val="18"/>
                <w:lang w:val="de-AT"/>
              </w:rPr>
            </w:pPr>
          </w:p>
          <w:p w14:paraId="5C0C13AF" w14:textId="77777777" w:rsidR="00623AF8" w:rsidRPr="001B4DFD" w:rsidRDefault="00623AF8" w:rsidP="00875DD0">
            <w:pPr>
              <w:rPr>
                <w:rFonts w:ascii="Aptos" w:hAnsi="Aptos"/>
                <w:bCs/>
                <w:sz w:val="22"/>
                <w:szCs w:val="22"/>
                <w:lang w:val="de-AT"/>
              </w:rPr>
            </w:pPr>
          </w:p>
          <w:p w14:paraId="565C06A0" w14:textId="77777777" w:rsidR="00623AF8" w:rsidRPr="001B4DFD" w:rsidRDefault="00623AF8" w:rsidP="00875DD0">
            <w:pPr>
              <w:spacing w:after="120"/>
              <w:jc w:val="both"/>
              <w:rPr>
                <w:sz w:val="22"/>
                <w:szCs w:val="22"/>
                <w:lang w:val="de-AT"/>
              </w:rPr>
            </w:pPr>
          </w:p>
        </w:tc>
      </w:tr>
    </w:tbl>
    <w:p w14:paraId="29D7D848" w14:textId="77777777" w:rsidR="00623AF8" w:rsidRPr="001B4DFD" w:rsidRDefault="00623AF8" w:rsidP="00623AF8">
      <w:pPr>
        <w:spacing w:after="120"/>
        <w:jc w:val="both"/>
        <w:rPr>
          <w:rFonts w:ascii="Aptos" w:hAnsi="Aptos"/>
          <w:b/>
          <w:iCs/>
          <w:sz w:val="22"/>
          <w:szCs w:val="22"/>
        </w:rPr>
      </w:pPr>
    </w:p>
    <w:p w14:paraId="589100B8" w14:textId="77777777" w:rsidR="00623AF8" w:rsidRPr="001B4DFD" w:rsidRDefault="00623AF8" w:rsidP="00623AF8">
      <w:pPr>
        <w:spacing w:after="160" w:line="278" w:lineRule="auto"/>
        <w:rPr>
          <w:rFonts w:ascii="Aptos" w:hAnsi="Aptos"/>
        </w:rPr>
      </w:pPr>
    </w:p>
    <w:p w14:paraId="4DD58662" w14:textId="77777777" w:rsidR="00623AF8" w:rsidRPr="001B4DFD" w:rsidRDefault="00623AF8" w:rsidP="00623AF8">
      <w:pPr>
        <w:spacing w:after="160" w:line="278" w:lineRule="auto"/>
        <w:rPr>
          <w:rFonts w:ascii="Aptos" w:hAnsi="Aptos"/>
        </w:rPr>
      </w:pPr>
    </w:p>
    <w:p w14:paraId="13913AE4"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46" w:name="_Toc164948267"/>
      <w:bookmarkStart w:id="347" w:name="_Toc167726984"/>
      <w:bookmarkStart w:id="348" w:name="_Toc170983768"/>
      <w:r w:rsidRPr="001B4DFD">
        <w:rPr>
          <w:rFonts w:ascii="Aptos" w:eastAsiaTheme="majorEastAsia" w:hAnsi="Aptos" w:cstheme="majorBidi"/>
          <w:b/>
          <w:color w:val="E4342D"/>
          <w:szCs w:val="32"/>
        </w:rPr>
        <w:t>Weiterführung und Evaluation aktueller Förderprogramme</w:t>
      </w:r>
      <w:bookmarkEnd w:id="346"/>
      <w:bookmarkEnd w:id="347"/>
      <w:bookmarkEnd w:id="348"/>
    </w:p>
    <w:p w14:paraId="458CF5C6"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412D0222" w14:textId="77777777" w:rsidTr="00875DD0">
        <w:tc>
          <w:tcPr>
            <w:tcW w:w="9060" w:type="dxa"/>
            <w:shd w:val="clear" w:color="auto" w:fill="D9D9D9" w:themeFill="background1" w:themeFillShade="D9"/>
          </w:tcPr>
          <w:p w14:paraId="4BBD8891" w14:textId="77777777" w:rsidR="00623AF8" w:rsidRPr="001B4DFD" w:rsidRDefault="00623AF8" w:rsidP="00875DD0">
            <w:pPr>
              <w:rPr>
                <w:rFonts w:ascii="Aptos" w:hAnsi="Aptos"/>
                <w:b/>
                <w:iCs/>
              </w:rPr>
            </w:pPr>
            <w:r w:rsidRPr="001B4DFD">
              <w:rPr>
                <w:rFonts w:ascii="Aptos" w:hAnsi="Aptos"/>
                <w:b/>
                <w:iCs/>
                <w:sz w:val="22"/>
                <w:szCs w:val="22"/>
              </w:rPr>
              <w:t>Frage</w:t>
            </w:r>
          </w:p>
        </w:tc>
      </w:tr>
      <w:tr w:rsidR="00623AF8" w:rsidRPr="001B4DFD" w14:paraId="01B14A51" w14:textId="77777777" w:rsidTr="00875DD0">
        <w:tc>
          <w:tcPr>
            <w:tcW w:w="9060" w:type="dxa"/>
          </w:tcPr>
          <w:p w14:paraId="76B7BBEC" w14:textId="77777777" w:rsidR="00623AF8" w:rsidRPr="001B4DFD" w:rsidRDefault="00623AF8" w:rsidP="00875DD0">
            <w:pPr>
              <w:jc w:val="both"/>
              <w:rPr>
                <w:rFonts w:ascii="Aptos" w:hAnsi="Aptos"/>
                <w:kern w:val="2"/>
                <w:sz w:val="22"/>
                <w:szCs w:val="22"/>
                <w:lang w:val="de-DE"/>
                <w14:ligatures w14:val="standardContextual"/>
              </w:rPr>
            </w:pPr>
            <w:r w:rsidRPr="001B4DFD">
              <w:rPr>
                <w:rFonts w:ascii="Aptos" w:hAnsi="Aptos"/>
                <w:sz w:val="22"/>
                <w:szCs w:val="22"/>
              </w:rPr>
              <w:t xml:space="preserve">Mit dem Herzstück von „NextGenerationEU“, der Aufbau- und Resilienzfazilität (ARF), wurden und werden den Mitgliedstaaten insgesamt 672,5 Mrd. Euro an Zuschüssen und Darlehen zur Verfügung gestellt. Die Mittel werden von der EK im Namen der EU durch die Ausgabe von Anleihen auf den Kapitalmärkten aufgenommen. Mit diesen Mitteln können die Mitgliedstaaten notwendige Investitionen für ein widerstandsfähiges Europa tätigen. Die Fazilität ist jedoch nur ein temporäres Instrument, das Ende 2026 auslaufen soll. </w:t>
            </w:r>
            <w:r w:rsidRPr="001B4DFD">
              <w:rPr>
                <w:rFonts w:ascii="Aptos" w:hAnsi="Aptos"/>
                <w:b/>
                <w:bCs/>
                <w:sz w:val="22"/>
                <w:szCs w:val="22"/>
              </w:rPr>
              <w:t>Wie bewerten Sie die Relevanz der ARF und planen Sie eine Fortführung?</w:t>
            </w:r>
          </w:p>
        </w:tc>
      </w:tr>
      <w:tr w:rsidR="00623AF8" w:rsidRPr="001B4DFD" w14:paraId="1346AB25" w14:textId="77777777" w:rsidTr="00875DD0">
        <w:tc>
          <w:tcPr>
            <w:tcW w:w="9060" w:type="dxa"/>
            <w:shd w:val="clear" w:color="auto" w:fill="D9D9D9" w:themeFill="background1" w:themeFillShade="D9"/>
          </w:tcPr>
          <w:p w14:paraId="097CC964" w14:textId="77777777" w:rsidR="00623AF8" w:rsidRPr="001B4DFD" w:rsidRDefault="00623AF8" w:rsidP="00875DD0">
            <w:pPr>
              <w:rPr>
                <w:rFonts w:ascii="Aptos" w:hAnsi="Aptos"/>
                <w:b/>
                <w:bCs/>
              </w:rPr>
            </w:pPr>
            <w:r w:rsidRPr="001B4DFD">
              <w:rPr>
                <w:rFonts w:ascii="Aptos" w:hAnsi="Aptos"/>
                <w:b/>
                <w:bCs/>
                <w:sz w:val="22"/>
                <w:szCs w:val="22"/>
              </w:rPr>
              <w:t>Nachfrage</w:t>
            </w:r>
          </w:p>
        </w:tc>
      </w:tr>
      <w:tr w:rsidR="00623AF8" w:rsidRPr="001B4DFD" w14:paraId="28CDD4A6" w14:textId="77777777" w:rsidTr="00875DD0">
        <w:tc>
          <w:tcPr>
            <w:tcW w:w="9060" w:type="dxa"/>
          </w:tcPr>
          <w:p w14:paraId="19205C30" w14:textId="77777777" w:rsidR="00623AF8" w:rsidRPr="001B4DFD" w:rsidRDefault="00623AF8" w:rsidP="00F63BE8">
            <w:pPr>
              <w:numPr>
                <w:ilvl w:val="0"/>
                <w:numId w:val="19"/>
              </w:numPr>
              <w:spacing w:before="120" w:after="120"/>
              <w:contextualSpacing/>
              <w:jc w:val="both"/>
              <w:rPr>
                <w:rFonts w:ascii="Aptos" w:hAnsi="Aptos"/>
                <w:sz w:val="22"/>
                <w:szCs w:val="22"/>
                <w:lang w:val="de-DE"/>
              </w:rPr>
            </w:pPr>
            <w:r w:rsidRPr="001B4DFD">
              <w:rPr>
                <w:rFonts w:ascii="Aptos" w:hAnsi="Aptos"/>
                <w:sz w:val="22"/>
                <w:szCs w:val="22"/>
                <w:lang w:val="de-DE"/>
              </w:rPr>
              <w:t>Welche Vorteile hätten Ihrer Einschätzung nach neue Förderprogramme?</w:t>
            </w:r>
          </w:p>
          <w:p w14:paraId="097D590C" w14:textId="77777777" w:rsidR="00623AF8" w:rsidRPr="001B4DFD" w:rsidRDefault="00623AF8" w:rsidP="00F63BE8">
            <w:pPr>
              <w:numPr>
                <w:ilvl w:val="0"/>
                <w:numId w:val="19"/>
              </w:numPr>
              <w:spacing w:before="120" w:after="120"/>
              <w:contextualSpacing/>
              <w:jc w:val="both"/>
              <w:rPr>
                <w:rFonts w:ascii="Aptos" w:hAnsi="Aptos"/>
                <w:b/>
                <w:lang w:val="de-DE"/>
              </w:rPr>
            </w:pPr>
            <w:r w:rsidRPr="001B4DFD">
              <w:rPr>
                <w:rFonts w:ascii="Aptos" w:hAnsi="Aptos"/>
                <w:sz w:val="22"/>
                <w:szCs w:val="22"/>
                <w:lang w:val="de-DE"/>
              </w:rPr>
              <w:t>Unter der Annahme, dass ARF über 2026 hinaus fortgeführt wird, welche Schlussfolgerungen ziehen Sie aus dem bisherigen Programm und was würde sich bei einer Fortführung ändern?</w:t>
            </w:r>
          </w:p>
        </w:tc>
      </w:tr>
    </w:tbl>
    <w:p w14:paraId="7B63B7BC" w14:textId="77777777" w:rsidR="00623AF8" w:rsidRPr="001B4DFD" w:rsidRDefault="00623AF8" w:rsidP="00623AF8">
      <w:pPr>
        <w:spacing w:line="278" w:lineRule="auto"/>
        <w:rPr>
          <w:rFonts w:ascii="Aptos" w:hAnsi="Aptos"/>
          <w:sz w:val="22"/>
          <w:szCs w:val="22"/>
        </w:rPr>
      </w:pPr>
    </w:p>
    <w:tbl>
      <w:tblPr>
        <w:tblStyle w:val="TableNormal2"/>
        <w:tblW w:w="0" w:type="auto"/>
        <w:tblLayout w:type="fixed"/>
        <w:tblLook w:val="01E0" w:firstRow="1" w:lastRow="1" w:firstColumn="1" w:lastColumn="1" w:noHBand="0" w:noVBand="0"/>
      </w:tblPr>
      <w:tblGrid>
        <w:gridCol w:w="9066"/>
      </w:tblGrid>
      <w:tr w:rsidR="00623AF8" w:rsidRPr="001B4DFD" w14:paraId="1C9CCB63" w14:textId="77777777" w:rsidTr="00875DD0">
        <w:trPr>
          <w:trHeight w:val="277"/>
        </w:trPr>
        <w:tc>
          <w:tcPr>
            <w:tcW w:w="9066" w:type="dxa"/>
            <w:shd w:val="clear" w:color="auto" w:fill="D9D9D9"/>
          </w:tcPr>
          <w:p w14:paraId="3B8C9E2C"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r w:rsidR="00623AF8" w:rsidRPr="001B4DFD" w14:paraId="3C151EB1" w14:textId="77777777" w:rsidTr="00875DD0">
        <w:trPr>
          <w:trHeight w:val="1516"/>
        </w:trPr>
        <w:tc>
          <w:tcPr>
            <w:tcW w:w="9066" w:type="dxa"/>
          </w:tcPr>
          <w:p w14:paraId="463360CB" w14:textId="77777777" w:rsidR="00623AF8" w:rsidRPr="001B4DFD" w:rsidRDefault="00623AF8" w:rsidP="00875DD0">
            <w:pPr>
              <w:jc w:val="both"/>
              <w:rPr>
                <w:sz w:val="22"/>
                <w:szCs w:val="22"/>
                <w:lang w:val="de-AT"/>
              </w:rPr>
            </w:pPr>
            <w:r w:rsidRPr="001B4DFD">
              <w:rPr>
                <w:rFonts w:ascii="Aptos" w:hAnsi="Aptos"/>
                <w:sz w:val="22"/>
                <w:szCs w:val="22"/>
                <w:lang w:val="de-AT"/>
              </w:rPr>
              <w:t>Die unabhängige Gruppe hochrangiger Sachverständiger für die Zukunft der Kohäsionspolitik hat ihren Bericht vorgelegt, in dem sie die Funktionsweise der Kohäsionspolitik bewertet und Empfehlungen ausspricht, wie sichergestellt werden kann, dass diese Politik auch weiterhin Wohlstand und Konvergenz in der gesamten EU fördert</w:t>
            </w:r>
            <w:r w:rsidRPr="001B4DFD">
              <w:rPr>
                <w:rFonts w:ascii="Aptos" w:hAnsi="Aptos"/>
                <w:sz w:val="22"/>
                <w:szCs w:val="22"/>
                <w:vertAlign w:val="superscript"/>
              </w:rPr>
              <w:footnoteReference w:id="14"/>
            </w:r>
            <w:r w:rsidRPr="001B4DFD">
              <w:rPr>
                <w:rFonts w:ascii="Aptos" w:hAnsi="Aptos"/>
                <w:sz w:val="22"/>
                <w:szCs w:val="22"/>
                <w:lang w:val="de-AT"/>
              </w:rPr>
              <w:t>. Die Kommission hat außerdem die Halbzeitbewertung der Aufbau- und Resilienzfazilität (ARF) vorgelegt, dem EU-Instrument für den Wiederaufbau, das das Herzstück des mit 800 Mrd. EUR ausgestatteten Plans NextGenerationEU (NGEU) bildet. Etwa die Hälfte des erwarteten Anstiegs der öffentlichen Investitionen zwischen 2019 und 2025 entfällt auf Investitionen, die aus dem EU-Haushalt finanziert werden, insbesondere aus der Fazilität für den Wiederaufbau. Im Gegensatz zu früheren Krisen stiegen die öffentlichen Investitionen in Europa während der COVID-19-Pandemie und der anschließenden Energiekrise von 3,0 % im Jahr 2019 auf geschätzte 3,3 % im Jahr 2023. 2024 werden die öffentlichen Investitionen voraussichtlich 3,4 % des BIP erreichen. Der leistungsbezogene Charakter des ARF, bei dem die Auszahlung von EU-Mitteln an die Erreichung von Meilensteinen geknüpft ist, hat seine Fähigkeit unter Beweis gestellt, die Umsetzung lang erwarteter Reformen in einer Vielzahl von Politikbereichen voranzutreiben, insbesondere zur Unterstützung des ökologischen und digitalen Wandels und zur Stärkung der sozialen und institutionellen Widerstandsfähigkeit.</w:t>
            </w:r>
          </w:p>
        </w:tc>
      </w:tr>
    </w:tbl>
    <w:p w14:paraId="11474911" w14:textId="77777777" w:rsidR="00623AF8" w:rsidRPr="001B4DFD" w:rsidRDefault="00623AF8" w:rsidP="00623AF8">
      <w:pPr>
        <w:ind w:left="360"/>
        <w:contextualSpacing/>
        <w:rPr>
          <w:rFonts w:ascii="Aptos" w:hAnsi="Aptos"/>
          <w:sz w:val="18"/>
          <w:szCs w:val="18"/>
        </w:rPr>
      </w:pPr>
    </w:p>
    <w:p w14:paraId="76CABFB4" w14:textId="77777777" w:rsidR="00623AF8" w:rsidRPr="001B4DFD" w:rsidRDefault="00623AF8" w:rsidP="00623AF8">
      <w:pPr>
        <w:spacing w:after="120"/>
        <w:jc w:val="both"/>
        <w:rPr>
          <w:rFonts w:ascii="Aptos" w:hAnsi="Aptos"/>
          <w:b/>
          <w:iCs/>
          <w:sz w:val="20"/>
          <w:szCs w:val="20"/>
        </w:rPr>
      </w:pPr>
    </w:p>
    <w:p w14:paraId="5B2954E0" w14:textId="77777777" w:rsidR="00623AF8" w:rsidRPr="001B4DFD" w:rsidRDefault="00623AF8" w:rsidP="00623AF8">
      <w:pPr>
        <w:rPr>
          <w:rFonts w:ascii="Aptos" w:hAnsi="Aptos"/>
        </w:rPr>
        <w:sectPr w:rsidR="00623AF8" w:rsidRPr="001B4DFD" w:rsidSect="00153511">
          <w:headerReference w:type="default" r:id="rId57"/>
          <w:footerReference w:type="default" r:id="rId58"/>
          <w:footnotePr>
            <w:numRestart w:val="eachPage"/>
          </w:footnotePr>
          <w:pgSz w:w="11906" w:h="16838"/>
          <w:pgMar w:top="1418" w:right="1418" w:bottom="1134" w:left="1418" w:header="708" w:footer="510" w:gutter="0"/>
          <w:cols w:space="708"/>
          <w:docGrid w:linePitch="360"/>
        </w:sectPr>
      </w:pPr>
    </w:p>
    <w:p w14:paraId="5BA9F236" w14:textId="77777777" w:rsidR="00623AF8" w:rsidRPr="001B4DFD" w:rsidRDefault="00623AF8" w:rsidP="00623AF8">
      <w:pPr>
        <w:spacing w:after="160" w:line="278" w:lineRule="auto"/>
        <w:rPr>
          <w:rFonts w:ascii="Aptos" w:hAnsi="Aptos"/>
        </w:rPr>
      </w:pPr>
    </w:p>
    <w:p w14:paraId="21BDDD7B"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49" w:name="_Toc164948268"/>
      <w:bookmarkStart w:id="350" w:name="_Toc167726985"/>
    </w:p>
    <w:p w14:paraId="0BE685B0" w14:textId="77777777" w:rsidR="00623AF8" w:rsidRPr="001B4DFD" w:rsidRDefault="00623AF8" w:rsidP="00623AF8">
      <w:pPr>
        <w:spacing w:before="120"/>
        <w:jc w:val="both"/>
        <w:outlineLvl w:val="0"/>
        <w:rPr>
          <w:rFonts w:ascii="Aptos" w:eastAsiaTheme="majorEastAsia" w:hAnsi="Aptos" w:cstheme="majorBidi"/>
          <w:b/>
          <w:color w:val="E4342D"/>
          <w:szCs w:val="32"/>
          <w:lang w:val="en-GB"/>
        </w:rPr>
      </w:pPr>
      <w:bookmarkStart w:id="351" w:name="_Toc170983769"/>
      <w:r w:rsidRPr="001B4DFD">
        <w:rPr>
          <w:rFonts w:ascii="Aptos" w:eastAsiaTheme="majorEastAsia" w:hAnsi="Aptos" w:cstheme="majorBidi"/>
          <w:b/>
          <w:color w:val="E4342D"/>
          <w:szCs w:val="32"/>
          <w:lang w:val="en-GB"/>
        </w:rPr>
        <w:t>Public-Private-Partnerships</w:t>
      </w:r>
      <w:bookmarkEnd w:id="349"/>
      <w:r w:rsidRPr="001B4DFD">
        <w:rPr>
          <w:rFonts w:ascii="Aptos" w:eastAsiaTheme="majorEastAsia" w:hAnsi="Aptos" w:cstheme="majorBidi"/>
          <w:b/>
          <w:color w:val="E4342D"/>
          <w:szCs w:val="32"/>
          <w:lang w:val="en-GB"/>
        </w:rPr>
        <w:t xml:space="preserve"> (PPP-Projekte)</w:t>
      </w:r>
      <w:bookmarkEnd w:id="350"/>
      <w:bookmarkEnd w:id="351"/>
    </w:p>
    <w:p w14:paraId="25A367C9" w14:textId="77777777" w:rsidR="00623AF8" w:rsidRPr="001B4DFD" w:rsidRDefault="00623AF8" w:rsidP="00623AF8">
      <w:pPr>
        <w:rPr>
          <w:lang w:val="en-GB"/>
        </w:rPr>
      </w:pPr>
    </w:p>
    <w:tbl>
      <w:tblPr>
        <w:tblStyle w:val="Tabellenraster"/>
        <w:tblW w:w="0" w:type="auto"/>
        <w:tblLook w:val="04A0" w:firstRow="1" w:lastRow="0" w:firstColumn="1" w:lastColumn="0" w:noHBand="0" w:noVBand="1"/>
      </w:tblPr>
      <w:tblGrid>
        <w:gridCol w:w="9060"/>
      </w:tblGrid>
      <w:tr w:rsidR="00623AF8" w:rsidRPr="001B4DFD" w14:paraId="63B7432E" w14:textId="77777777" w:rsidTr="00875DD0">
        <w:tc>
          <w:tcPr>
            <w:tcW w:w="9060" w:type="dxa"/>
            <w:shd w:val="clear" w:color="auto" w:fill="D9D9D9" w:themeFill="background1" w:themeFillShade="D9"/>
          </w:tcPr>
          <w:p w14:paraId="08D1625D" w14:textId="77777777" w:rsidR="00623AF8" w:rsidRPr="001B4DFD" w:rsidRDefault="00623AF8" w:rsidP="00875DD0">
            <w:pPr>
              <w:rPr>
                <w:rFonts w:ascii="Aptos" w:hAnsi="Aptos"/>
                <w:b/>
                <w:iCs/>
              </w:rPr>
            </w:pPr>
            <w:r w:rsidRPr="001B4DFD">
              <w:rPr>
                <w:rFonts w:ascii="Aptos" w:hAnsi="Aptos"/>
                <w:b/>
                <w:iCs/>
                <w:sz w:val="22"/>
                <w:szCs w:val="22"/>
              </w:rPr>
              <w:t>Frage</w:t>
            </w:r>
          </w:p>
        </w:tc>
      </w:tr>
      <w:tr w:rsidR="00623AF8" w:rsidRPr="001B4DFD" w14:paraId="74A5CAD7" w14:textId="77777777" w:rsidTr="00875DD0">
        <w:tc>
          <w:tcPr>
            <w:tcW w:w="9060" w:type="dxa"/>
          </w:tcPr>
          <w:p w14:paraId="08991ACC" w14:textId="77777777" w:rsidR="00623AF8" w:rsidRPr="001B4DFD" w:rsidRDefault="00623AF8" w:rsidP="00875DD0">
            <w:pPr>
              <w:jc w:val="both"/>
              <w:rPr>
                <w:rFonts w:ascii="Aptos" w:hAnsi="Aptos"/>
                <w:kern w:val="2"/>
                <w:sz w:val="22"/>
                <w:szCs w:val="22"/>
                <w:lang w:val="de-DE"/>
                <w14:ligatures w14:val="standardContextual"/>
              </w:rPr>
            </w:pPr>
            <w:r w:rsidRPr="001B4DFD">
              <w:rPr>
                <w:rFonts w:ascii="Aptos" w:hAnsi="Aptos"/>
                <w:kern w:val="2"/>
                <w:sz w:val="22"/>
                <w:szCs w:val="22"/>
                <w:lang w:val="de-DE"/>
                <w14:ligatures w14:val="standardContextual"/>
              </w:rPr>
              <w:t xml:space="preserve">Public Private Partnership (PPP) - also die Mobilisierung privaten Kapitals zur Erfüllung staatlicher Aufgaben - wird insbesondere im Bereich der öffentlichen Infrastruktur als Ausweg aus der „Haushaltskrise“ angepriesen. PPP-Modelle sind jedoch kein Allheilmittel, sie verursachen hohe Transaktionskosten, Kosten für laufendes Controlling und externe Beratungsleistungen. Gerade im Infrastrukturbereich sind private Unternehmen im Auftrag der öffentlichen Hand auch nichts Neues und haben in der Vergangenheit durch ausbleibende Investitionen viele Probleme statt Lösungen geschaffen. </w:t>
            </w:r>
            <w:r w:rsidRPr="001B4DFD">
              <w:rPr>
                <w:rFonts w:ascii="Aptos" w:hAnsi="Aptos"/>
                <w:b/>
                <w:bCs/>
                <w:kern w:val="2"/>
                <w:sz w:val="22"/>
                <w:szCs w:val="22"/>
                <w:lang w:val="de-DE"/>
                <w14:ligatures w14:val="standardContextual"/>
              </w:rPr>
              <w:t>Wie stehen Sie zu PPP-Projekten und sind Ihnen die negativen Beispiele diesbezüglich bekannt?</w:t>
            </w:r>
          </w:p>
        </w:tc>
      </w:tr>
      <w:tr w:rsidR="00623AF8" w:rsidRPr="001B4DFD" w14:paraId="6015BD9F" w14:textId="77777777" w:rsidTr="00875DD0">
        <w:tc>
          <w:tcPr>
            <w:tcW w:w="9060" w:type="dxa"/>
            <w:shd w:val="clear" w:color="auto" w:fill="D9D9D9" w:themeFill="background1" w:themeFillShade="D9"/>
          </w:tcPr>
          <w:p w14:paraId="176385EE" w14:textId="77777777" w:rsidR="00623AF8" w:rsidRPr="001B4DFD" w:rsidRDefault="00623AF8" w:rsidP="00875DD0">
            <w:pPr>
              <w:rPr>
                <w:rFonts w:ascii="Aptos" w:hAnsi="Aptos"/>
                <w:b/>
                <w:bCs/>
              </w:rPr>
            </w:pPr>
            <w:r w:rsidRPr="001B4DFD">
              <w:rPr>
                <w:rFonts w:ascii="Aptos" w:hAnsi="Aptos"/>
                <w:b/>
                <w:bCs/>
                <w:sz w:val="22"/>
                <w:szCs w:val="22"/>
              </w:rPr>
              <w:t>Nachfrage</w:t>
            </w:r>
          </w:p>
        </w:tc>
      </w:tr>
      <w:tr w:rsidR="00623AF8" w:rsidRPr="001B4DFD" w14:paraId="1D828E08" w14:textId="77777777" w:rsidTr="00875DD0">
        <w:tc>
          <w:tcPr>
            <w:tcW w:w="9060" w:type="dxa"/>
          </w:tcPr>
          <w:p w14:paraId="3D186583" w14:textId="77777777" w:rsidR="00623AF8" w:rsidRPr="001B4DFD" w:rsidRDefault="00623AF8" w:rsidP="00F63BE8">
            <w:pPr>
              <w:numPr>
                <w:ilvl w:val="0"/>
                <w:numId w:val="19"/>
              </w:numPr>
              <w:spacing w:before="120" w:after="120"/>
              <w:contextualSpacing/>
              <w:jc w:val="both"/>
              <w:rPr>
                <w:rFonts w:ascii="Aptos" w:hAnsi="Aptos"/>
                <w:sz w:val="22"/>
                <w:szCs w:val="22"/>
                <w:lang w:val="de-DE"/>
              </w:rPr>
            </w:pPr>
            <w:r w:rsidRPr="001B4DFD">
              <w:rPr>
                <w:rFonts w:ascii="Aptos" w:hAnsi="Aptos"/>
                <w:sz w:val="22"/>
                <w:szCs w:val="22"/>
                <w:lang w:val="de-DE"/>
              </w:rPr>
              <w:t>Inwieweit ist die Realisierung von Infrastrukturprojekten durch PPP-Modelle langfristig kostengünstiger als eine resiliente und klimafreundliche Finanzierung durch die öffentliche Hand?</w:t>
            </w:r>
          </w:p>
          <w:p w14:paraId="6BFB29E1" w14:textId="77777777" w:rsidR="00623AF8" w:rsidRPr="001B4DFD" w:rsidRDefault="00623AF8" w:rsidP="00F63BE8">
            <w:pPr>
              <w:numPr>
                <w:ilvl w:val="0"/>
                <w:numId w:val="19"/>
              </w:numPr>
              <w:spacing w:before="120" w:after="120"/>
              <w:contextualSpacing/>
              <w:jc w:val="both"/>
              <w:rPr>
                <w:rFonts w:ascii="Aptos" w:hAnsi="Aptos"/>
                <w:b/>
                <w:lang w:val="de-DE"/>
              </w:rPr>
            </w:pPr>
            <w:r w:rsidRPr="001B4DFD">
              <w:rPr>
                <w:rFonts w:ascii="Aptos" w:hAnsi="Aptos"/>
                <w:sz w:val="22"/>
                <w:szCs w:val="22"/>
                <w:lang w:val="de-DE"/>
              </w:rPr>
              <w:t>Welche Maßnahmen planen Sie, dass es bei PPP-Modellen nicht zu sozial-ökologischen Rebound-Effekten kommt?</w:t>
            </w:r>
          </w:p>
        </w:tc>
      </w:tr>
    </w:tbl>
    <w:p w14:paraId="348F94F6" w14:textId="77777777" w:rsidR="00623AF8" w:rsidRPr="001B4DFD" w:rsidRDefault="00623AF8" w:rsidP="00623AF8">
      <w:pPr>
        <w:spacing w:after="160" w:line="278" w:lineRule="auto"/>
        <w:rPr>
          <w:rFonts w:ascii="Aptos" w:hAnsi="Aptos"/>
        </w:rPr>
      </w:pPr>
    </w:p>
    <w:tbl>
      <w:tblPr>
        <w:tblStyle w:val="TableNormal2"/>
        <w:tblW w:w="0" w:type="auto"/>
        <w:tblLayout w:type="fixed"/>
        <w:tblLook w:val="01E0" w:firstRow="1" w:lastRow="1" w:firstColumn="1" w:lastColumn="1" w:noHBand="0" w:noVBand="0"/>
      </w:tblPr>
      <w:tblGrid>
        <w:gridCol w:w="9066"/>
      </w:tblGrid>
      <w:tr w:rsidR="00623AF8" w:rsidRPr="001B4DFD" w14:paraId="0AA73BF6" w14:textId="77777777" w:rsidTr="00875DD0">
        <w:trPr>
          <w:trHeight w:val="277"/>
        </w:trPr>
        <w:tc>
          <w:tcPr>
            <w:tcW w:w="9066" w:type="dxa"/>
            <w:shd w:val="clear" w:color="auto" w:fill="D9D9D9"/>
          </w:tcPr>
          <w:p w14:paraId="035262DC"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bl>
    <w:p w14:paraId="4CB3FC06" w14:textId="77777777" w:rsidR="00623AF8" w:rsidRPr="001B4DFD" w:rsidRDefault="00623AF8" w:rsidP="00623AF8">
      <w:pPr>
        <w:jc w:val="both"/>
        <w:rPr>
          <w:rFonts w:ascii="Aptos" w:hAnsi="Aptos"/>
        </w:rPr>
        <w:sectPr w:rsidR="00623AF8" w:rsidRPr="001B4DFD" w:rsidSect="00153511">
          <w:headerReference w:type="even" r:id="rId59"/>
          <w:headerReference w:type="default" r:id="rId60"/>
          <w:footerReference w:type="even" r:id="rId61"/>
          <w:headerReference w:type="first" r:id="rId62"/>
          <w:footerReference w:type="first" r:id="rId63"/>
          <w:pgSz w:w="11906" w:h="16838"/>
          <w:pgMar w:top="1418" w:right="1418" w:bottom="1134" w:left="1418" w:header="708" w:footer="510" w:gutter="0"/>
          <w:cols w:space="708"/>
          <w:docGrid w:linePitch="360"/>
        </w:sectPr>
      </w:pPr>
      <w:r w:rsidRPr="001B4DFD">
        <w:rPr>
          <w:rFonts w:ascii="Aptos" w:hAnsi="Aptos"/>
          <w:sz w:val="22"/>
          <w:szCs w:val="22"/>
        </w:rPr>
        <w:t>Der Begriff „Public Private Partnership“ (PPP) entstand in der Reformphase des „New Deal“ in den USA. Das heutige PPP-Konzept hat damit im Kern nichts zu tun. Das heute vorherrschende PPP-Konzept entstand Ende der 1990er Jahre im Vereinigten Königreich. Nach den Finanz- und Gesundheitskrisen der unter den Tory-Regierungen von Margaret Thatcher durchgeführten Privatisierungen (Eisenbahn, Wasser etc.) entwickelte „New Labour“ mit Finanzakteuren der Londoner City ein „Alternativkonzept“. In Großbritannien sind inzwischen rund 700 PPP-Projekte angelaufen, und auch die Europäische Union hat das Modell übernommen. Die EU sieht in PPP ein Instrument zur Einhaltung der „Maastricht-Kriterien“, da die Staaten zumindest nominell und haushaltspolitisch ihre Verschuldung nicht erhöhen. Was der Öffentlichkeit nicht gezeigt wird, ist die Tatsache, dass es sich bei PPP um eine „strukturierte Finanzierung“ handelt. Zwar besteht zunächst der Vorteil, dass sich die öffentliche Hand zunächst nicht verschuldet, aber die Zahlungsverpflichtungen aus einem PPP-Vertrag tragen mit fortschreitender Vertragslaufzeit zu einer weiteren Auszehrung der öffentlichen Haushalte bei. Die Interessen des externen Investors werden gefördert, während die Interessen der öffentlichen Hand vernachlässigt werden müssen.</w:t>
      </w:r>
    </w:p>
    <w:p w14:paraId="2FD850BB" w14:textId="77777777" w:rsidR="00623AF8" w:rsidRPr="001B4DFD" w:rsidRDefault="00623AF8" w:rsidP="00623AF8">
      <w:pPr>
        <w:spacing w:after="160" w:line="278" w:lineRule="auto"/>
        <w:rPr>
          <w:rFonts w:ascii="Aptos" w:hAnsi="Aptos"/>
        </w:rPr>
      </w:pPr>
    </w:p>
    <w:p w14:paraId="189DE955" w14:textId="77777777" w:rsidR="00623AF8" w:rsidRPr="001B4DFD" w:rsidRDefault="00623AF8" w:rsidP="00623AF8">
      <w:pPr>
        <w:rPr>
          <w:rFonts w:ascii="Aptos" w:hAnsi="Aptos"/>
        </w:rPr>
      </w:pPr>
      <w:bookmarkStart w:id="352" w:name="_Toc164948269"/>
    </w:p>
    <w:p w14:paraId="7D0D1BB8"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53" w:name="_Toc167726986"/>
      <w:bookmarkStart w:id="354" w:name="_Toc170983770"/>
      <w:r w:rsidRPr="001B4DFD">
        <w:rPr>
          <w:rFonts w:ascii="Aptos" w:eastAsiaTheme="majorEastAsia" w:hAnsi="Aptos" w:cstheme="majorBidi"/>
          <w:b/>
          <w:color w:val="E4342D"/>
          <w:szCs w:val="32"/>
        </w:rPr>
        <w:t>Neue KMU-Definition</w:t>
      </w:r>
      <w:bookmarkEnd w:id="352"/>
      <w:r w:rsidRPr="001B4DFD">
        <w:rPr>
          <w:rFonts w:ascii="Aptos" w:eastAsiaTheme="majorEastAsia" w:hAnsi="Aptos" w:cstheme="majorBidi"/>
          <w:b/>
          <w:color w:val="E4342D"/>
          <w:szCs w:val="32"/>
        </w:rPr>
        <w:t xml:space="preserve"> für öffentliche Unternehmen</w:t>
      </w:r>
      <w:bookmarkEnd w:id="353"/>
      <w:bookmarkEnd w:id="354"/>
      <w:r w:rsidRPr="001B4DFD">
        <w:rPr>
          <w:rFonts w:ascii="Aptos" w:eastAsiaTheme="majorEastAsia" w:hAnsi="Aptos" w:cstheme="majorBidi"/>
          <w:b/>
          <w:color w:val="E4342D"/>
          <w:szCs w:val="32"/>
        </w:rPr>
        <w:t xml:space="preserve"> </w:t>
      </w:r>
    </w:p>
    <w:p w14:paraId="7AED6ABC"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76783F8E" w14:textId="77777777" w:rsidTr="00875DD0">
        <w:tc>
          <w:tcPr>
            <w:tcW w:w="9060" w:type="dxa"/>
            <w:shd w:val="clear" w:color="auto" w:fill="D9D9D9" w:themeFill="background1" w:themeFillShade="D9"/>
          </w:tcPr>
          <w:p w14:paraId="0124A91C" w14:textId="77777777" w:rsidR="00623AF8" w:rsidRPr="001B4DFD" w:rsidRDefault="00623AF8" w:rsidP="00875DD0">
            <w:pPr>
              <w:rPr>
                <w:rFonts w:ascii="Aptos" w:hAnsi="Aptos"/>
                <w:b/>
                <w:iCs/>
              </w:rPr>
            </w:pPr>
            <w:r w:rsidRPr="001B4DFD">
              <w:rPr>
                <w:rFonts w:ascii="Aptos" w:hAnsi="Aptos"/>
                <w:b/>
                <w:iCs/>
                <w:sz w:val="22"/>
                <w:szCs w:val="22"/>
              </w:rPr>
              <w:t>Frage</w:t>
            </w:r>
          </w:p>
        </w:tc>
      </w:tr>
      <w:tr w:rsidR="00623AF8" w:rsidRPr="001B4DFD" w14:paraId="58888AEE" w14:textId="77777777" w:rsidTr="00875DD0">
        <w:tc>
          <w:tcPr>
            <w:tcW w:w="9060" w:type="dxa"/>
          </w:tcPr>
          <w:p w14:paraId="7E2B271D" w14:textId="77777777" w:rsidR="00623AF8" w:rsidRPr="001B4DFD" w:rsidRDefault="00623AF8" w:rsidP="00875DD0">
            <w:pPr>
              <w:jc w:val="both"/>
              <w:rPr>
                <w:rFonts w:ascii="Aptos" w:hAnsi="Aptos"/>
                <w:kern w:val="2"/>
                <w:sz w:val="22"/>
                <w:szCs w:val="22"/>
                <w:lang w:val="de-DE"/>
                <w14:ligatures w14:val="standardContextual"/>
              </w:rPr>
            </w:pPr>
            <w:r w:rsidRPr="001B4DFD">
              <w:rPr>
                <w:rFonts w:ascii="Aptos" w:hAnsi="Aptos"/>
                <w:kern w:val="2"/>
                <w:sz w:val="22"/>
                <w:szCs w:val="22"/>
                <w:lang w:val="de-DE"/>
                <w14:ligatures w14:val="standardContextual"/>
              </w:rPr>
              <w:t xml:space="preserve">Eine wettbewerbsfähige Wirtschaft ist eine Wirtschaft, deren nachhaltige Produktivitätsrate in der Lage ist, das Wachstum und damit das Einkommen und die Lebensqualität zu steigern. Nachhaltige Wettbewerbsfähigkeit ist seit langem eine der wichtigsten politischen Prioritäten der Europäischen Union (EU). Kleinst-, kleine und mittlere Unternehmen (KMU) spielen im Gefüge der europäischen Wirtschaftspolitik eine zentrale Rolle. Öffentliche Unternehmen verfügen durch ihre Aktivitäten und Infrastrukturen über ein enormes Treibhausgasminderungspotenzial, um die anstehende sozial-ökologische Transformation zu bewältigen, sind jedoch von der KMU-Definition ausgeschlossen. </w:t>
            </w:r>
            <w:r w:rsidRPr="001B4DFD">
              <w:rPr>
                <w:rFonts w:ascii="Aptos" w:hAnsi="Aptos"/>
                <w:b/>
                <w:bCs/>
                <w:kern w:val="2"/>
                <w:sz w:val="22"/>
                <w:szCs w:val="22"/>
                <w:lang w:val="de-DE"/>
                <w14:ligatures w14:val="standardContextual"/>
              </w:rPr>
              <w:t>Welche konkreten Schritte planen Sie, um eine Änderung der KMU-Definition zu erreichen?</w:t>
            </w:r>
          </w:p>
        </w:tc>
      </w:tr>
      <w:tr w:rsidR="00623AF8" w:rsidRPr="001B4DFD" w14:paraId="77B41AA4" w14:textId="77777777" w:rsidTr="00875DD0">
        <w:tc>
          <w:tcPr>
            <w:tcW w:w="9060" w:type="dxa"/>
            <w:shd w:val="clear" w:color="auto" w:fill="D9D9D9" w:themeFill="background1" w:themeFillShade="D9"/>
          </w:tcPr>
          <w:p w14:paraId="0946AEFF" w14:textId="77777777" w:rsidR="00623AF8" w:rsidRPr="001B4DFD" w:rsidRDefault="00623AF8" w:rsidP="00875DD0">
            <w:pPr>
              <w:rPr>
                <w:rFonts w:ascii="Aptos" w:hAnsi="Aptos"/>
                <w:b/>
                <w:bCs/>
              </w:rPr>
            </w:pPr>
            <w:r w:rsidRPr="001B4DFD">
              <w:rPr>
                <w:rFonts w:ascii="Aptos" w:hAnsi="Aptos"/>
                <w:b/>
                <w:bCs/>
                <w:sz w:val="22"/>
                <w:szCs w:val="22"/>
              </w:rPr>
              <w:t>Nachfrage</w:t>
            </w:r>
          </w:p>
        </w:tc>
      </w:tr>
      <w:tr w:rsidR="00623AF8" w:rsidRPr="001B4DFD" w14:paraId="48EF853C" w14:textId="77777777" w:rsidTr="00875DD0">
        <w:tc>
          <w:tcPr>
            <w:tcW w:w="9060" w:type="dxa"/>
          </w:tcPr>
          <w:p w14:paraId="536EF3A6" w14:textId="77777777" w:rsidR="00623AF8" w:rsidRPr="001B4DFD" w:rsidRDefault="00623AF8" w:rsidP="00F63BE8">
            <w:pPr>
              <w:numPr>
                <w:ilvl w:val="0"/>
                <w:numId w:val="19"/>
              </w:numPr>
              <w:spacing w:before="120" w:after="120"/>
              <w:contextualSpacing/>
              <w:jc w:val="both"/>
              <w:rPr>
                <w:rFonts w:ascii="Aptos" w:hAnsi="Aptos"/>
                <w:sz w:val="22"/>
                <w:szCs w:val="22"/>
                <w:lang w:val="de-DE"/>
              </w:rPr>
            </w:pPr>
            <w:r w:rsidRPr="001B4DFD">
              <w:rPr>
                <w:rFonts w:ascii="Aptos" w:hAnsi="Aptos"/>
                <w:sz w:val="22"/>
                <w:szCs w:val="22"/>
                <w:lang w:val="de-DE"/>
              </w:rPr>
              <w:t>Welche Relevanz hat für Sie die Änderung der KMU-Definition, die auch öffentliche Wirtschaftsakteure einschließt?</w:t>
            </w:r>
          </w:p>
          <w:p w14:paraId="6285FAB3" w14:textId="77777777" w:rsidR="00623AF8" w:rsidRPr="001B4DFD" w:rsidRDefault="00623AF8" w:rsidP="00F63BE8">
            <w:pPr>
              <w:numPr>
                <w:ilvl w:val="0"/>
                <w:numId w:val="19"/>
              </w:numPr>
              <w:spacing w:before="120" w:after="120"/>
              <w:contextualSpacing/>
              <w:jc w:val="both"/>
              <w:rPr>
                <w:rFonts w:ascii="Aptos" w:hAnsi="Aptos"/>
                <w:b/>
                <w:lang w:val="de-DE"/>
              </w:rPr>
            </w:pPr>
            <w:r w:rsidRPr="001B4DFD">
              <w:rPr>
                <w:rFonts w:ascii="Aptos" w:hAnsi="Aptos"/>
                <w:sz w:val="22"/>
                <w:szCs w:val="22"/>
                <w:lang w:val="de-DE"/>
              </w:rPr>
              <w:t>Welchen zeitlichen Rahmen können Sie uns für eine Umsetzung skizzieren?</w:t>
            </w:r>
          </w:p>
        </w:tc>
      </w:tr>
    </w:tbl>
    <w:p w14:paraId="27D73154" w14:textId="77777777" w:rsidR="00623AF8" w:rsidRPr="001B4DFD" w:rsidRDefault="00623AF8" w:rsidP="00623AF8">
      <w:pPr>
        <w:spacing w:line="278" w:lineRule="auto"/>
        <w:rPr>
          <w:rFonts w:ascii="Aptos" w:hAnsi="Aptos"/>
          <w:sz w:val="22"/>
          <w:szCs w:val="22"/>
        </w:rPr>
      </w:pPr>
    </w:p>
    <w:tbl>
      <w:tblPr>
        <w:tblStyle w:val="TableNormal2"/>
        <w:tblW w:w="0" w:type="auto"/>
        <w:tblLayout w:type="fixed"/>
        <w:tblLook w:val="01E0" w:firstRow="1" w:lastRow="1" w:firstColumn="1" w:lastColumn="1" w:noHBand="0" w:noVBand="0"/>
      </w:tblPr>
      <w:tblGrid>
        <w:gridCol w:w="9066"/>
      </w:tblGrid>
      <w:tr w:rsidR="00623AF8" w:rsidRPr="001B4DFD" w14:paraId="6F48C72B" w14:textId="77777777" w:rsidTr="00875DD0">
        <w:trPr>
          <w:trHeight w:val="277"/>
        </w:trPr>
        <w:tc>
          <w:tcPr>
            <w:tcW w:w="9066" w:type="dxa"/>
            <w:shd w:val="clear" w:color="auto" w:fill="D9D9D9"/>
          </w:tcPr>
          <w:p w14:paraId="058C37E4"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bl>
    <w:p w14:paraId="560DB64E" w14:textId="77777777" w:rsidR="00623AF8" w:rsidRPr="001B4DFD" w:rsidRDefault="00623AF8" w:rsidP="00623AF8">
      <w:pPr>
        <w:jc w:val="both"/>
        <w:rPr>
          <w:rFonts w:ascii="Aptos" w:hAnsi="Aptos"/>
          <w:sz w:val="22"/>
          <w:szCs w:val="22"/>
        </w:rPr>
      </w:pPr>
      <w:r w:rsidRPr="001B4DFD">
        <w:rPr>
          <w:rFonts w:ascii="Aptos" w:hAnsi="Aptos"/>
          <w:sz w:val="22"/>
          <w:szCs w:val="22"/>
        </w:rPr>
        <w:t>Kleinstunternehmen sowie kleine und mittlere Unternehmen (KMU) werden in der EU-Empfehlung 2003/361 definiert</w:t>
      </w:r>
      <w:r w:rsidRPr="001B4DFD">
        <w:rPr>
          <w:rFonts w:ascii="Aptos" w:hAnsi="Aptos"/>
          <w:sz w:val="22"/>
          <w:szCs w:val="22"/>
          <w:vertAlign w:val="superscript"/>
        </w:rPr>
        <w:footnoteReference w:id="15"/>
      </w:r>
      <w:r w:rsidRPr="001B4DFD">
        <w:rPr>
          <w:rFonts w:ascii="Aptos" w:hAnsi="Aptos"/>
          <w:sz w:val="22"/>
          <w:szCs w:val="22"/>
        </w:rPr>
        <w:t>. Danach zählt ein Unternehmen zu den KMU, wenn es nicht mehr als 249 Personen beschäftigt und einen Jahresumsatz von höchstens 50 Mio. € oder eine Jahresbilanzsumme von höchstens 43 Mio. € hat. Diese Schwellenwerte beziehen sich auf Einzelunternehmen. Gehört ein Unternehmen zu einem größeren Konzern, sind je nach Beteiligungshöhe die Beschäftigtenzahl und der Umsatz bzw. die Bilanzsumme des Konzerns zu berücksichtigen. Die Abgrenzung eines KMU nach der KMU-Definition der EU-Kommission ist wichtig für den Zugang zu Finanzmitteln und zu EU-Förderprogrammen, die speziell auf diese Unternehmen ausgerichtet sind. Die derzeitige KMU-Definition schließt viele kommunale Unternehmen aus und führt dazu, dass viele Förderprogramme für sie nicht zugänglich sind. Benachteiligungen ergeben sich auch in den Bereichen Beihilfen und Steuern. Gerade mit Blick auf die angespannte Finanzsituation öffentlicher Unternehmen und Kommunen infolge der COVID-19-Pandemie sollte hier ein Umdenken der EU-Kommission stattfinden. Insbesondere im Hinblick auf die anstehenden Investitionen im Rahmen des Green Deals sollten auch öffentliche Unternehmen zusätzliche finanzielle Unterstützung bei der Umsetzung klimaneutraler Investitionen erhalten.</w:t>
      </w:r>
    </w:p>
    <w:p w14:paraId="6717A793" w14:textId="77777777" w:rsidR="00623AF8" w:rsidRPr="001B4DFD" w:rsidRDefault="00623AF8" w:rsidP="00623AF8">
      <w:pPr>
        <w:rPr>
          <w:rFonts w:ascii="Aptos" w:hAnsi="Aptos"/>
        </w:rPr>
        <w:sectPr w:rsidR="00623AF8" w:rsidRPr="001B4DFD" w:rsidSect="00153511">
          <w:headerReference w:type="even" r:id="rId64"/>
          <w:headerReference w:type="default" r:id="rId65"/>
          <w:footerReference w:type="even" r:id="rId66"/>
          <w:headerReference w:type="first" r:id="rId67"/>
          <w:footerReference w:type="first" r:id="rId68"/>
          <w:footnotePr>
            <w:numRestart w:val="eachPage"/>
          </w:footnotePr>
          <w:pgSz w:w="11906" w:h="16838"/>
          <w:pgMar w:top="1418" w:right="1418" w:bottom="1134" w:left="1418" w:header="708" w:footer="510" w:gutter="0"/>
          <w:cols w:space="708"/>
          <w:docGrid w:linePitch="360"/>
        </w:sectPr>
      </w:pPr>
    </w:p>
    <w:p w14:paraId="1184990F" w14:textId="77777777" w:rsidR="00623AF8" w:rsidRPr="001B4DFD" w:rsidRDefault="00623AF8" w:rsidP="00623AF8">
      <w:pPr>
        <w:spacing w:after="160" w:line="278" w:lineRule="auto"/>
        <w:rPr>
          <w:rFonts w:ascii="Aptos" w:hAnsi="Aptos"/>
        </w:rPr>
      </w:pPr>
    </w:p>
    <w:p w14:paraId="26F08215" w14:textId="77777777" w:rsidR="00623AF8" w:rsidRPr="001B4DFD" w:rsidRDefault="00623AF8" w:rsidP="00623AF8">
      <w:pPr>
        <w:spacing w:after="160" w:line="278" w:lineRule="auto"/>
        <w:rPr>
          <w:rFonts w:ascii="Aptos" w:hAnsi="Aptos"/>
        </w:rPr>
      </w:pPr>
    </w:p>
    <w:p w14:paraId="73BB2ADB" w14:textId="77777777" w:rsidR="00623AF8" w:rsidRPr="001B4DFD" w:rsidRDefault="00623AF8" w:rsidP="00623AF8">
      <w:pPr>
        <w:spacing w:before="120"/>
        <w:jc w:val="both"/>
        <w:outlineLvl w:val="0"/>
        <w:rPr>
          <w:rFonts w:ascii="Aptos" w:eastAsiaTheme="majorEastAsia" w:hAnsi="Aptos" w:cstheme="majorBidi"/>
          <w:b/>
          <w:color w:val="E4342D"/>
          <w:szCs w:val="32"/>
        </w:rPr>
      </w:pPr>
      <w:bookmarkStart w:id="355" w:name="_Toc164948270"/>
      <w:bookmarkStart w:id="356" w:name="_Toc167726987"/>
      <w:bookmarkStart w:id="357" w:name="_Toc170983771"/>
      <w:r w:rsidRPr="001B4DFD">
        <w:rPr>
          <w:rFonts w:ascii="Aptos" w:eastAsiaTheme="majorEastAsia" w:hAnsi="Aptos" w:cstheme="majorBidi"/>
          <w:b/>
          <w:color w:val="E4342D"/>
          <w:szCs w:val="32"/>
        </w:rPr>
        <w:t>Dual-Use-Kriterium – Klimaschutz und Versorgungssicherheit</w:t>
      </w:r>
      <w:bookmarkEnd w:id="355"/>
      <w:r w:rsidRPr="001B4DFD">
        <w:rPr>
          <w:rFonts w:ascii="Aptos" w:eastAsiaTheme="majorEastAsia" w:hAnsi="Aptos" w:cstheme="majorBidi"/>
          <w:b/>
          <w:color w:val="E4342D"/>
          <w:szCs w:val="32"/>
        </w:rPr>
        <w:t xml:space="preserve"> für kritische Infrastrukturen</w:t>
      </w:r>
      <w:bookmarkEnd w:id="356"/>
      <w:bookmarkEnd w:id="357"/>
    </w:p>
    <w:p w14:paraId="6E67FB7B" w14:textId="77777777" w:rsidR="00623AF8" w:rsidRPr="001B4DFD" w:rsidRDefault="00623AF8" w:rsidP="00623AF8"/>
    <w:tbl>
      <w:tblPr>
        <w:tblStyle w:val="Tabellenraster"/>
        <w:tblW w:w="0" w:type="auto"/>
        <w:tblLook w:val="04A0" w:firstRow="1" w:lastRow="0" w:firstColumn="1" w:lastColumn="0" w:noHBand="0" w:noVBand="1"/>
      </w:tblPr>
      <w:tblGrid>
        <w:gridCol w:w="9060"/>
      </w:tblGrid>
      <w:tr w:rsidR="00623AF8" w:rsidRPr="001B4DFD" w14:paraId="5884E359" w14:textId="77777777" w:rsidTr="00875DD0">
        <w:tc>
          <w:tcPr>
            <w:tcW w:w="9060" w:type="dxa"/>
            <w:shd w:val="clear" w:color="auto" w:fill="D9D9D9" w:themeFill="background1" w:themeFillShade="D9"/>
          </w:tcPr>
          <w:p w14:paraId="26279B7D" w14:textId="77777777" w:rsidR="00623AF8" w:rsidRPr="001B4DFD" w:rsidRDefault="00623AF8" w:rsidP="00875DD0">
            <w:pPr>
              <w:rPr>
                <w:rFonts w:ascii="Aptos" w:hAnsi="Aptos"/>
                <w:b/>
                <w:iCs/>
              </w:rPr>
            </w:pPr>
            <w:r w:rsidRPr="001B4DFD">
              <w:rPr>
                <w:rFonts w:ascii="Aptos" w:hAnsi="Aptos"/>
                <w:b/>
                <w:iCs/>
                <w:sz w:val="22"/>
                <w:szCs w:val="22"/>
              </w:rPr>
              <w:t>Frage</w:t>
            </w:r>
          </w:p>
        </w:tc>
      </w:tr>
      <w:tr w:rsidR="00623AF8" w:rsidRPr="001B4DFD" w14:paraId="53220C6F" w14:textId="77777777" w:rsidTr="00875DD0">
        <w:tc>
          <w:tcPr>
            <w:tcW w:w="9060" w:type="dxa"/>
          </w:tcPr>
          <w:p w14:paraId="7D12BE78" w14:textId="77777777" w:rsidR="00623AF8" w:rsidRPr="001B4DFD" w:rsidRDefault="00623AF8" w:rsidP="00875DD0">
            <w:pPr>
              <w:jc w:val="both"/>
              <w:rPr>
                <w:rFonts w:ascii="Aptos" w:hAnsi="Aptos"/>
                <w:kern w:val="2"/>
                <w:sz w:val="22"/>
                <w:szCs w:val="22"/>
                <w:lang w:val="de-DE"/>
                <w14:ligatures w14:val="standardContextual"/>
              </w:rPr>
            </w:pPr>
            <w:r w:rsidRPr="001B4DFD">
              <w:rPr>
                <w:rFonts w:ascii="Aptos" w:hAnsi="Aptos"/>
                <w:kern w:val="2"/>
                <w:sz w:val="22"/>
                <w:szCs w:val="22"/>
                <w:lang w:val="de-DE"/>
                <w14:ligatures w14:val="standardContextual"/>
              </w:rPr>
              <w:t xml:space="preserve">Die letzten durch Krisen (Pandemie, Energiearmut und Krieg) gezeichneten Jahre haben den Bürger:innen innerhalb der Europäischen Union gezeigt, dass Resilienz eines der Hauptziele der Union und der Mitgliedstaaten sein muss. Der russische Angriffskrieg zwingt uns, die Resilienz aller Infrastrukturen und Institutionen sicherzustellen.  Vor dem Hintergrund des Klimawandels bedeutet Resilienz aber vor allem auch Klimaschutz, Klimaanpassung und Versorgungssicherheit. </w:t>
            </w:r>
            <w:r w:rsidRPr="001B4DFD">
              <w:rPr>
                <w:rFonts w:ascii="Aptos" w:hAnsi="Aptos"/>
                <w:b/>
                <w:bCs/>
                <w:kern w:val="2"/>
                <w:sz w:val="22"/>
                <w:szCs w:val="22"/>
                <w:lang w:val="de-DE"/>
                <w14:ligatures w14:val="standardContextual"/>
              </w:rPr>
              <w:t>Wie wollen Sie sicherstellen, dass Projekte, die nicht den Dual-Use-Kriterien entsprechen, aber zum Klimaschutz und zur Versorgungssicherheit beitragen, weiterhin ausreichend Zugang zu EU-Programmen/EU-Mitteln haben?</w:t>
            </w:r>
          </w:p>
        </w:tc>
      </w:tr>
      <w:tr w:rsidR="00623AF8" w:rsidRPr="001B4DFD" w14:paraId="35212E64" w14:textId="77777777" w:rsidTr="00875DD0">
        <w:tc>
          <w:tcPr>
            <w:tcW w:w="9060" w:type="dxa"/>
            <w:shd w:val="clear" w:color="auto" w:fill="D9D9D9" w:themeFill="background1" w:themeFillShade="D9"/>
          </w:tcPr>
          <w:p w14:paraId="5C43EE7E" w14:textId="77777777" w:rsidR="00623AF8" w:rsidRPr="001B4DFD" w:rsidRDefault="00623AF8" w:rsidP="00875DD0">
            <w:pPr>
              <w:rPr>
                <w:rFonts w:ascii="Aptos" w:hAnsi="Aptos"/>
                <w:b/>
                <w:bCs/>
              </w:rPr>
            </w:pPr>
            <w:r w:rsidRPr="001B4DFD">
              <w:rPr>
                <w:rFonts w:ascii="Aptos" w:hAnsi="Aptos"/>
                <w:b/>
                <w:bCs/>
                <w:sz w:val="22"/>
                <w:szCs w:val="22"/>
              </w:rPr>
              <w:t>Nachfrage</w:t>
            </w:r>
          </w:p>
        </w:tc>
      </w:tr>
      <w:tr w:rsidR="00623AF8" w:rsidRPr="001B4DFD" w14:paraId="012B62F4" w14:textId="77777777" w:rsidTr="00875DD0">
        <w:tc>
          <w:tcPr>
            <w:tcW w:w="9060" w:type="dxa"/>
          </w:tcPr>
          <w:p w14:paraId="54FD8B44" w14:textId="77777777" w:rsidR="00623AF8" w:rsidRPr="001B4DFD" w:rsidRDefault="00623AF8" w:rsidP="00F63BE8">
            <w:pPr>
              <w:numPr>
                <w:ilvl w:val="0"/>
                <w:numId w:val="19"/>
              </w:numPr>
              <w:spacing w:before="120" w:after="120"/>
              <w:contextualSpacing/>
              <w:jc w:val="both"/>
              <w:rPr>
                <w:rFonts w:ascii="Aptos" w:hAnsi="Aptos"/>
                <w:sz w:val="22"/>
                <w:szCs w:val="22"/>
                <w:lang w:val="de-DE"/>
              </w:rPr>
            </w:pPr>
            <w:r w:rsidRPr="001B4DFD">
              <w:rPr>
                <w:rFonts w:ascii="Aptos" w:hAnsi="Aptos"/>
                <w:sz w:val="22"/>
                <w:szCs w:val="22"/>
                <w:lang w:val="de-DE"/>
              </w:rPr>
              <w:t>Welche neuen EU-Programme und EU-Initiativen sind aus Ihrer Sicht notwendig, um die europäischen Klimaziele zu erreichen?</w:t>
            </w:r>
          </w:p>
          <w:p w14:paraId="1DD4A0D9" w14:textId="77777777" w:rsidR="00623AF8" w:rsidRPr="001B4DFD" w:rsidRDefault="00623AF8" w:rsidP="00F63BE8">
            <w:pPr>
              <w:numPr>
                <w:ilvl w:val="0"/>
                <w:numId w:val="19"/>
              </w:numPr>
              <w:spacing w:before="120" w:after="120"/>
              <w:contextualSpacing/>
              <w:jc w:val="both"/>
              <w:rPr>
                <w:rFonts w:ascii="Aptos" w:hAnsi="Aptos"/>
                <w:bCs/>
                <w:lang w:val="de-DE"/>
              </w:rPr>
            </w:pPr>
            <w:r w:rsidRPr="001B4DFD">
              <w:rPr>
                <w:rFonts w:ascii="Aptos" w:hAnsi="Aptos"/>
                <w:sz w:val="22"/>
                <w:szCs w:val="22"/>
                <w:lang w:val="de-DE"/>
              </w:rPr>
              <w:t>Wie kann sichergestellt werden, dass öffentliche Akteure, die die Lebensqualität garantieren, eine widerstandsfähige Finanzierung erhalten?</w:t>
            </w:r>
          </w:p>
        </w:tc>
      </w:tr>
    </w:tbl>
    <w:p w14:paraId="787FCE01" w14:textId="77777777" w:rsidR="00623AF8" w:rsidRPr="001B4DFD" w:rsidRDefault="00623AF8" w:rsidP="00623AF8">
      <w:pPr>
        <w:spacing w:line="278" w:lineRule="auto"/>
        <w:rPr>
          <w:rFonts w:ascii="Aptos" w:hAnsi="Aptos"/>
        </w:rPr>
      </w:pPr>
    </w:p>
    <w:tbl>
      <w:tblPr>
        <w:tblStyle w:val="TableNormal2"/>
        <w:tblW w:w="0" w:type="auto"/>
        <w:tblLayout w:type="fixed"/>
        <w:tblLook w:val="01E0" w:firstRow="1" w:lastRow="1" w:firstColumn="1" w:lastColumn="1" w:noHBand="0" w:noVBand="0"/>
      </w:tblPr>
      <w:tblGrid>
        <w:gridCol w:w="9066"/>
      </w:tblGrid>
      <w:tr w:rsidR="00623AF8" w:rsidRPr="001B4DFD" w14:paraId="0A75358E" w14:textId="77777777" w:rsidTr="00875DD0">
        <w:trPr>
          <w:trHeight w:val="277"/>
        </w:trPr>
        <w:tc>
          <w:tcPr>
            <w:tcW w:w="9066" w:type="dxa"/>
            <w:shd w:val="clear" w:color="auto" w:fill="D9D9D9"/>
          </w:tcPr>
          <w:p w14:paraId="5A0EF260"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 w:val="22"/>
                <w:szCs w:val="20"/>
                <w:lang w:val="en-GB"/>
              </w:rPr>
              <w:t>Hintergrundinformationen</w:t>
            </w:r>
          </w:p>
        </w:tc>
      </w:tr>
    </w:tbl>
    <w:p w14:paraId="4D94328C" w14:textId="77777777" w:rsidR="00623AF8" w:rsidRPr="001B4DFD" w:rsidRDefault="00623AF8" w:rsidP="00623AF8">
      <w:pPr>
        <w:jc w:val="both"/>
        <w:rPr>
          <w:rFonts w:ascii="Aptos" w:hAnsi="Aptos"/>
          <w:sz w:val="22"/>
          <w:szCs w:val="22"/>
        </w:rPr>
      </w:pPr>
      <w:r w:rsidRPr="001B4DFD">
        <w:rPr>
          <w:rFonts w:ascii="Aptos" w:hAnsi="Aptos"/>
          <w:sz w:val="22"/>
          <w:szCs w:val="22"/>
        </w:rPr>
        <w:t>In den letzten Jahrzehnten wurde die Europäische Union mit zahlreichen Herausforderungen konfrontiert. Klimawandel, demografische Verschiebungen, Migrationsdruck und die Covid-19-Pandemie verändern unsere Gesellschaft. Insbesondere der russische Angriffskrieg markiert einen radikalen Umbruch in der geopolitischen Sicherheitsarchitektur und offenbart Lücken in der europäischen Resilienz. Resilienz wird jedoch als die Fähigkeit definiert, nicht nur Herausforderungen standzuhalten und zu bewältigen, sondern auch Übergänge nachhaltig, gerecht und demokratisch zu gestalten. Diese multidisziplinäre Perspektive verfolgt einen ganzheitlichen Ansatz. Der Aufbau einer widerstandsfähigeren Gesellschaft erfordert die Stärkung kritischer Infrastrukturen und die Verbesserung der Anpassungs- und Transformationsfähigkeit aller Akteure. Um die militärische Mobilität der Streitkräfte der Europäischen Union innerhalb und außerhalb der Union zu verbessern, ist die Verbesserung der Kapazität der dual-use-Verkehrsinfrastruktur entlang des EU-Militärnetzwerks und des TEN-T-Netzwerks von entscheidender Bedeutung für die europäische Sicherheit und Verteidigung. Eine vereinfachte und verkürzte Sichtweise des Dual-Use-Kriteriums für die Verkehrsinfrastruktur reicht jedoch nicht aus, um ein resilientes Europa zu schaffen. Insbesondere Versorgungssicherheit, Klimaschutz und -anpassung sowie Energiesicherheit müssen gewährleistet werden.</w:t>
      </w:r>
    </w:p>
    <w:p w14:paraId="4963F3E9" w14:textId="77777777" w:rsidR="00623AF8" w:rsidRPr="001B4DFD" w:rsidRDefault="00623AF8" w:rsidP="00623AF8">
      <w:pPr>
        <w:jc w:val="both"/>
        <w:rPr>
          <w:rFonts w:ascii="Aptos" w:hAnsi="Aptos"/>
          <w:bCs/>
          <w:iCs/>
          <w:sz w:val="18"/>
          <w:szCs w:val="18"/>
        </w:rPr>
      </w:pPr>
    </w:p>
    <w:p w14:paraId="1A90FD53" w14:textId="77777777" w:rsidR="00623AF8" w:rsidRPr="001B4DFD" w:rsidRDefault="00623AF8" w:rsidP="00F63BE8">
      <w:pPr>
        <w:numPr>
          <w:ilvl w:val="0"/>
          <w:numId w:val="47"/>
        </w:numPr>
        <w:contextualSpacing/>
        <w:rPr>
          <w:rFonts w:ascii="Aptos" w:hAnsi="Aptos"/>
          <w:bCs/>
          <w:iCs/>
          <w:sz w:val="18"/>
          <w:szCs w:val="18"/>
        </w:rPr>
      </w:pPr>
      <w:r w:rsidRPr="001B4DFD">
        <w:rPr>
          <w:rFonts w:ascii="Aptos" w:hAnsi="Aptos"/>
          <w:sz w:val="18"/>
          <w:szCs w:val="18"/>
        </w:rPr>
        <w:t>Europäische Kommission: Amtsblatt der Europäischen Union 20.05.2023.:</w:t>
      </w:r>
    </w:p>
    <w:p w14:paraId="47531E29" w14:textId="77777777" w:rsidR="00623AF8" w:rsidRPr="001B4DFD" w:rsidRDefault="00623AF8" w:rsidP="00623AF8">
      <w:pPr>
        <w:ind w:left="360"/>
        <w:contextualSpacing/>
        <w:rPr>
          <w:rFonts w:ascii="Aptos" w:hAnsi="Aptos"/>
          <w:bCs/>
          <w:iCs/>
          <w:sz w:val="18"/>
          <w:szCs w:val="18"/>
        </w:rPr>
      </w:pPr>
      <w:r w:rsidRPr="001B4DFD">
        <w:rPr>
          <w:rFonts w:ascii="Aptos" w:hAnsi="Aptos"/>
          <w:sz w:val="18"/>
          <w:szCs w:val="18"/>
        </w:rPr>
        <w:t xml:space="preserve"> </w:t>
      </w:r>
      <w:hyperlink r:id="rId69" w:history="1">
        <w:r w:rsidRPr="001B4DFD">
          <w:rPr>
            <w:rFonts w:ascii="Aptos" w:hAnsi="Aptos"/>
            <w:bCs/>
            <w:iCs/>
            <w:color w:val="0000FF"/>
            <w:sz w:val="18"/>
            <w:szCs w:val="18"/>
            <w:u w:val="single"/>
          </w:rPr>
          <w:t>http://eur-lex.europa.eu/legal-content/DE/TXT/PDF/?uri=CELEX:32003H0361&amp;from=EN</w:t>
        </w:r>
      </w:hyperlink>
      <w:r w:rsidRPr="001B4DFD">
        <w:rPr>
          <w:rFonts w:ascii="Aptos" w:hAnsi="Aptos"/>
          <w:bCs/>
          <w:iCs/>
          <w:sz w:val="18"/>
          <w:szCs w:val="18"/>
        </w:rPr>
        <w:t xml:space="preserve"> </w:t>
      </w:r>
    </w:p>
    <w:p w14:paraId="5AB8EFE6" w14:textId="77777777" w:rsidR="00623AF8" w:rsidRPr="001B4DFD" w:rsidRDefault="00623AF8" w:rsidP="00623AF8">
      <w:pPr>
        <w:spacing w:after="160" w:line="278" w:lineRule="auto"/>
        <w:rPr>
          <w:rFonts w:ascii="Aptos" w:hAnsi="Aptos"/>
        </w:rPr>
      </w:pPr>
    </w:p>
    <w:p w14:paraId="03D81EB4" w14:textId="77777777" w:rsidR="00623AF8" w:rsidRPr="001B4DFD" w:rsidRDefault="00623AF8" w:rsidP="00623AF8">
      <w:pPr>
        <w:rPr>
          <w:rFonts w:ascii="Aptos" w:hAnsi="Aptos"/>
        </w:rPr>
      </w:pPr>
      <w:bookmarkStart w:id="358" w:name="_Toc164948271"/>
    </w:p>
    <w:p w14:paraId="151E9232" w14:textId="77777777" w:rsidR="00623AF8" w:rsidRPr="001B4DFD" w:rsidRDefault="00623AF8" w:rsidP="00623AF8">
      <w:pPr>
        <w:rPr>
          <w:rFonts w:ascii="Aptos" w:hAnsi="Aptos"/>
        </w:rPr>
      </w:pPr>
    </w:p>
    <w:p w14:paraId="50DB417C" w14:textId="77777777" w:rsidR="00623AF8" w:rsidRPr="001B4DFD" w:rsidRDefault="00623AF8" w:rsidP="00623AF8">
      <w:pPr>
        <w:rPr>
          <w:rFonts w:ascii="Aptos" w:hAnsi="Aptos"/>
        </w:rPr>
      </w:pPr>
    </w:p>
    <w:p w14:paraId="066C0A2B" w14:textId="77777777" w:rsidR="00623AF8" w:rsidRPr="001B4DFD" w:rsidRDefault="00623AF8" w:rsidP="00623AF8">
      <w:pPr>
        <w:rPr>
          <w:rFonts w:ascii="Aptos" w:hAnsi="Aptos"/>
        </w:rPr>
      </w:pPr>
    </w:p>
    <w:p w14:paraId="79CEB81C" w14:textId="77777777" w:rsidR="00623AF8" w:rsidRPr="001B4DFD" w:rsidRDefault="00623AF8" w:rsidP="00623AF8">
      <w:pPr>
        <w:rPr>
          <w:rFonts w:ascii="Aptos" w:hAnsi="Aptos"/>
        </w:rPr>
      </w:pPr>
    </w:p>
    <w:p w14:paraId="0A79F59F" w14:textId="77777777" w:rsidR="00623AF8" w:rsidRPr="001B4DFD" w:rsidRDefault="00623AF8" w:rsidP="00623AF8">
      <w:pPr>
        <w:rPr>
          <w:rFonts w:ascii="Aptos" w:hAnsi="Aptos"/>
        </w:rPr>
      </w:pPr>
    </w:p>
    <w:p w14:paraId="03D09A86" w14:textId="77777777" w:rsidR="00623AF8" w:rsidRDefault="00623AF8" w:rsidP="00623AF8">
      <w:pPr>
        <w:rPr>
          <w:rFonts w:ascii="Aptos" w:hAnsi="Aptos"/>
        </w:rPr>
      </w:pPr>
    </w:p>
    <w:p w14:paraId="74C4BE46" w14:textId="77777777" w:rsidR="00623AF8" w:rsidRPr="001B4DFD" w:rsidRDefault="00623AF8" w:rsidP="00623AF8">
      <w:pPr>
        <w:rPr>
          <w:rFonts w:ascii="Aptos" w:hAnsi="Aptos"/>
        </w:rPr>
      </w:pPr>
    </w:p>
    <w:p w14:paraId="4EDE82BC" w14:textId="77777777" w:rsidR="00BA190B" w:rsidRDefault="00BA190B" w:rsidP="00623AF8">
      <w:pPr>
        <w:spacing w:after="120"/>
        <w:jc w:val="both"/>
        <w:outlineLvl w:val="0"/>
        <w:rPr>
          <w:rFonts w:ascii="Aptos" w:eastAsiaTheme="majorEastAsia" w:hAnsi="Aptos" w:cstheme="majorBidi"/>
          <w:b/>
          <w:color w:val="E4342D"/>
          <w:szCs w:val="32"/>
        </w:rPr>
      </w:pPr>
      <w:bookmarkStart w:id="359" w:name="_Toc167726988"/>
      <w:bookmarkStart w:id="360" w:name="_Toc170983772"/>
    </w:p>
    <w:p w14:paraId="3AC47B17" w14:textId="494A3A37" w:rsidR="00623AF8" w:rsidRDefault="00623AF8" w:rsidP="00623AF8">
      <w:pPr>
        <w:spacing w:after="120"/>
        <w:jc w:val="both"/>
        <w:outlineLvl w:val="0"/>
        <w:rPr>
          <w:rFonts w:ascii="Aptos" w:eastAsiaTheme="majorEastAsia" w:hAnsi="Aptos" w:cstheme="majorBidi"/>
          <w:b/>
          <w:color w:val="E4342D"/>
          <w:szCs w:val="32"/>
        </w:rPr>
      </w:pPr>
      <w:r w:rsidRPr="001B4DFD">
        <w:rPr>
          <w:rFonts w:ascii="Aptos" w:eastAsiaTheme="majorEastAsia" w:hAnsi="Aptos" w:cstheme="majorBidi"/>
          <w:b/>
          <w:color w:val="E4342D"/>
          <w:szCs w:val="32"/>
        </w:rPr>
        <w:t>Flexibilität von EU-Förderprogrammen</w:t>
      </w:r>
      <w:bookmarkEnd w:id="358"/>
      <w:bookmarkEnd w:id="359"/>
      <w:bookmarkEnd w:id="360"/>
    </w:p>
    <w:p w14:paraId="43081444" w14:textId="77777777" w:rsidR="00BA190B" w:rsidRPr="001B4DFD" w:rsidRDefault="00BA190B" w:rsidP="00623AF8">
      <w:pPr>
        <w:spacing w:after="120"/>
        <w:jc w:val="both"/>
        <w:outlineLvl w:val="0"/>
        <w:rPr>
          <w:rFonts w:ascii="Aptos" w:eastAsiaTheme="majorEastAsia" w:hAnsi="Aptos" w:cstheme="majorBidi"/>
          <w:b/>
          <w:color w:val="E4342D"/>
          <w:szCs w:val="32"/>
        </w:rPr>
      </w:pPr>
    </w:p>
    <w:tbl>
      <w:tblPr>
        <w:tblStyle w:val="Tabellenraster"/>
        <w:tblW w:w="0" w:type="auto"/>
        <w:tblLook w:val="04A0" w:firstRow="1" w:lastRow="0" w:firstColumn="1" w:lastColumn="0" w:noHBand="0" w:noVBand="1"/>
      </w:tblPr>
      <w:tblGrid>
        <w:gridCol w:w="9060"/>
      </w:tblGrid>
      <w:tr w:rsidR="00623AF8" w:rsidRPr="001B4DFD" w14:paraId="53D43967" w14:textId="77777777" w:rsidTr="00875DD0">
        <w:tc>
          <w:tcPr>
            <w:tcW w:w="9060" w:type="dxa"/>
            <w:shd w:val="clear" w:color="auto" w:fill="D9D9D9" w:themeFill="background1" w:themeFillShade="D9"/>
          </w:tcPr>
          <w:p w14:paraId="1EB2FE58" w14:textId="77777777" w:rsidR="00623AF8" w:rsidRPr="001B4DFD" w:rsidRDefault="00623AF8" w:rsidP="00875DD0">
            <w:pPr>
              <w:rPr>
                <w:rFonts w:ascii="Aptos" w:hAnsi="Aptos"/>
                <w:b/>
                <w:iCs/>
              </w:rPr>
            </w:pPr>
            <w:r w:rsidRPr="001B4DFD">
              <w:rPr>
                <w:rFonts w:ascii="Aptos" w:hAnsi="Aptos"/>
                <w:b/>
                <w:iCs/>
              </w:rPr>
              <w:t>Frage</w:t>
            </w:r>
          </w:p>
        </w:tc>
      </w:tr>
      <w:tr w:rsidR="00623AF8" w:rsidRPr="001B4DFD" w14:paraId="30A65C18" w14:textId="77777777" w:rsidTr="00875DD0">
        <w:tc>
          <w:tcPr>
            <w:tcW w:w="9060" w:type="dxa"/>
          </w:tcPr>
          <w:p w14:paraId="0FAB108B" w14:textId="77777777" w:rsidR="00623AF8" w:rsidRPr="001B4DFD" w:rsidRDefault="00623AF8" w:rsidP="00875DD0">
            <w:pPr>
              <w:jc w:val="both"/>
              <w:rPr>
                <w:rFonts w:ascii="Aptos" w:hAnsi="Aptos"/>
                <w:kern w:val="2"/>
                <w:sz w:val="22"/>
                <w:szCs w:val="22"/>
                <w:lang w:val="de-DE"/>
                <w14:ligatures w14:val="standardContextual"/>
              </w:rPr>
            </w:pPr>
            <w:r w:rsidRPr="001B4DFD">
              <w:rPr>
                <w:rFonts w:ascii="Aptos" w:hAnsi="Aptos"/>
                <w:kern w:val="2"/>
                <w:sz w:val="22"/>
                <w:szCs w:val="22"/>
                <w:lang w:val="de-DE"/>
                <w14:ligatures w14:val="standardContextual"/>
              </w:rPr>
              <w:t xml:space="preserve">Die Europäische Union stellt ein breites Spektrum an Fördermitteln zur Verfügung. Diese versuchen den Anforderungen einer sich ständig verändernden Gesellschaft gerecht zu werden. Förder- und Finanzierungsprogramme werden jedoch nicht immer dem Anspruch, ihre Ziele effizient und gerecht umzusetzen, gerecht. Bürokratische Hürden und Ausnahmeregelungen der EU und der Mitgliedstaaten erschweren vielen Akteuren die Teilnahme. </w:t>
            </w:r>
            <w:r w:rsidRPr="001B4DFD">
              <w:rPr>
                <w:rFonts w:ascii="Aptos" w:hAnsi="Aptos"/>
                <w:b/>
                <w:bCs/>
                <w:kern w:val="2"/>
                <w:sz w:val="22"/>
                <w:szCs w:val="22"/>
                <w:lang w:val="de-DE"/>
                <w14:ligatures w14:val="standardContextual"/>
              </w:rPr>
              <w:t>Wie wollen Sie bei EU-Förderprogrammen die notwendige Flexibilität bei der Antragstellung und Mittelverwendung sicherstellen?</w:t>
            </w:r>
          </w:p>
        </w:tc>
      </w:tr>
      <w:tr w:rsidR="00623AF8" w:rsidRPr="001B4DFD" w14:paraId="084A345E" w14:textId="77777777" w:rsidTr="00875DD0">
        <w:tc>
          <w:tcPr>
            <w:tcW w:w="9060" w:type="dxa"/>
            <w:shd w:val="clear" w:color="auto" w:fill="D9D9D9" w:themeFill="background1" w:themeFillShade="D9"/>
          </w:tcPr>
          <w:p w14:paraId="7927D603" w14:textId="77777777" w:rsidR="00623AF8" w:rsidRPr="001B4DFD" w:rsidRDefault="00623AF8" w:rsidP="00875DD0">
            <w:pPr>
              <w:rPr>
                <w:rFonts w:ascii="Aptos" w:hAnsi="Aptos"/>
                <w:b/>
                <w:bCs/>
              </w:rPr>
            </w:pPr>
            <w:r w:rsidRPr="001B4DFD">
              <w:rPr>
                <w:rFonts w:ascii="Aptos" w:hAnsi="Aptos"/>
                <w:b/>
                <w:bCs/>
              </w:rPr>
              <w:t>Nachfrage</w:t>
            </w:r>
          </w:p>
        </w:tc>
      </w:tr>
      <w:tr w:rsidR="00623AF8" w:rsidRPr="001B4DFD" w14:paraId="05B59548" w14:textId="77777777" w:rsidTr="00875DD0">
        <w:tc>
          <w:tcPr>
            <w:tcW w:w="9060" w:type="dxa"/>
          </w:tcPr>
          <w:p w14:paraId="21C7B69E" w14:textId="77777777" w:rsidR="00623AF8" w:rsidRPr="001B4DFD" w:rsidRDefault="00623AF8" w:rsidP="00F63BE8">
            <w:pPr>
              <w:numPr>
                <w:ilvl w:val="0"/>
                <w:numId w:val="19"/>
              </w:numPr>
              <w:spacing w:before="120" w:after="120"/>
              <w:contextualSpacing/>
              <w:jc w:val="both"/>
              <w:rPr>
                <w:rFonts w:ascii="Aptos" w:hAnsi="Aptos"/>
                <w:bCs/>
                <w:lang w:val="de-DE"/>
              </w:rPr>
            </w:pPr>
            <w:r w:rsidRPr="001B4DFD">
              <w:rPr>
                <w:rFonts w:ascii="Aptos" w:hAnsi="Aptos"/>
                <w:sz w:val="22"/>
                <w:szCs w:val="22"/>
                <w:lang w:val="de-DE"/>
              </w:rPr>
              <w:t>Wie können Sie sicherstellen, dass Akteure der öffentlichen Daseinsvorsorge bei der Entwicklung, Umsetzung und Evaluation von Förderprogrammen effektiv miteingebunden werden?</w:t>
            </w:r>
          </w:p>
        </w:tc>
      </w:tr>
    </w:tbl>
    <w:p w14:paraId="222CA261" w14:textId="77777777" w:rsidR="00623AF8" w:rsidRPr="001B4DFD" w:rsidRDefault="00623AF8" w:rsidP="00623AF8">
      <w:pPr>
        <w:rPr>
          <w:rFonts w:ascii="Aptos" w:hAnsi="Aptos"/>
        </w:rPr>
      </w:pPr>
    </w:p>
    <w:tbl>
      <w:tblPr>
        <w:tblStyle w:val="TableNormal2"/>
        <w:tblW w:w="0" w:type="auto"/>
        <w:tblLayout w:type="fixed"/>
        <w:tblLook w:val="01E0" w:firstRow="1" w:lastRow="1" w:firstColumn="1" w:lastColumn="1" w:noHBand="0" w:noVBand="0"/>
      </w:tblPr>
      <w:tblGrid>
        <w:gridCol w:w="9066"/>
      </w:tblGrid>
      <w:tr w:rsidR="00623AF8" w:rsidRPr="001B4DFD" w14:paraId="2A99629B" w14:textId="77777777" w:rsidTr="00875DD0">
        <w:trPr>
          <w:trHeight w:val="277"/>
        </w:trPr>
        <w:tc>
          <w:tcPr>
            <w:tcW w:w="9066" w:type="dxa"/>
            <w:shd w:val="clear" w:color="auto" w:fill="D9D9D9"/>
          </w:tcPr>
          <w:p w14:paraId="255E380F"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59688EE7" w14:textId="77777777" w:rsidR="00623AF8" w:rsidRPr="001B4DFD" w:rsidRDefault="00623AF8" w:rsidP="00623AF8">
      <w:pPr>
        <w:jc w:val="both"/>
        <w:rPr>
          <w:rFonts w:ascii="Aptos" w:hAnsi="Aptos"/>
          <w:b/>
          <w:iCs/>
          <w:sz w:val="22"/>
          <w:szCs w:val="22"/>
        </w:rPr>
      </w:pPr>
      <w:r w:rsidRPr="001B4DFD">
        <w:rPr>
          <w:rFonts w:ascii="Aptos" w:hAnsi="Aptos"/>
          <w:sz w:val="22"/>
          <w:szCs w:val="22"/>
        </w:rPr>
        <w:t>Die internationalen und nationalen Klimaschutzziele sind ehrgeizig, dies bedeutet immense Investitionen und Maßnahmen für den europäischen Wirtschaftsraum. Klassische Förderprogramme mit engen technischen Verwendungsvorgaben und aufwändigen und langwierigen Verfahren werden nicht den notwendigen Erfolg bringen. Gleichzeitig muss die Wirksamkeit der Förderung im Hinblick auf die Klimaziele im Mittelpunkt stehen. Die sozial-ökologische Transformation ist viel zu komplex, um im Rahmen kleinteiliger Förderprojekte detaillierte inhaltliche Vorgaben für einzelne Förderbereiche zu machen. Zudem würde gerade die Anwendung statischer Vorgaben, die sich zwangsläufig am aktuellen Stand der Technik orientieren, Innovationen verhindern. Gerade neue, innovative Lösungen sind gefragt. Neben der Effizienz ist auch die Innovationsoffenheit von zentraler Bedeutung für den Klimaschutz. Die öffentliche Wirtschaft als Garant für ein resilientes und klimaneutrales Europa muss deutlich mehr Flexibilität und Wahlmöglichkeiten bei der Förderung von sozialen und resilienten Klimaschutzinnovationen erhalten. Die kommunale Wirtschaft muss immer mehr Projekte betreuen und schneller als bisher Wirkungen erzielen - und das mit absehbar weniger Personal. Es ist daher dringend erforderlich, die Förderstruktur so zu verändern, dass sich das Verfahren an den Bedarf und die tatsächlichen administrativen Kapazitäten anpasst und nicht umgekehrt. Gerade mit Blick auf den kommunalen Klimaschutz bedeutet dies auch, dass insbesondere im Bereich inhaltlich zusammenhängender Projekte (z.B. Ausbau aktiver Mobilitätsinfrastrukturen – Fahrradwege, Bürgersteige) eine gebündelte Beantragung und Abrechnung von Einzelmaßnahmen möglich sein muss.</w:t>
      </w:r>
    </w:p>
    <w:p w14:paraId="1B3F0F68" w14:textId="77777777" w:rsidR="00623AF8" w:rsidRPr="001B4DFD" w:rsidRDefault="00623AF8" w:rsidP="00623AF8">
      <w:pPr>
        <w:spacing w:after="160" w:line="278" w:lineRule="auto"/>
        <w:rPr>
          <w:rFonts w:ascii="Aptos" w:hAnsi="Aptos"/>
        </w:rPr>
      </w:pPr>
    </w:p>
    <w:p w14:paraId="5D3EDA4D" w14:textId="77777777" w:rsidR="00623AF8" w:rsidRPr="001B4DFD" w:rsidRDefault="00623AF8" w:rsidP="00623AF8">
      <w:pPr>
        <w:spacing w:after="160" w:line="278" w:lineRule="auto"/>
        <w:rPr>
          <w:rFonts w:ascii="Aptos" w:hAnsi="Aptos"/>
        </w:rPr>
      </w:pPr>
    </w:p>
    <w:p w14:paraId="4F49ADCA" w14:textId="77777777" w:rsidR="00623AF8" w:rsidRPr="001B4DFD" w:rsidRDefault="00623AF8" w:rsidP="00623AF8">
      <w:pPr>
        <w:spacing w:after="160" w:line="278" w:lineRule="auto"/>
        <w:rPr>
          <w:rFonts w:ascii="Aptos" w:hAnsi="Aptos"/>
        </w:rPr>
      </w:pPr>
    </w:p>
    <w:p w14:paraId="589CF4D9" w14:textId="77777777" w:rsidR="00623AF8" w:rsidRPr="001B4DFD" w:rsidRDefault="00623AF8" w:rsidP="00623AF8">
      <w:pPr>
        <w:spacing w:after="160" w:line="278" w:lineRule="auto"/>
        <w:rPr>
          <w:rFonts w:ascii="Aptos" w:hAnsi="Aptos"/>
        </w:rPr>
      </w:pPr>
    </w:p>
    <w:p w14:paraId="186A1A34" w14:textId="77777777" w:rsidR="00623AF8" w:rsidRPr="001B4DFD" w:rsidRDefault="00623AF8" w:rsidP="00623AF8">
      <w:pPr>
        <w:spacing w:after="160" w:line="278" w:lineRule="auto"/>
        <w:rPr>
          <w:rFonts w:ascii="Aptos" w:hAnsi="Aptos"/>
        </w:rPr>
      </w:pPr>
    </w:p>
    <w:p w14:paraId="397BE98C" w14:textId="77777777" w:rsidR="00623AF8" w:rsidRPr="001B4DFD" w:rsidRDefault="00623AF8" w:rsidP="00623AF8">
      <w:pPr>
        <w:spacing w:after="160" w:line="278" w:lineRule="auto"/>
        <w:rPr>
          <w:rFonts w:ascii="Aptos" w:hAnsi="Aptos"/>
        </w:rPr>
      </w:pPr>
    </w:p>
    <w:p w14:paraId="22BBDAFD" w14:textId="77777777" w:rsidR="00623AF8" w:rsidRPr="001B4DFD" w:rsidRDefault="00623AF8" w:rsidP="00623AF8">
      <w:pPr>
        <w:spacing w:after="160" w:line="278" w:lineRule="auto"/>
        <w:rPr>
          <w:rFonts w:ascii="Aptos" w:hAnsi="Aptos"/>
        </w:rPr>
      </w:pPr>
    </w:p>
    <w:p w14:paraId="1BCCCEF0" w14:textId="77777777" w:rsidR="00623AF8" w:rsidRDefault="00623AF8" w:rsidP="00623AF8">
      <w:pPr>
        <w:spacing w:after="120"/>
        <w:jc w:val="both"/>
        <w:outlineLvl w:val="0"/>
        <w:rPr>
          <w:rFonts w:ascii="Aptos" w:eastAsiaTheme="majorEastAsia" w:hAnsi="Aptos" w:cstheme="majorBidi"/>
          <w:b/>
          <w:color w:val="E4342D"/>
          <w:szCs w:val="32"/>
        </w:rPr>
      </w:pPr>
      <w:bookmarkStart w:id="361" w:name="_Toc164948272"/>
      <w:bookmarkStart w:id="362" w:name="_Toc167726989"/>
    </w:p>
    <w:p w14:paraId="1B2B9B6A" w14:textId="77777777" w:rsidR="00623AF8" w:rsidRDefault="00623AF8" w:rsidP="00623AF8">
      <w:pPr>
        <w:spacing w:after="120"/>
        <w:jc w:val="both"/>
        <w:outlineLvl w:val="0"/>
        <w:rPr>
          <w:rFonts w:ascii="Aptos" w:eastAsiaTheme="majorEastAsia" w:hAnsi="Aptos" w:cstheme="majorBidi"/>
          <w:b/>
          <w:color w:val="E4342D"/>
          <w:szCs w:val="32"/>
        </w:rPr>
      </w:pPr>
    </w:p>
    <w:p w14:paraId="72F5FD42" w14:textId="77777777" w:rsidR="00623AF8" w:rsidRDefault="00623AF8" w:rsidP="00623AF8">
      <w:pPr>
        <w:spacing w:after="120"/>
        <w:jc w:val="both"/>
        <w:outlineLvl w:val="0"/>
        <w:rPr>
          <w:rFonts w:ascii="Aptos" w:eastAsiaTheme="majorEastAsia" w:hAnsi="Aptos" w:cstheme="majorBidi"/>
          <w:b/>
          <w:color w:val="E4342D"/>
          <w:szCs w:val="32"/>
        </w:rPr>
      </w:pPr>
      <w:bookmarkStart w:id="363" w:name="_Toc170983773"/>
      <w:r w:rsidRPr="001B4DFD">
        <w:rPr>
          <w:rFonts w:ascii="Aptos" w:eastAsiaTheme="majorEastAsia" w:hAnsi="Aptos" w:cstheme="majorBidi"/>
          <w:b/>
          <w:color w:val="E4342D"/>
          <w:szCs w:val="32"/>
        </w:rPr>
        <w:t>Planbarkeit von EU-Förderprogrammen</w:t>
      </w:r>
      <w:bookmarkEnd w:id="361"/>
      <w:bookmarkEnd w:id="362"/>
      <w:bookmarkEnd w:id="363"/>
    </w:p>
    <w:p w14:paraId="616E63CC" w14:textId="77777777" w:rsidR="00BA190B" w:rsidRPr="001B4DFD" w:rsidRDefault="00BA190B" w:rsidP="00623AF8">
      <w:pPr>
        <w:spacing w:after="120"/>
        <w:jc w:val="both"/>
        <w:outlineLvl w:val="0"/>
        <w:rPr>
          <w:rFonts w:ascii="Aptos" w:eastAsiaTheme="majorEastAsia" w:hAnsi="Aptos" w:cstheme="majorBidi"/>
          <w:b/>
          <w:color w:val="E4342D"/>
          <w:szCs w:val="32"/>
        </w:rPr>
      </w:pPr>
    </w:p>
    <w:tbl>
      <w:tblPr>
        <w:tblStyle w:val="Tabellenraster"/>
        <w:tblW w:w="0" w:type="auto"/>
        <w:tblLook w:val="04A0" w:firstRow="1" w:lastRow="0" w:firstColumn="1" w:lastColumn="0" w:noHBand="0" w:noVBand="1"/>
      </w:tblPr>
      <w:tblGrid>
        <w:gridCol w:w="9060"/>
      </w:tblGrid>
      <w:tr w:rsidR="00623AF8" w:rsidRPr="001B4DFD" w14:paraId="78156774" w14:textId="77777777" w:rsidTr="00875DD0">
        <w:tc>
          <w:tcPr>
            <w:tcW w:w="9060" w:type="dxa"/>
            <w:shd w:val="clear" w:color="auto" w:fill="D9D9D9" w:themeFill="background1" w:themeFillShade="D9"/>
          </w:tcPr>
          <w:p w14:paraId="6201BF51" w14:textId="77777777" w:rsidR="00623AF8" w:rsidRPr="001B4DFD" w:rsidRDefault="00623AF8" w:rsidP="00875DD0">
            <w:pPr>
              <w:rPr>
                <w:rFonts w:ascii="Aptos" w:hAnsi="Aptos"/>
                <w:b/>
                <w:iCs/>
              </w:rPr>
            </w:pPr>
            <w:r w:rsidRPr="001B4DFD">
              <w:rPr>
                <w:rFonts w:ascii="Aptos" w:hAnsi="Aptos"/>
                <w:b/>
                <w:iCs/>
              </w:rPr>
              <w:t>Frage</w:t>
            </w:r>
          </w:p>
        </w:tc>
      </w:tr>
      <w:tr w:rsidR="00623AF8" w:rsidRPr="001B4DFD" w14:paraId="67D30BEA" w14:textId="77777777" w:rsidTr="00875DD0">
        <w:tc>
          <w:tcPr>
            <w:tcW w:w="9060" w:type="dxa"/>
          </w:tcPr>
          <w:p w14:paraId="682ED5F5" w14:textId="77777777" w:rsidR="00623AF8" w:rsidRPr="001B4DFD" w:rsidRDefault="00623AF8" w:rsidP="00875DD0">
            <w:pPr>
              <w:jc w:val="both"/>
              <w:rPr>
                <w:rFonts w:ascii="Aptos" w:hAnsi="Aptos"/>
                <w:kern w:val="2"/>
                <w:sz w:val="22"/>
                <w:szCs w:val="22"/>
                <w:lang w:val="de-DE"/>
                <w14:ligatures w14:val="standardContextual"/>
              </w:rPr>
            </w:pPr>
            <w:r w:rsidRPr="001B4DFD">
              <w:rPr>
                <w:rFonts w:ascii="Aptos" w:hAnsi="Aptos"/>
                <w:kern w:val="2"/>
                <w:sz w:val="22"/>
                <w:szCs w:val="22"/>
                <w:lang w:val="de-DE"/>
                <w14:ligatures w14:val="standardContextual"/>
              </w:rPr>
              <w:t xml:space="preserve">Die aktuellen Krisen und der Klimawandel stellen die Europäische Union, ihre Mitgliedstaaten, aber auch die kommunale Ebene vor große wirtschaftspolitische Herausforderungen. Die Covid-19-Krise legt Investitionslücken im Bereich der Daseinsvorsorge offen. Die russische Invasion in der Ukraine verstärkt auf dramatische Weise die Notwendigkeit, die Energiewende zu beschleunigen und die Abhängigkeit von (russischem) Gas und anderen fossilen Brennstoffen zu beenden. Lokale öffentliche Investitionen in eine widerstandsfähige Infrastruktur und die Unterstützung von Sanierungsmaßnahmen haben positive wirtschaftliche Auswirkungen, müssen aber planbar und nachhaltig sein. </w:t>
            </w:r>
            <w:r w:rsidRPr="001B4DFD">
              <w:rPr>
                <w:rFonts w:ascii="Aptos" w:hAnsi="Aptos"/>
                <w:b/>
                <w:bCs/>
                <w:kern w:val="2"/>
                <w:sz w:val="22"/>
                <w:szCs w:val="22"/>
                <w:lang w:val="de-DE"/>
                <w14:ligatures w14:val="standardContextual"/>
              </w:rPr>
              <w:t>Wie kann sichergestellt werden, dass es ausreichend EU-Programme für Projekte gibt, die auch für die begünstigten Antragsteller planbar und nachhaltig sind?</w:t>
            </w:r>
          </w:p>
        </w:tc>
      </w:tr>
      <w:tr w:rsidR="00623AF8" w:rsidRPr="001B4DFD" w14:paraId="26E0D96C" w14:textId="77777777" w:rsidTr="00875DD0">
        <w:tc>
          <w:tcPr>
            <w:tcW w:w="9060" w:type="dxa"/>
            <w:shd w:val="clear" w:color="auto" w:fill="D9D9D9" w:themeFill="background1" w:themeFillShade="D9"/>
          </w:tcPr>
          <w:p w14:paraId="267D1023" w14:textId="77777777" w:rsidR="00623AF8" w:rsidRPr="001B4DFD" w:rsidRDefault="00623AF8" w:rsidP="00875DD0">
            <w:pPr>
              <w:rPr>
                <w:rFonts w:ascii="Aptos" w:hAnsi="Aptos"/>
                <w:b/>
                <w:bCs/>
              </w:rPr>
            </w:pPr>
            <w:r w:rsidRPr="001B4DFD">
              <w:rPr>
                <w:rFonts w:ascii="Aptos" w:hAnsi="Aptos"/>
                <w:b/>
                <w:bCs/>
              </w:rPr>
              <w:t>Nachfrage</w:t>
            </w:r>
          </w:p>
        </w:tc>
      </w:tr>
      <w:tr w:rsidR="00623AF8" w:rsidRPr="001B4DFD" w14:paraId="09136D6B" w14:textId="77777777" w:rsidTr="00875DD0">
        <w:tc>
          <w:tcPr>
            <w:tcW w:w="9060" w:type="dxa"/>
          </w:tcPr>
          <w:p w14:paraId="1B01BB62" w14:textId="77777777" w:rsidR="00623AF8" w:rsidRPr="001B4DFD" w:rsidRDefault="00623AF8" w:rsidP="00F63BE8">
            <w:pPr>
              <w:numPr>
                <w:ilvl w:val="0"/>
                <w:numId w:val="19"/>
              </w:numPr>
              <w:spacing w:before="120" w:after="120"/>
              <w:contextualSpacing/>
              <w:jc w:val="both"/>
              <w:rPr>
                <w:rFonts w:ascii="Aptos" w:hAnsi="Aptos"/>
                <w:sz w:val="22"/>
                <w:szCs w:val="22"/>
                <w:lang w:val="de-DE"/>
              </w:rPr>
            </w:pPr>
            <w:r w:rsidRPr="001B4DFD">
              <w:rPr>
                <w:rFonts w:ascii="Aptos" w:hAnsi="Aptos"/>
                <w:sz w:val="22"/>
                <w:szCs w:val="22"/>
                <w:lang w:val="de-DE"/>
              </w:rPr>
              <w:t>Sind weitere Optimierungen der EU-Förderprogramme geplant?</w:t>
            </w:r>
          </w:p>
          <w:p w14:paraId="2C7E6C74" w14:textId="77777777" w:rsidR="00623AF8" w:rsidRPr="001B4DFD" w:rsidRDefault="00623AF8" w:rsidP="00F63BE8">
            <w:pPr>
              <w:numPr>
                <w:ilvl w:val="0"/>
                <w:numId w:val="19"/>
              </w:numPr>
              <w:spacing w:before="120" w:after="120"/>
              <w:contextualSpacing/>
              <w:jc w:val="both"/>
              <w:rPr>
                <w:rFonts w:ascii="Aptos" w:hAnsi="Aptos"/>
                <w:bCs/>
                <w:sz w:val="22"/>
                <w:szCs w:val="22"/>
                <w:lang w:val="de-DE"/>
              </w:rPr>
            </w:pPr>
            <w:r w:rsidRPr="001B4DFD">
              <w:rPr>
                <w:rFonts w:ascii="Aptos" w:hAnsi="Aptos"/>
                <w:sz w:val="22"/>
                <w:szCs w:val="22"/>
                <w:lang w:val="de-DE"/>
              </w:rPr>
              <w:t>Welche Bedeutung hat der Faktor Planbarkeit in der EU-Förderlandschaft für weitere Optimierungen?</w:t>
            </w:r>
          </w:p>
        </w:tc>
      </w:tr>
    </w:tbl>
    <w:p w14:paraId="49595C17" w14:textId="77777777" w:rsidR="00623AF8" w:rsidRPr="001B4DFD" w:rsidRDefault="00623AF8" w:rsidP="00623AF8">
      <w:pPr>
        <w:rPr>
          <w:rFonts w:ascii="Aptos" w:hAnsi="Aptos"/>
        </w:rPr>
      </w:pPr>
    </w:p>
    <w:tbl>
      <w:tblPr>
        <w:tblStyle w:val="TableNormal2"/>
        <w:tblW w:w="0" w:type="auto"/>
        <w:tblLayout w:type="fixed"/>
        <w:tblLook w:val="01E0" w:firstRow="1" w:lastRow="1" w:firstColumn="1" w:lastColumn="1" w:noHBand="0" w:noVBand="0"/>
      </w:tblPr>
      <w:tblGrid>
        <w:gridCol w:w="9066"/>
      </w:tblGrid>
      <w:tr w:rsidR="00623AF8" w:rsidRPr="001B4DFD" w14:paraId="10237EEA" w14:textId="77777777" w:rsidTr="00875DD0">
        <w:trPr>
          <w:trHeight w:val="277"/>
        </w:trPr>
        <w:tc>
          <w:tcPr>
            <w:tcW w:w="9066" w:type="dxa"/>
            <w:shd w:val="clear" w:color="auto" w:fill="D9D9D9"/>
          </w:tcPr>
          <w:p w14:paraId="042EBD5E"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3CC8A097" w14:textId="77777777" w:rsidR="00623AF8" w:rsidRPr="001B4DFD" w:rsidRDefault="00623AF8" w:rsidP="00623AF8">
      <w:pPr>
        <w:jc w:val="both"/>
        <w:rPr>
          <w:rFonts w:ascii="Aptos" w:hAnsi="Aptos"/>
          <w:sz w:val="22"/>
          <w:szCs w:val="22"/>
        </w:rPr>
      </w:pPr>
      <w:r w:rsidRPr="001B4DFD">
        <w:rPr>
          <w:rFonts w:ascii="Aptos" w:hAnsi="Aptos"/>
          <w:sz w:val="22"/>
          <w:szCs w:val="22"/>
        </w:rPr>
        <w:t>Die Europäische Union (EU) hat sich verpflichtet, die Treibhausgasemissionen zu reduzieren und die Auswirkungen des Klimawandels abzumildern. Das europäische Klimagesetz gilt als eine der Kerninitiativen zur Umsetzung des europäischen Grünen Deals, in dem ehrgeizige Ziele für 2030 u.a. zur Reduktion von Treibhausgasemissionen, zur Einführung von Technologien für erneuerbare Energien und zur Energieeffizienz festgelegt wurden. Zahlreiche Regelungen zielen darauf ab, die EU bis 2050 klimaneutral zu machen. Um dieses Ziel zu erreichen, bedarf es erheblicher Anstrengungen, u. a. in Form regulatorischer und öffentlicher Unterstützung, um Innovationen zu fördern und die Markteinführung kohlenstofffreier und kohlenstoffarmer Alternativen zu beschleunigen. Für eine wirksame und sozialverträgliche Umsetzung der Ziele der Union ist jedoch Planung erforderlich. Insbesondere die Akteure der öffentlichen Daseinsvorsorge müssen aufgrund ihrer zentralen Stellung für die Gesellschaft und innerhalb des Binnenmarktes bei der sozial-ökologischen Transformation unterstützt werden. Durch eine strukturierte und planbare Förderung von Projekten, die für eine klimaneutrale Union von der öffentlichen Hand umgesetzt werden sollen, bedarf es einer starken Einbindung der Stakeholder:innen und langfristiger Ausschreibungsmechanismen, damit alle Regionen innerhalb des europäischen Binnenmarktes davon profitieren.</w:t>
      </w:r>
    </w:p>
    <w:p w14:paraId="77C58291" w14:textId="77777777" w:rsidR="00623AF8" w:rsidRPr="001B4DFD" w:rsidRDefault="00623AF8" w:rsidP="00623AF8">
      <w:pPr>
        <w:rPr>
          <w:rFonts w:ascii="Aptos" w:hAnsi="Aptos"/>
        </w:rPr>
      </w:pPr>
    </w:p>
    <w:p w14:paraId="6F2ED9FA" w14:textId="77777777" w:rsidR="00623AF8" w:rsidRPr="001B4DFD" w:rsidRDefault="00623AF8" w:rsidP="00623AF8">
      <w:pPr>
        <w:rPr>
          <w:rFonts w:ascii="Aptos" w:hAnsi="Aptos"/>
        </w:rPr>
        <w:sectPr w:rsidR="00623AF8" w:rsidRPr="001B4DFD" w:rsidSect="00D80BC9">
          <w:headerReference w:type="even" r:id="rId70"/>
          <w:headerReference w:type="default" r:id="rId71"/>
          <w:footerReference w:type="even" r:id="rId72"/>
          <w:headerReference w:type="first" r:id="rId73"/>
          <w:footerReference w:type="first" r:id="rId74"/>
          <w:pgSz w:w="11906" w:h="16838"/>
          <w:pgMar w:top="1418" w:right="1418" w:bottom="1134" w:left="1418" w:header="709" w:footer="510" w:gutter="0"/>
          <w:cols w:space="708"/>
          <w:docGrid w:linePitch="360"/>
        </w:sectPr>
      </w:pPr>
    </w:p>
    <w:p w14:paraId="736D3BD6" w14:textId="77777777" w:rsidR="00623AF8" w:rsidRPr="001B4DFD" w:rsidRDefault="00623AF8" w:rsidP="00623AF8">
      <w:pPr>
        <w:spacing w:after="160" w:line="278" w:lineRule="auto"/>
        <w:rPr>
          <w:rFonts w:ascii="Aptos" w:hAnsi="Aptos"/>
        </w:rPr>
      </w:pPr>
    </w:p>
    <w:p w14:paraId="409D6FDC" w14:textId="77777777" w:rsidR="00623AF8" w:rsidRPr="001B4DFD" w:rsidRDefault="00623AF8" w:rsidP="00623AF8">
      <w:pPr>
        <w:spacing w:after="160" w:line="278" w:lineRule="auto"/>
        <w:rPr>
          <w:rFonts w:ascii="Aptos" w:hAnsi="Aptos"/>
        </w:rPr>
      </w:pPr>
    </w:p>
    <w:p w14:paraId="72D93325" w14:textId="77777777" w:rsidR="00623AF8" w:rsidRDefault="00623AF8" w:rsidP="00623AF8">
      <w:pPr>
        <w:spacing w:after="120"/>
        <w:jc w:val="both"/>
        <w:outlineLvl w:val="0"/>
        <w:rPr>
          <w:rFonts w:ascii="Aptos" w:eastAsiaTheme="majorEastAsia" w:hAnsi="Aptos" w:cstheme="majorBidi"/>
          <w:b/>
          <w:color w:val="E4342D"/>
          <w:szCs w:val="32"/>
        </w:rPr>
      </w:pPr>
      <w:bookmarkStart w:id="364" w:name="_Toc164948273"/>
      <w:bookmarkStart w:id="365" w:name="_Toc167726990"/>
      <w:bookmarkStart w:id="366" w:name="_Toc170983774"/>
      <w:r w:rsidRPr="001B4DFD">
        <w:rPr>
          <w:rFonts w:ascii="Aptos" w:eastAsiaTheme="majorEastAsia" w:hAnsi="Aptos" w:cstheme="majorBidi"/>
          <w:b/>
          <w:color w:val="E4342D"/>
          <w:szCs w:val="32"/>
        </w:rPr>
        <w:t>Urban Nodes – Mobilitätsförderung</w:t>
      </w:r>
      <w:bookmarkEnd w:id="364"/>
      <w:bookmarkEnd w:id="365"/>
      <w:bookmarkEnd w:id="366"/>
    </w:p>
    <w:p w14:paraId="497BE05A" w14:textId="77777777" w:rsidR="00BA190B" w:rsidRPr="001B4DFD" w:rsidRDefault="00BA190B" w:rsidP="00623AF8">
      <w:pPr>
        <w:spacing w:after="120"/>
        <w:jc w:val="both"/>
        <w:outlineLvl w:val="0"/>
        <w:rPr>
          <w:rFonts w:ascii="Aptos" w:eastAsiaTheme="majorEastAsia" w:hAnsi="Aptos" w:cstheme="majorBidi"/>
          <w:b/>
          <w:color w:val="E4342D"/>
          <w:szCs w:val="32"/>
        </w:rPr>
      </w:pPr>
    </w:p>
    <w:tbl>
      <w:tblPr>
        <w:tblStyle w:val="Tabellenraster"/>
        <w:tblW w:w="0" w:type="auto"/>
        <w:tblLook w:val="04A0" w:firstRow="1" w:lastRow="0" w:firstColumn="1" w:lastColumn="0" w:noHBand="0" w:noVBand="1"/>
      </w:tblPr>
      <w:tblGrid>
        <w:gridCol w:w="9060"/>
      </w:tblGrid>
      <w:tr w:rsidR="00623AF8" w:rsidRPr="001B4DFD" w14:paraId="43C2CC23" w14:textId="77777777" w:rsidTr="00875DD0">
        <w:tc>
          <w:tcPr>
            <w:tcW w:w="9060" w:type="dxa"/>
            <w:shd w:val="clear" w:color="auto" w:fill="D9D9D9" w:themeFill="background1" w:themeFillShade="D9"/>
          </w:tcPr>
          <w:p w14:paraId="118C05AF" w14:textId="77777777" w:rsidR="00623AF8" w:rsidRPr="001B4DFD" w:rsidRDefault="00623AF8" w:rsidP="00875DD0">
            <w:pPr>
              <w:rPr>
                <w:rFonts w:ascii="Aptos" w:hAnsi="Aptos"/>
                <w:b/>
                <w:iCs/>
              </w:rPr>
            </w:pPr>
            <w:r w:rsidRPr="001B4DFD">
              <w:rPr>
                <w:rFonts w:ascii="Aptos" w:hAnsi="Aptos"/>
                <w:b/>
                <w:iCs/>
              </w:rPr>
              <w:t>Frage</w:t>
            </w:r>
          </w:p>
        </w:tc>
      </w:tr>
      <w:tr w:rsidR="00623AF8" w:rsidRPr="001B4DFD" w14:paraId="58742186" w14:textId="77777777" w:rsidTr="00875DD0">
        <w:tc>
          <w:tcPr>
            <w:tcW w:w="9060" w:type="dxa"/>
          </w:tcPr>
          <w:p w14:paraId="231E3215" w14:textId="77777777" w:rsidR="00623AF8" w:rsidRPr="001B4DFD" w:rsidRDefault="00623AF8" w:rsidP="00875DD0">
            <w:pPr>
              <w:jc w:val="both"/>
              <w:rPr>
                <w:rFonts w:ascii="Aptos" w:hAnsi="Aptos"/>
                <w:kern w:val="2"/>
                <w:sz w:val="22"/>
                <w:szCs w:val="22"/>
                <w:lang w:val="de-DE"/>
                <w14:ligatures w14:val="standardContextual"/>
              </w:rPr>
            </w:pPr>
            <w:r w:rsidRPr="001B4DFD">
              <w:rPr>
                <w:rFonts w:ascii="Aptos" w:hAnsi="Aptos"/>
                <w:kern w:val="2"/>
                <w:sz w:val="22"/>
                <w:szCs w:val="22"/>
                <w:lang w:val="de-DE"/>
                <w14:ligatures w14:val="standardContextual"/>
              </w:rPr>
              <w:t xml:space="preserve">Die aktuellen Krisen und der Klimawandel stellen die Europäische Union, ihre Mitgliedstaaten, aber auch die kommunale Ebene vor große wirtschaftspolitische Herausforderungen. Die Covid-19-Krise legt Investitionslücken im Bereich der Daseinsvorsorge offen. Die russische Invasion in der Ukraine verstärkt dramatisch die Notwendigkeit, die Energiewende zu beschleunigen und die Abhängigkeit von (russischem) Gas und anderen fossilen Brennstoffen zu beenden. Mobilität ist dabei eine unverzichtbare Grundlage unserer wirtschaftlichen, sozialen und kulturellen Aktivitäten. </w:t>
            </w:r>
            <w:r w:rsidRPr="001B4DFD">
              <w:rPr>
                <w:rFonts w:ascii="Aptos" w:hAnsi="Aptos"/>
                <w:b/>
                <w:bCs/>
                <w:kern w:val="2"/>
                <w:sz w:val="22"/>
                <w:szCs w:val="22"/>
                <w:lang w:val="de-DE"/>
                <w14:ligatures w14:val="standardContextual"/>
              </w:rPr>
              <w:t>Welche Rolle spielt die urbane Mobilität in Ihren Überlegungen für die sozial-ökologische Transformation und wie wollen Sie sicherstellen, dass dafür ausreichend EU-Mittel zur Verfügung stehen?</w:t>
            </w:r>
          </w:p>
        </w:tc>
      </w:tr>
      <w:tr w:rsidR="00623AF8" w:rsidRPr="001B4DFD" w14:paraId="2B06DBAF" w14:textId="77777777" w:rsidTr="00875DD0">
        <w:tc>
          <w:tcPr>
            <w:tcW w:w="9060" w:type="dxa"/>
            <w:shd w:val="clear" w:color="auto" w:fill="D9D9D9" w:themeFill="background1" w:themeFillShade="D9"/>
          </w:tcPr>
          <w:p w14:paraId="7A36FFF9" w14:textId="77777777" w:rsidR="00623AF8" w:rsidRPr="001B4DFD" w:rsidRDefault="00623AF8" w:rsidP="00875DD0">
            <w:pPr>
              <w:rPr>
                <w:rFonts w:ascii="Aptos" w:hAnsi="Aptos"/>
                <w:b/>
                <w:bCs/>
              </w:rPr>
            </w:pPr>
            <w:r w:rsidRPr="001B4DFD">
              <w:rPr>
                <w:rFonts w:ascii="Aptos" w:hAnsi="Aptos"/>
                <w:b/>
                <w:bCs/>
              </w:rPr>
              <w:t>Nachfrage</w:t>
            </w:r>
          </w:p>
        </w:tc>
      </w:tr>
      <w:tr w:rsidR="00623AF8" w:rsidRPr="001B4DFD" w14:paraId="2AD92EE8" w14:textId="77777777" w:rsidTr="00875DD0">
        <w:tc>
          <w:tcPr>
            <w:tcW w:w="9060" w:type="dxa"/>
          </w:tcPr>
          <w:p w14:paraId="41269587" w14:textId="77777777" w:rsidR="00623AF8" w:rsidRPr="001B4DFD" w:rsidRDefault="00623AF8" w:rsidP="00F63BE8">
            <w:pPr>
              <w:numPr>
                <w:ilvl w:val="0"/>
                <w:numId w:val="44"/>
              </w:numPr>
              <w:ind w:left="714" w:hanging="357"/>
              <w:rPr>
                <w:rFonts w:ascii="Aptos" w:hAnsi="Aptos"/>
                <w:bCs/>
                <w:kern w:val="2"/>
                <w:sz w:val="22"/>
                <w:szCs w:val="22"/>
                <w:lang w:val="de-DE"/>
                <w14:ligatures w14:val="standardContextual"/>
              </w:rPr>
            </w:pPr>
            <w:r w:rsidRPr="001B4DFD">
              <w:rPr>
                <w:rFonts w:ascii="Aptos" w:hAnsi="Aptos"/>
                <w:bCs/>
                <w:kern w:val="2"/>
                <w:sz w:val="22"/>
                <w:szCs w:val="22"/>
                <w:lang w:val="de-DE"/>
                <w14:ligatures w14:val="standardContextual"/>
              </w:rPr>
              <w:t>Welche Bedeutung haben für Sie in diesem Zusammenhang Urban Nodes?</w:t>
            </w:r>
          </w:p>
          <w:p w14:paraId="0043246E" w14:textId="77777777" w:rsidR="00623AF8" w:rsidRPr="001B4DFD" w:rsidRDefault="00623AF8" w:rsidP="00F63BE8">
            <w:pPr>
              <w:numPr>
                <w:ilvl w:val="0"/>
                <w:numId w:val="44"/>
              </w:numPr>
              <w:ind w:left="714" w:hanging="357"/>
              <w:rPr>
                <w:rFonts w:ascii="Aptos" w:hAnsi="Aptos"/>
                <w:bCs/>
                <w:kern w:val="2"/>
                <w:sz w:val="22"/>
                <w:szCs w:val="22"/>
                <w:lang w:val="de-DE"/>
                <w14:ligatures w14:val="standardContextual"/>
              </w:rPr>
            </w:pPr>
            <w:r w:rsidRPr="001B4DFD">
              <w:rPr>
                <w:rFonts w:ascii="Aptos" w:hAnsi="Aptos"/>
                <w:bCs/>
                <w:kern w:val="2"/>
                <w:sz w:val="22"/>
                <w:szCs w:val="22"/>
                <w:lang w:val="de-DE"/>
                <w14:ligatures w14:val="standardContextual"/>
              </w:rPr>
              <w:t xml:space="preserve">Mit Blick auf relevante Allianzen für die Umsetzung von Urban Nodes, können Sie sich vorstellen das Positionspapier des </w:t>
            </w:r>
            <w:r w:rsidRPr="001B4DFD">
              <w:rPr>
                <w:rFonts w:ascii="Aptos" w:hAnsi="Aptos"/>
                <w:b/>
                <w:bCs/>
                <w:kern w:val="2"/>
                <w:sz w:val="22"/>
                <w:szCs w:val="22"/>
                <w14:ligatures w14:val="standardContextual"/>
              </w:rPr>
              <w:t>POLIS-Network</w:t>
            </w:r>
            <w:r w:rsidRPr="001B4DFD">
              <w:rPr>
                <w:rFonts w:ascii="Aptos" w:hAnsi="Aptos"/>
                <w:b/>
                <w:bCs/>
                <w:kern w:val="2"/>
                <w:sz w:val="22"/>
                <w:szCs w:val="22"/>
                <w:lang w:val="de-DE"/>
                <w14:ligatures w14:val="standardContextual"/>
              </w:rPr>
              <w:t>s</w:t>
            </w:r>
            <w:r w:rsidRPr="001B4DFD">
              <w:rPr>
                <w:rFonts w:ascii="Aptos" w:hAnsi="Aptos"/>
                <w:bCs/>
                <w:kern w:val="2"/>
                <w:sz w:val="22"/>
                <w:szCs w:val="22"/>
                <w:lang w:val="de-DE"/>
                <w14:ligatures w14:val="standardContextual"/>
              </w:rPr>
              <w:t xml:space="preserve"> (1) zu unterstützen?</w:t>
            </w:r>
          </w:p>
        </w:tc>
      </w:tr>
    </w:tbl>
    <w:p w14:paraId="68E954CB" w14:textId="77777777" w:rsidR="00623AF8" w:rsidRPr="001B4DFD"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1B4DFD" w14:paraId="38E51C66" w14:textId="77777777" w:rsidTr="00875DD0">
        <w:trPr>
          <w:trHeight w:val="277"/>
        </w:trPr>
        <w:tc>
          <w:tcPr>
            <w:tcW w:w="9066" w:type="dxa"/>
            <w:shd w:val="clear" w:color="auto" w:fill="D9D9D9"/>
          </w:tcPr>
          <w:p w14:paraId="5A66E828"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487F550A" w14:textId="77777777" w:rsidR="00623AF8" w:rsidRPr="001B4DFD" w:rsidRDefault="00623AF8" w:rsidP="00623AF8">
      <w:pPr>
        <w:jc w:val="both"/>
        <w:rPr>
          <w:rFonts w:ascii="Aptos" w:hAnsi="Aptos"/>
          <w:sz w:val="22"/>
          <w:szCs w:val="22"/>
        </w:rPr>
      </w:pPr>
      <w:r w:rsidRPr="001B4DFD">
        <w:rPr>
          <w:rFonts w:ascii="Aptos" w:hAnsi="Aptos"/>
          <w:sz w:val="22"/>
          <w:szCs w:val="22"/>
        </w:rPr>
        <w:t>Die europäischen Bürger:innen haben das Recht auf einen barrierefreien, sicheren und nachhaltigen Personen- und Güterverkehr innerhalb der Union. Das Transeuropäische Verkehrsnetz (TEN-T ) ist ein wichtiger Motor für die Verbesserung der Mobilität von Personen und Gütern in Europa.  Mit der Einigung auf eine Überarbeitung der TEN-T-Verordnung im Jahr 2023 hat die Europäische Union eine umfassende Strategie zur Verbesserung der Mobilität und der Nachhaltigkeit der europäischen Verkehrsinfrastruktur entwickelt. Governance spielt eine zentrale Rolle bei der Erfüllung der neuen Anforderungen an urbane Knotenpunkte, einschließlich der Pläne für nachhaltige urbane Mobilität (SUMPs), multimodale Personenverkehrsknotenpunkte und multimodale Güterterminals. Die Governance-Strukturen auf der Ebene der städtischen Knotenpunkte müssen an die lokalen Gegebenheiten angepasst sein und Subsidiarität und demokratische Legitimität gewährleisten. Die Europäische Kommission und die Mitgliedstaaten müssen die Unterschiede zwischen den Mitgliedstaaten und zwischen den urbanen Knoten anerkennen und ausgleichen. Maßgeschneiderte Ansätze auf nationaler und lokaler Ebene können den unterschiedlichen Bedürfnissen und Gegebenheiten der 431 Knoten Rechnung tragen. Darüber hinaus sind angemessene Finanzmittel für die Erfüllung der in den TEN-T-Vorschriften festgelegten Anforderungen unerlässlich. Es muss anerkannt werden, dass die lokalen und regionalen Gebietskörperschaften nicht in der Lage sind, die gesamten Kosten der ökologischen Umstellung allein zu tragen. Die Beibehaltung eines soliden Finanzierungsrahmens ist unerlässlich, um eine ausreichende Finanzierung für TEN-T-bezogene Initiativen zu gewährleisten. Dazu gehören auch Projekte zur Verbesserung der städtischen Mobilität. Nicht nur Studien sollten finanziert werden, sondern auch die Umsetzung von Projekten.</w:t>
      </w:r>
    </w:p>
    <w:p w14:paraId="57EE2E42" w14:textId="77777777" w:rsidR="00623AF8" w:rsidRPr="001B4DFD" w:rsidRDefault="00623AF8" w:rsidP="00623AF8">
      <w:pPr>
        <w:ind w:left="360"/>
        <w:contextualSpacing/>
        <w:jc w:val="both"/>
        <w:rPr>
          <w:rFonts w:ascii="Aptos" w:hAnsi="Aptos"/>
          <w:sz w:val="18"/>
          <w:szCs w:val="18"/>
        </w:rPr>
      </w:pPr>
    </w:p>
    <w:p w14:paraId="67717AB5" w14:textId="77777777" w:rsidR="00623AF8" w:rsidRPr="001B4DFD" w:rsidRDefault="00623AF8" w:rsidP="00F63BE8">
      <w:pPr>
        <w:numPr>
          <w:ilvl w:val="0"/>
          <w:numId w:val="45"/>
        </w:numPr>
        <w:contextualSpacing/>
        <w:jc w:val="both"/>
        <w:rPr>
          <w:rFonts w:ascii="Aptos" w:hAnsi="Aptos"/>
          <w:sz w:val="18"/>
          <w:szCs w:val="18"/>
          <w:lang w:val="en-GB"/>
        </w:rPr>
      </w:pPr>
      <w:r w:rsidRPr="001B4DFD">
        <w:rPr>
          <w:rFonts w:ascii="Aptos" w:hAnsi="Aptos"/>
          <w:sz w:val="18"/>
          <w:szCs w:val="18"/>
          <w:lang w:val="en-GB"/>
        </w:rPr>
        <w:t xml:space="preserve">Polisnetwork – Urban Nodes: Empowering Cities and Regions to build the TEN-T, 03.06.2024 </w:t>
      </w:r>
    </w:p>
    <w:p w14:paraId="077D5EB4" w14:textId="77777777" w:rsidR="00623AF8" w:rsidRPr="001B4DFD" w:rsidRDefault="00AC460E" w:rsidP="00623AF8">
      <w:pPr>
        <w:ind w:left="360"/>
        <w:contextualSpacing/>
        <w:jc w:val="both"/>
        <w:rPr>
          <w:rFonts w:ascii="Aptos" w:hAnsi="Aptos"/>
          <w:sz w:val="18"/>
          <w:szCs w:val="18"/>
          <w:lang w:val="en-GB"/>
        </w:rPr>
      </w:pPr>
      <w:hyperlink r:id="rId75" w:history="1">
        <w:r w:rsidR="00623AF8" w:rsidRPr="001B4DFD">
          <w:rPr>
            <w:rFonts w:ascii="Aptos" w:hAnsi="Aptos"/>
            <w:color w:val="0000FF"/>
            <w:sz w:val="18"/>
            <w:szCs w:val="18"/>
            <w:u w:val="single"/>
            <w:lang w:val="en-GB"/>
          </w:rPr>
          <w:t>https://voewg.eu.junglemailpages.com/link/?c=1378884b-2b72-46af-b4c6-83920b966d0f&amp;j=020d5351-1e57-456f-b1a3-04694064f617&amp;l=fc938d08-f2fd-4d20-80ea-f71993bd54c0&amp;e=765ddf88-7513-4853-acc3-8e07fd58961c&amp;p=1</w:t>
        </w:r>
      </w:hyperlink>
      <w:r w:rsidR="00623AF8" w:rsidRPr="001B4DFD">
        <w:rPr>
          <w:rFonts w:ascii="Aptos" w:hAnsi="Aptos"/>
          <w:sz w:val="18"/>
          <w:szCs w:val="18"/>
          <w:lang w:val="en-GB"/>
        </w:rPr>
        <w:t xml:space="preserve"> </w:t>
      </w:r>
    </w:p>
    <w:p w14:paraId="6FA6D6E9" w14:textId="77777777" w:rsidR="00623AF8" w:rsidRPr="001B4DFD" w:rsidRDefault="00623AF8" w:rsidP="00623AF8">
      <w:pPr>
        <w:ind w:left="360"/>
        <w:contextualSpacing/>
        <w:jc w:val="both"/>
        <w:rPr>
          <w:rFonts w:ascii="Aptos" w:hAnsi="Aptos"/>
          <w:sz w:val="18"/>
          <w:szCs w:val="18"/>
          <w:lang w:val="en-GB"/>
        </w:rPr>
      </w:pPr>
      <w:r w:rsidRPr="001B4DFD">
        <w:rPr>
          <w:rFonts w:ascii="Aptos" w:hAnsi="Aptos"/>
          <w:sz w:val="18"/>
          <w:szCs w:val="18"/>
          <w:lang w:val="en-GB"/>
        </w:rPr>
        <w:t xml:space="preserve"> </w:t>
      </w:r>
    </w:p>
    <w:p w14:paraId="6E8F9956" w14:textId="77777777" w:rsidR="00623AF8" w:rsidRPr="001B4DFD" w:rsidRDefault="00623AF8" w:rsidP="00623AF8">
      <w:pPr>
        <w:rPr>
          <w:rFonts w:ascii="Aptos" w:hAnsi="Aptos"/>
          <w:lang w:val="en-GB"/>
        </w:rPr>
        <w:sectPr w:rsidR="00623AF8" w:rsidRPr="001B4DFD" w:rsidSect="00153511">
          <w:headerReference w:type="even" r:id="rId76"/>
          <w:headerReference w:type="default" r:id="rId77"/>
          <w:footerReference w:type="even" r:id="rId78"/>
          <w:headerReference w:type="first" r:id="rId79"/>
          <w:footerReference w:type="first" r:id="rId80"/>
          <w:pgSz w:w="11906" w:h="16838"/>
          <w:pgMar w:top="1418" w:right="1418" w:bottom="1134" w:left="1418" w:header="708" w:footer="510" w:gutter="0"/>
          <w:cols w:space="708"/>
          <w:docGrid w:linePitch="360"/>
        </w:sectPr>
      </w:pPr>
    </w:p>
    <w:p w14:paraId="15FA5947" w14:textId="77777777" w:rsidR="00623AF8" w:rsidRPr="001B4DFD" w:rsidRDefault="00623AF8" w:rsidP="00623AF8">
      <w:pPr>
        <w:spacing w:after="160" w:line="278" w:lineRule="auto"/>
        <w:rPr>
          <w:rFonts w:ascii="Aptos" w:hAnsi="Aptos"/>
          <w:lang w:val="en-GB"/>
        </w:rPr>
      </w:pPr>
      <w:bookmarkStart w:id="367" w:name="_Toc164948274"/>
    </w:p>
    <w:p w14:paraId="403FB4F6" w14:textId="77777777" w:rsidR="00623AF8" w:rsidRPr="001B4DFD" w:rsidRDefault="00623AF8" w:rsidP="00623AF8">
      <w:pPr>
        <w:rPr>
          <w:rFonts w:ascii="Aptos" w:hAnsi="Aptos"/>
          <w:lang w:val="en-GB"/>
        </w:rPr>
      </w:pPr>
    </w:p>
    <w:p w14:paraId="670E15BC" w14:textId="77777777" w:rsidR="00623AF8" w:rsidRDefault="00623AF8" w:rsidP="00623AF8">
      <w:pPr>
        <w:spacing w:after="120"/>
        <w:jc w:val="both"/>
        <w:outlineLvl w:val="0"/>
        <w:rPr>
          <w:rFonts w:ascii="Aptos" w:eastAsiaTheme="majorEastAsia" w:hAnsi="Aptos" w:cstheme="majorBidi"/>
          <w:b/>
          <w:color w:val="E4342D"/>
          <w:szCs w:val="32"/>
        </w:rPr>
      </w:pPr>
      <w:bookmarkStart w:id="368" w:name="_Toc167726991"/>
      <w:bookmarkStart w:id="369" w:name="_Toc170983775"/>
      <w:r w:rsidRPr="001B4DFD">
        <w:rPr>
          <w:rFonts w:ascii="Aptos" w:eastAsiaTheme="majorEastAsia" w:hAnsi="Aptos" w:cstheme="majorBidi"/>
          <w:b/>
          <w:color w:val="E4342D"/>
          <w:szCs w:val="32"/>
        </w:rPr>
        <w:t>De-Minimis-Beihilfen</w:t>
      </w:r>
      <w:bookmarkEnd w:id="367"/>
      <w:bookmarkEnd w:id="368"/>
      <w:bookmarkEnd w:id="369"/>
    </w:p>
    <w:p w14:paraId="23615436" w14:textId="77777777" w:rsidR="00BA190B" w:rsidRPr="001B4DFD" w:rsidRDefault="00BA190B" w:rsidP="00623AF8">
      <w:pPr>
        <w:spacing w:after="120"/>
        <w:jc w:val="both"/>
        <w:outlineLvl w:val="0"/>
        <w:rPr>
          <w:rFonts w:ascii="Aptos" w:eastAsiaTheme="majorEastAsia" w:hAnsi="Aptos" w:cstheme="majorBidi"/>
          <w:b/>
          <w:color w:val="E4342D"/>
          <w:szCs w:val="32"/>
        </w:rPr>
      </w:pPr>
    </w:p>
    <w:tbl>
      <w:tblPr>
        <w:tblStyle w:val="Tabellenraster"/>
        <w:tblW w:w="0" w:type="auto"/>
        <w:tblLook w:val="04A0" w:firstRow="1" w:lastRow="0" w:firstColumn="1" w:lastColumn="0" w:noHBand="0" w:noVBand="1"/>
      </w:tblPr>
      <w:tblGrid>
        <w:gridCol w:w="9060"/>
      </w:tblGrid>
      <w:tr w:rsidR="00623AF8" w:rsidRPr="001B4DFD" w14:paraId="0D74D879" w14:textId="77777777" w:rsidTr="00875DD0">
        <w:tc>
          <w:tcPr>
            <w:tcW w:w="9060" w:type="dxa"/>
            <w:shd w:val="clear" w:color="auto" w:fill="D9D9D9" w:themeFill="background1" w:themeFillShade="D9"/>
          </w:tcPr>
          <w:p w14:paraId="2264BB5E" w14:textId="77777777" w:rsidR="00623AF8" w:rsidRPr="001B4DFD" w:rsidRDefault="00623AF8" w:rsidP="00875DD0">
            <w:pPr>
              <w:rPr>
                <w:rFonts w:ascii="Aptos" w:hAnsi="Aptos"/>
                <w:b/>
                <w:iCs/>
              </w:rPr>
            </w:pPr>
            <w:r w:rsidRPr="001B4DFD">
              <w:rPr>
                <w:rFonts w:ascii="Aptos" w:hAnsi="Aptos"/>
                <w:b/>
                <w:iCs/>
              </w:rPr>
              <w:t>Frage</w:t>
            </w:r>
          </w:p>
        </w:tc>
      </w:tr>
      <w:tr w:rsidR="00623AF8" w:rsidRPr="001B4DFD" w14:paraId="050D6E09" w14:textId="77777777" w:rsidTr="00875DD0">
        <w:tc>
          <w:tcPr>
            <w:tcW w:w="9060" w:type="dxa"/>
          </w:tcPr>
          <w:p w14:paraId="56A14CD5" w14:textId="77777777" w:rsidR="00623AF8" w:rsidRPr="001B4DFD" w:rsidRDefault="00623AF8" w:rsidP="00875DD0">
            <w:pPr>
              <w:jc w:val="both"/>
              <w:rPr>
                <w:rFonts w:ascii="Aptos" w:hAnsi="Aptos"/>
                <w:kern w:val="2"/>
                <w:sz w:val="22"/>
                <w:szCs w:val="22"/>
                <w14:ligatures w14:val="standardContextual"/>
              </w:rPr>
            </w:pPr>
            <w:r w:rsidRPr="001B4DFD">
              <w:rPr>
                <w:rFonts w:ascii="Aptos" w:hAnsi="Aptos"/>
                <w:kern w:val="2"/>
                <w:sz w:val="22"/>
                <w:szCs w:val="22"/>
                <w:lang w:val="de-DE"/>
                <w14:ligatures w14:val="standardContextual"/>
              </w:rPr>
              <w:t xml:space="preserve">Öffentliche Unternehmen haben den Auftrag, die Daseinsvorsorge für die Bürger:innen innerhalb der Union bereitzustellen und erbringen Dienstleistungen von allgemeinem öffentlichem Interesse. Sie gestalten die Daseinsvorsorge für die Bevölkerung und agieren nicht gewinnorientiert oder wettbewerblich am Markt. Umso wichtiger ist die Koordination und Kommunikation zwischen den einzelnen Akteuren der Daseinsvorsorge. De-minimis-Beihilfen unterstützen die Daseinsvorsorge bei der Erfüllung ihrer Aufgaben und dürfen nicht dazu führen, dass die Erbringung der Leistungen aus unternehmensrechtlichen Gründen unterbleibt. </w:t>
            </w:r>
            <w:r w:rsidRPr="001B4DFD">
              <w:rPr>
                <w:rFonts w:ascii="Aptos" w:hAnsi="Aptos"/>
                <w:b/>
                <w:bCs/>
                <w:kern w:val="2"/>
                <w:sz w:val="22"/>
                <w:szCs w:val="22"/>
                <w:lang w:val="de-DE"/>
                <w14:ligatures w14:val="standardContextual"/>
              </w:rPr>
              <w:t>Planen Sie eine</w:t>
            </w:r>
            <w:r w:rsidRPr="001B4DFD">
              <w:rPr>
                <w:rFonts w:ascii="Aptos" w:hAnsi="Aptos"/>
                <w:kern w:val="2"/>
                <w:sz w:val="22"/>
                <w:szCs w:val="22"/>
                <w:lang w:val="de-DE"/>
                <w14:ligatures w14:val="standardContextual"/>
              </w:rPr>
              <w:t xml:space="preserve"> </w:t>
            </w:r>
            <w:r w:rsidRPr="001B4DFD">
              <w:rPr>
                <w:rFonts w:ascii="Aptos" w:hAnsi="Aptos"/>
                <w:b/>
                <w:bCs/>
                <w:kern w:val="2"/>
                <w:sz w:val="22"/>
                <w:szCs w:val="22"/>
                <w:lang w:val="de-DE"/>
                <w14:ligatures w14:val="standardContextual"/>
              </w:rPr>
              <w:t>Überarbeitung der De-minimis-Verordnung, damit Innovationen für die Daseinsvorsorge nicht durch das Kumulationsprinzip verhindert werden?</w:t>
            </w:r>
          </w:p>
        </w:tc>
      </w:tr>
      <w:tr w:rsidR="00623AF8" w:rsidRPr="001B4DFD" w14:paraId="77ECF525" w14:textId="77777777" w:rsidTr="00875DD0">
        <w:tc>
          <w:tcPr>
            <w:tcW w:w="9060" w:type="dxa"/>
            <w:shd w:val="clear" w:color="auto" w:fill="D9D9D9" w:themeFill="background1" w:themeFillShade="D9"/>
          </w:tcPr>
          <w:p w14:paraId="6F42FCE6" w14:textId="77777777" w:rsidR="00623AF8" w:rsidRPr="001B4DFD" w:rsidRDefault="00623AF8" w:rsidP="00875DD0">
            <w:pPr>
              <w:rPr>
                <w:rFonts w:ascii="Aptos" w:hAnsi="Aptos"/>
                <w:b/>
                <w:bCs/>
              </w:rPr>
            </w:pPr>
            <w:r w:rsidRPr="001B4DFD">
              <w:rPr>
                <w:rFonts w:ascii="Aptos" w:hAnsi="Aptos"/>
                <w:b/>
                <w:bCs/>
              </w:rPr>
              <w:t>Nachfrage</w:t>
            </w:r>
          </w:p>
        </w:tc>
      </w:tr>
      <w:tr w:rsidR="00623AF8" w:rsidRPr="001B4DFD" w14:paraId="12CE1198" w14:textId="77777777" w:rsidTr="00875DD0">
        <w:tc>
          <w:tcPr>
            <w:tcW w:w="9060" w:type="dxa"/>
          </w:tcPr>
          <w:p w14:paraId="5885745E" w14:textId="77777777" w:rsidR="00623AF8" w:rsidRPr="001B4DFD" w:rsidRDefault="00623AF8" w:rsidP="00F63BE8">
            <w:pPr>
              <w:numPr>
                <w:ilvl w:val="0"/>
                <w:numId w:val="44"/>
              </w:numPr>
              <w:ind w:left="714" w:hanging="357"/>
              <w:rPr>
                <w:rFonts w:ascii="Aptos" w:hAnsi="Aptos"/>
                <w:bCs/>
                <w:kern w:val="2"/>
                <w14:ligatures w14:val="standardContextual"/>
              </w:rPr>
            </w:pPr>
            <w:r w:rsidRPr="001B4DFD">
              <w:rPr>
                <w:rFonts w:ascii="Aptos" w:hAnsi="Aptos"/>
                <w:bCs/>
                <w:kern w:val="2"/>
                <w:sz w:val="22"/>
                <w:szCs w:val="22"/>
                <w:lang w:val="de-DE"/>
                <w14:ligatures w14:val="standardContextual"/>
              </w:rPr>
              <w:t>Welche Schritte möchten Sie setzten, damit De-Minimis-Beihilfen und DAWI-Beihilfen für innovative Projekte innerhalb eines Unternehmens attraktiver werden?</w:t>
            </w:r>
          </w:p>
        </w:tc>
      </w:tr>
    </w:tbl>
    <w:p w14:paraId="0685A6B9" w14:textId="77777777" w:rsidR="00623AF8" w:rsidRPr="001B4DFD" w:rsidRDefault="00623AF8" w:rsidP="00623AF8">
      <w:pPr>
        <w:spacing w:after="160" w:line="278" w:lineRule="auto"/>
        <w:rPr>
          <w:rFonts w:ascii="Aptos" w:hAnsi="Aptos"/>
        </w:rPr>
      </w:pPr>
    </w:p>
    <w:tbl>
      <w:tblPr>
        <w:tblStyle w:val="TableNormal2"/>
        <w:tblW w:w="0" w:type="auto"/>
        <w:tblLayout w:type="fixed"/>
        <w:tblLook w:val="01E0" w:firstRow="1" w:lastRow="1" w:firstColumn="1" w:lastColumn="1" w:noHBand="0" w:noVBand="0"/>
      </w:tblPr>
      <w:tblGrid>
        <w:gridCol w:w="9066"/>
      </w:tblGrid>
      <w:tr w:rsidR="00623AF8" w:rsidRPr="001B4DFD" w14:paraId="1FCE410E" w14:textId="77777777" w:rsidTr="00875DD0">
        <w:trPr>
          <w:trHeight w:val="277"/>
        </w:trPr>
        <w:tc>
          <w:tcPr>
            <w:tcW w:w="9066" w:type="dxa"/>
            <w:shd w:val="clear" w:color="auto" w:fill="D9D9D9"/>
          </w:tcPr>
          <w:p w14:paraId="5059CB04"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46A27F71" w14:textId="77777777" w:rsidR="00623AF8" w:rsidRPr="001B4DFD" w:rsidRDefault="00623AF8" w:rsidP="00623AF8">
      <w:pPr>
        <w:jc w:val="both"/>
        <w:rPr>
          <w:rFonts w:ascii="Aptos" w:hAnsi="Aptos"/>
          <w:bCs/>
          <w:sz w:val="18"/>
          <w:szCs w:val="18"/>
        </w:rPr>
      </w:pPr>
      <w:r w:rsidRPr="001B4DFD">
        <w:rPr>
          <w:rFonts w:ascii="Aptos" w:hAnsi="Aptos"/>
          <w:bCs/>
          <w:iCs/>
          <w:sz w:val="22"/>
          <w:szCs w:val="22"/>
        </w:rPr>
        <w:t>Beihilfen nach der De-minimis-Verordnung sind Beihilfen, die unter bestimmten Voraussetzungen nicht dem Anmeldeverfahren bei der Europäischen Kommission unterliegen, da aufgrund ihrer Geringfügigkeit davon ausgegangen wird, dass der Wettbewerb und der Handel zwischen den Mitgliedstaaten nicht beeinträchtigt werden und somit nicht alle Tatbestandsmerkmale einer "staatlichen Beihilfe" erfüllt sind. Solche Beihilfen sind für „einzelne Unternehmen“ möglich. Daraus folgt, dass die Kommission gemäß dem in Artikel 4 Absatz 3 des Vertrags über die Europäische Union verankerten Grundsatz der loyalen Zusammenarbeit dafür zu sorgen hat, dass die Vorschriften über staatliche Beihilfen eingehalten werden. Die Mitgliedstaaten sollten der Kommission die Erfüllung dieser Aufgabe erleichtern, indem sie durch geeignete Vorkehrungen sicherstellen, dass der Gesamtbetrag der einem Unternehmen nach der De-minimis-Regelung gewährten Beihilfe den zulässigen Höchstbetrag nicht überschreitet. Die Mitgliedstaaten sollten die Gewährung von Beihilfen überwachen, um sicherzustellen, dass die Kumulierungsregeln eingehalten werden. Der Begriff des „einzigen Unternehmens“ umfasst alle Unternehmen, die entweder völlig unabhängig sind oder durch mindestens eine der folgenden Beziehungen miteinander verbunden sind: - ein Unternehmen hält die Mehrheit der Stimmrechte eines anderen Unternehmens; - ein Unternehmen hat das Recht, die Mehrheit der Mitglieder des Verwaltungs-, Leitungs- oder Aufsichtsorgans zu ernennen oder abzuberufen; - ein Unternehmen hat vertraglich einen beherrschenden Einfluss; - ein Unternehmen übt aufgrund einer Vereinbarung die alleinige Kontrolle über die Mehrheit der Stimmrechte aus. Diese Regelung verhindert die effektive Inanspruchnahme von De-minimis-Beihilfen durch öffentliche Dienstleister im Bereich der Daseinsvorsorge und diskriminiert diese im Binnenmarkt. Eine rasche Änderung der Definition und Überarbeitung der De-minimis-Verordnung ist daher notwendig, um sozial-ökologische Innovationen für und in der Daseinsvorsorge zu ermöglichen.</w:t>
      </w:r>
    </w:p>
    <w:p w14:paraId="62FFE538" w14:textId="77777777" w:rsidR="00623AF8" w:rsidRPr="001B4DFD" w:rsidRDefault="00623AF8" w:rsidP="00623AF8">
      <w:pPr>
        <w:ind w:left="360"/>
        <w:contextualSpacing/>
        <w:jc w:val="both"/>
        <w:rPr>
          <w:rFonts w:ascii="Aptos" w:hAnsi="Aptos"/>
          <w:sz w:val="18"/>
          <w:szCs w:val="18"/>
        </w:rPr>
      </w:pPr>
    </w:p>
    <w:p w14:paraId="0E098703" w14:textId="77777777" w:rsidR="00623AF8" w:rsidRPr="001B4DFD" w:rsidRDefault="00623AF8" w:rsidP="00623AF8">
      <w:pPr>
        <w:spacing w:after="160" w:line="278" w:lineRule="auto"/>
        <w:rPr>
          <w:rFonts w:ascii="Aptos" w:hAnsi="Aptos"/>
        </w:rPr>
      </w:pPr>
    </w:p>
    <w:p w14:paraId="1E8D469F" w14:textId="77777777" w:rsidR="00623AF8" w:rsidRPr="001B4DFD" w:rsidRDefault="00623AF8" w:rsidP="00623AF8">
      <w:pPr>
        <w:rPr>
          <w:rFonts w:ascii="Aptos" w:hAnsi="Aptos"/>
        </w:rPr>
        <w:sectPr w:rsidR="00623AF8" w:rsidRPr="001B4DFD" w:rsidSect="00153511">
          <w:headerReference w:type="even" r:id="rId81"/>
          <w:headerReference w:type="default" r:id="rId82"/>
          <w:footerReference w:type="even" r:id="rId83"/>
          <w:headerReference w:type="first" r:id="rId84"/>
          <w:footerReference w:type="first" r:id="rId85"/>
          <w:pgSz w:w="11906" w:h="16838"/>
          <w:pgMar w:top="1418" w:right="1418" w:bottom="1134" w:left="1418" w:header="708" w:footer="510" w:gutter="0"/>
          <w:cols w:space="708"/>
          <w:docGrid w:linePitch="360"/>
        </w:sectPr>
      </w:pPr>
    </w:p>
    <w:p w14:paraId="2CDB1502" w14:textId="77777777" w:rsidR="00623AF8" w:rsidRPr="001B4DFD" w:rsidRDefault="00623AF8" w:rsidP="00623AF8">
      <w:pPr>
        <w:spacing w:after="160" w:line="278" w:lineRule="auto"/>
        <w:rPr>
          <w:rFonts w:ascii="Aptos" w:hAnsi="Aptos"/>
        </w:rPr>
      </w:pPr>
      <w:bookmarkStart w:id="370" w:name="_Toc164948275"/>
    </w:p>
    <w:p w14:paraId="6BC1BFFF"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71" w:name="_Toc167726992"/>
    </w:p>
    <w:p w14:paraId="02EF846A"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72" w:name="_Toc170983776"/>
      <w:r w:rsidRPr="001B4DFD">
        <w:rPr>
          <w:rFonts w:ascii="Aptos" w:eastAsiaTheme="majorEastAsia" w:hAnsi="Aptos" w:cstheme="majorBidi"/>
          <w:b/>
          <w:color w:val="E4342D"/>
          <w:szCs w:val="32"/>
        </w:rPr>
        <w:t>Allgemeine Gruppenfreistellungsverordnung</w:t>
      </w:r>
      <w:bookmarkEnd w:id="370"/>
      <w:bookmarkEnd w:id="371"/>
      <w:bookmarkEnd w:id="372"/>
    </w:p>
    <w:tbl>
      <w:tblPr>
        <w:tblStyle w:val="Tabellenraster"/>
        <w:tblW w:w="0" w:type="auto"/>
        <w:tblLook w:val="04A0" w:firstRow="1" w:lastRow="0" w:firstColumn="1" w:lastColumn="0" w:noHBand="0" w:noVBand="1"/>
      </w:tblPr>
      <w:tblGrid>
        <w:gridCol w:w="9060"/>
      </w:tblGrid>
      <w:tr w:rsidR="00623AF8" w:rsidRPr="001B4DFD" w14:paraId="5049A4D3" w14:textId="77777777" w:rsidTr="00875DD0">
        <w:tc>
          <w:tcPr>
            <w:tcW w:w="9060" w:type="dxa"/>
            <w:shd w:val="clear" w:color="auto" w:fill="D9D9D9" w:themeFill="background1" w:themeFillShade="D9"/>
          </w:tcPr>
          <w:p w14:paraId="39B783D7" w14:textId="77777777" w:rsidR="00623AF8" w:rsidRPr="001B4DFD" w:rsidRDefault="00623AF8" w:rsidP="00875DD0">
            <w:pPr>
              <w:rPr>
                <w:rFonts w:ascii="Aptos" w:hAnsi="Aptos"/>
                <w:b/>
                <w:iCs/>
              </w:rPr>
            </w:pPr>
            <w:r w:rsidRPr="001B4DFD">
              <w:rPr>
                <w:rFonts w:ascii="Aptos" w:hAnsi="Aptos"/>
                <w:b/>
                <w:iCs/>
              </w:rPr>
              <w:t>Frage</w:t>
            </w:r>
          </w:p>
        </w:tc>
      </w:tr>
      <w:tr w:rsidR="00623AF8" w:rsidRPr="001B4DFD" w14:paraId="5A449531" w14:textId="77777777" w:rsidTr="00875DD0">
        <w:tc>
          <w:tcPr>
            <w:tcW w:w="9060" w:type="dxa"/>
          </w:tcPr>
          <w:p w14:paraId="34451BB4" w14:textId="77777777" w:rsidR="00623AF8" w:rsidRPr="001B4DFD" w:rsidRDefault="00623AF8" w:rsidP="00875DD0">
            <w:pPr>
              <w:jc w:val="both"/>
              <w:rPr>
                <w:rFonts w:ascii="Aptos" w:hAnsi="Aptos"/>
                <w:b/>
                <w:bCs/>
                <w:sz w:val="22"/>
                <w:szCs w:val="22"/>
                <w:lang w:val="de-DE"/>
              </w:rPr>
            </w:pPr>
            <w:r w:rsidRPr="001B4DFD">
              <w:rPr>
                <w:rFonts w:ascii="Aptos" w:hAnsi="Aptos"/>
                <w:kern w:val="2"/>
                <w:sz w:val="22"/>
                <w:szCs w:val="22"/>
                <w:lang w:val="de-DE"/>
                <w14:ligatures w14:val="standardContextual"/>
              </w:rPr>
              <w:t xml:space="preserve">Die Energie- und Klimakrise sowie der russische Angriffskrieg haben die Notwendigkeit eines resilienten und sicheren Europas in den Fokus der Gesellschaft gerückt. Die Europäische Union hat sich gemeinsam mit den Mitgliedsstaaten Ziele für die Umsetzung von Klimaschutz- und Klimaanpassungsmaßnahmen einerseits und für ein sicheres Europa andererseits gesetzt. Nun müssen die rechtlichen Rahmenbedingungen für eine rasche und effiziente Umsetzung geschaffen werden, damit bürokratische Hürden die sozial-ökologische Transformation nicht behindern. Die Mitgliedstaaten stehen in der Verantwortung, die einzelnen Sektoren zu unterstützen. </w:t>
            </w:r>
            <w:r w:rsidRPr="001B4DFD">
              <w:rPr>
                <w:rFonts w:ascii="Aptos" w:hAnsi="Aptos"/>
                <w:b/>
                <w:bCs/>
                <w:kern w:val="2"/>
                <w:sz w:val="22"/>
                <w:szCs w:val="22"/>
                <w:lang w:val="de-DE"/>
                <w14:ligatures w14:val="standardContextual"/>
              </w:rPr>
              <w:t>Welche Schritte wollen Sie unternehmen, damit die Allgemeine Gruppenfreistellungsverordnung auf weitere Sektoren ausgeweitet wird?</w:t>
            </w:r>
          </w:p>
        </w:tc>
      </w:tr>
      <w:tr w:rsidR="00623AF8" w:rsidRPr="001B4DFD" w14:paraId="1EA6833A" w14:textId="77777777" w:rsidTr="00875DD0">
        <w:tc>
          <w:tcPr>
            <w:tcW w:w="9060" w:type="dxa"/>
            <w:shd w:val="clear" w:color="auto" w:fill="D9D9D9" w:themeFill="background1" w:themeFillShade="D9"/>
          </w:tcPr>
          <w:p w14:paraId="141C599C" w14:textId="77777777" w:rsidR="00623AF8" w:rsidRPr="001B4DFD" w:rsidRDefault="00623AF8" w:rsidP="00875DD0">
            <w:pPr>
              <w:rPr>
                <w:rFonts w:ascii="Aptos" w:hAnsi="Aptos"/>
                <w:b/>
                <w:bCs/>
              </w:rPr>
            </w:pPr>
            <w:r w:rsidRPr="001B4DFD">
              <w:rPr>
                <w:rFonts w:ascii="Aptos" w:hAnsi="Aptos"/>
                <w:b/>
                <w:bCs/>
              </w:rPr>
              <w:t>Nachfrage</w:t>
            </w:r>
          </w:p>
        </w:tc>
      </w:tr>
      <w:tr w:rsidR="00623AF8" w:rsidRPr="001B4DFD" w14:paraId="5B301BA9" w14:textId="77777777" w:rsidTr="00875DD0">
        <w:tc>
          <w:tcPr>
            <w:tcW w:w="9060" w:type="dxa"/>
          </w:tcPr>
          <w:p w14:paraId="7504FB78" w14:textId="77777777" w:rsidR="00623AF8" w:rsidRPr="001B4DFD" w:rsidRDefault="00623AF8" w:rsidP="00F63BE8">
            <w:pPr>
              <w:numPr>
                <w:ilvl w:val="0"/>
                <w:numId w:val="44"/>
              </w:numPr>
              <w:ind w:left="714" w:hanging="357"/>
              <w:rPr>
                <w:rFonts w:ascii="Aptos" w:hAnsi="Aptos"/>
                <w:bCs/>
                <w:kern w:val="2"/>
                <w:lang w:val="de-DE"/>
                <w14:ligatures w14:val="standardContextual"/>
              </w:rPr>
            </w:pPr>
            <w:r w:rsidRPr="001B4DFD">
              <w:rPr>
                <w:rFonts w:ascii="Aptos" w:hAnsi="Aptos"/>
                <w:bCs/>
                <w:kern w:val="2"/>
                <w:sz w:val="22"/>
                <w:szCs w:val="22"/>
                <w:lang w:val="de-DE"/>
                <w14:ligatures w14:val="standardContextual"/>
              </w:rPr>
              <w:t>Mit welchen Initiativen und EU-Programmen planen Sie regionalen Akteuren bei der Finanzierung von Projekten für ein resilientes Europa besser unterstützen?</w:t>
            </w:r>
          </w:p>
        </w:tc>
      </w:tr>
    </w:tbl>
    <w:p w14:paraId="5FA1FFFA" w14:textId="77777777" w:rsidR="00623AF8" w:rsidRPr="001B4DFD" w:rsidRDefault="00623AF8" w:rsidP="00623AF8">
      <w:pPr>
        <w:spacing w:after="160" w:line="278" w:lineRule="auto"/>
        <w:rPr>
          <w:rFonts w:ascii="Aptos" w:hAnsi="Aptos"/>
        </w:rPr>
      </w:pPr>
    </w:p>
    <w:tbl>
      <w:tblPr>
        <w:tblStyle w:val="TableNormal2"/>
        <w:tblW w:w="0" w:type="auto"/>
        <w:tblLayout w:type="fixed"/>
        <w:tblLook w:val="01E0" w:firstRow="1" w:lastRow="1" w:firstColumn="1" w:lastColumn="1" w:noHBand="0" w:noVBand="0"/>
      </w:tblPr>
      <w:tblGrid>
        <w:gridCol w:w="9066"/>
      </w:tblGrid>
      <w:tr w:rsidR="00623AF8" w:rsidRPr="001B4DFD" w14:paraId="69C09284" w14:textId="77777777" w:rsidTr="00875DD0">
        <w:trPr>
          <w:trHeight w:val="277"/>
        </w:trPr>
        <w:tc>
          <w:tcPr>
            <w:tcW w:w="9066" w:type="dxa"/>
            <w:shd w:val="clear" w:color="auto" w:fill="D9D9D9"/>
          </w:tcPr>
          <w:p w14:paraId="64E61500"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1BC1B2EA" w14:textId="77777777" w:rsidR="00623AF8" w:rsidRPr="001B4DFD" w:rsidRDefault="00623AF8" w:rsidP="00623AF8">
      <w:pPr>
        <w:jc w:val="both"/>
        <w:rPr>
          <w:rFonts w:ascii="Aptos" w:hAnsi="Aptos"/>
        </w:rPr>
        <w:sectPr w:rsidR="00623AF8" w:rsidRPr="001B4DFD" w:rsidSect="00581C0E">
          <w:headerReference w:type="even" r:id="rId86"/>
          <w:headerReference w:type="default" r:id="rId87"/>
          <w:footerReference w:type="even" r:id="rId88"/>
          <w:headerReference w:type="first" r:id="rId89"/>
          <w:footerReference w:type="first" r:id="rId90"/>
          <w:pgSz w:w="11906" w:h="16838"/>
          <w:pgMar w:top="1418" w:right="1418" w:bottom="1134" w:left="1418" w:header="708" w:footer="510" w:gutter="0"/>
          <w:cols w:space="708"/>
          <w:docGrid w:linePitch="360"/>
        </w:sectPr>
      </w:pPr>
      <w:r w:rsidRPr="001B4DFD">
        <w:rPr>
          <w:rFonts w:ascii="Aptos" w:hAnsi="Aptos"/>
          <w:bCs/>
          <w:iCs/>
          <w:sz w:val="22"/>
          <w:szCs w:val="22"/>
        </w:rPr>
        <w:t>Die AGVO ist ein Eckpfeiler der Reform der Kommission zur Modernisierung des EU-Beihilferechts, die darauf abzielt, das Wirtschaftswachstum zu fördern und die EU-Genehmigungsverfahren auf große Beihilfefälle zu konzentrieren, die zu unlauterem Wettbewerb führen könnten. Am 23. Juni 2023 nahm die Europäische Kommission eine Änderung der Allgemeinen Gruppenfreistellungsverordnung (AGVO) an, um die Unterstützung des ökologischen und digitalen Wandels in der EU weiter zu vereinfachen und zu beschleunigen und gleichzeitig faire Wettbewerbsbedingungen im Binnenmarkt zu schützen. Die AGVO ermöglicht es den Mitgliedstaaten der Europäischen Union, bestimmte Beihilfemaßnahmen direkt durchzuführen. Sie stellt bestimmte Gruppen staatlicher Beihilfen, deren Nutzen für die Gesellschaft nach Auffassung der Kommission etwaige Wettbewerbsverzerrungen überwiegt, von der Pflicht zur vorherigen Anmeldung bei der Kommission frei. Erfüllt eine staatliche Beihilfe nicht die Kriterien der AGVO, bedeutet dies nicht zwangsläufig, dass sie mit dem EU-Beihilferecht unvereinbar ist, sondern nur, dass sie vor ihrer Durchführung bei der Kommission angemeldet werden muss. Allerdings bedarf es einer genaueren Analyse und einer Ausweitung der Gruppen innerhalb der AGVO, insbesondere auf Akteure, die den sozial-ökologischen Wandel vorantreiben wollen und aufgrund zahlreicher Regelungen auch effektiv umsetzen müssen. Insbesondere öffentliche Akteure der Daseinsvorsorge werden benachteiligt, obwohl sie den wirksamsten Hebel für eine sozialverträgliche Transformation hin zu einer Netto-Null-Emissionsunion für die Gesellschaft haben. Sie müssen daher besser unterstützt werden.</w:t>
      </w:r>
    </w:p>
    <w:p w14:paraId="70F97021" w14:textId="77777777" w:rsidR="00623AF8" w:rsidRPr="001B4DFD" w:rsidRDefault="00623AF8" w:rsidP="00623AF8">
      <w:pPr>
        <w:spacing w:after="160" w:line="278" w:lineRule="auto"/>
        <w:rPr>
          <w:rFonts w:ascii="Aptos" w:hAnsi="Aptos"/>
        </w:rPr>
      </w:pPr>
    </w:p>
    <w:p w14:paraId="2C4F99E0" w14:textId="77777777" w:rsidR="00623AF8" w:rsidRPr="001B4DFD" w:rsidRDefault="00623AF8" w:rsidP="00623AF8">
      <w:pPr>
        <w:spacing w:after="160" w:line="278" w:lineRule="auto"/>
        <w:rPr>
          <w:rFonts w:ascii="Aptos" w:hAnsi="Aptos"/>
        </w:rPr>
      </w:pPr>
    </w:p>
    <w:p w14:paraId="04CEF1D5"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73" w:name="_Toc164948277"/>
      <w:bookmarkStart w:id="374" w:name="_Toc167726993"/>
      <w:bookmarkStart w:id="375" w:name="_Toc170983777"/>
      <w:r w:rsidRPr="001B4DFD">
        <w:rPr>
          <w:rFonts w:ascii="Aptos" w:eastAsiaTheme="majorEastAsia" w:hAnsi="Aptos" w:cstheme="majorBidi"/>
          <w:b/>
          <w:color w:val="E4342D"/>
          <w:szCs w:val="32"/>
        </w:rPr>
        <w:t>Skalierbarkeit von geförderten Projekten</w:t>
      </w:r>
      <w:bookmarkStart w:id="376" w:name="_Hlk164947661"/>
      <w:bookmarkEnd w:id="373"/>
      <w:bookmarkEnd w:id="374"/>
      <w:bookmarkEnd w:id="375"/>
    </w:p>
    <w:tbl>
      <w:tblPr>
        <w:tblStyle w:val="Tabellenraster"/>
        <w:tblW w:w="0" w:type="auto"/>
        <w:tblLook w:val="04A0" w:firstRow="1" w:lastRow="0" w:firstColumn="1" w:lastColumn="0" w:noHBand="0" w:noVBand="1"/>
      </w:tblPr>
      <w:tblGrid>
        <w:gridCol w:w="9060"/>
      </w:tblGrid>
      <w:tr w:rsidR="00623AF8" w:rsidRPr="001B4DFD" w14:paraId="76BDE80C" w14:textId="77777777" w:rsidTr="00875DD0">
        <w:tc>
          <w:tcPr>
            <w:tcW w:w="9060" w:type="dxa"/>
            <w:shd w:val="clear" w:color="auto" w:fill="D9D9D9" w:themeFill="background1" w:themeFillShade="D9"/>
          </w:tcPr>
          <w:p w14:paraId="1220287C" w14:textId="77777777" w:rsidR="00623AF8" w:rsidRPr="001B4DFD" w:rsidRDefault="00623AF8" w:rsidP="00875DD0">
            <w:pPr>
              <w:rPr>
                <w:rFonts w:ascii="Aptos" w:hAnsi="Aptos"/>
                <w:b/>
                <w:iCs/>
              </w:rPr>
            </w:pPr>
            <w:r w:rsidRPr="001B4DFD">
              <w:rPr>
                <w:rFonts w:ascii="Aptos" w:hAnsi="Aptos"/>
                <w:b/>
                <w:iCs/>
              </w:rPr>
              <w:t>Frage</w:t>
            </w:r>
          </w:p>
        </w:tc>
      </w:tr>
      <w:tr w:rsidR="00623AF8" w:rsidRPr="001B4DFD" w14:paraId="282815C1" w14:textId="77777777" w:rsidTr="00875DD0">
        <w:tc>
          <w:tcPr>
            <w:tcW w:w="9060" w:type="dxa"/>
          </w:tcPr>
          <w:p w14:paraId="6E7C0DBE" w14:textId="77777777" w:rsidR="00623AF8" w:rsidRPr="001B4DFD" w:rsidRDefault="00623AF8" w:rsidP="00875DD0">
            <w:pPr>
              <w:jc w:val="both"/>
              <w:rPr>
                <w:rFonts w:ascii="Aptos" w:hAnsi="Aptos"/>
                <w:b/>
                <w:bCs/>
                <w:sz w:val="22"/>
                <w:szCs w:val="22"/>
                <w:lang w:val="de-DE"/>
              </w:rPr>
            </w:pPr>
            <w:r w:rsidRPr="001B4DFD">
              <w:rPr>
                <w:rFonts w:ascii="Aptos" w:hAnsi="Aptos"/>
                <w:kern w:val="2"/>
                <w:sz w:val="22"/>
                <w:szCs w:val="22"/>
                <w:lang w:val="de-DE"/>
                <w14:ligatures w14:val="standardContextual"/>
              </w:rPr>
              <w:t>Die Energie- und Klimakrise sowie der russische Angriffskrieg haben die Notwendigkeit eines resilienten und sicheren Europas in den Fokus der Gesellschaft gerückt. Die Europäische Union hat sich gemeinsam mit den Mitgliedsstaaten Ziele für die Umsetzung von Klimaschutz- und Klimaanpassungsmaßnahmen einerseits und für ein sicheres Europa andererseits gesetzt. Nun gilt es, vorhandene Technologien und Innovationen in eine breite Umsetzungsphase zu bringen, damit finanzielle Engpässe die sozial-ökologische Transformation nicht behindern.</w:t>
            </w:r>
            <w:r w:rsidRPr="001B4DFD">
              <w:rPr>
                <w:rFonts w:ascii="Aptos" w:hAnsi="Aptos"/>
                <w:b/>
                <w:bCs/>
                <w:kern w:val="2"/>
                <w:sz w:val="22"/>
                <w:szCs w:val="22"/>
                <w:lang w:val="de-DE"/>
                <w14:ligatures w14:val="standardContextual"/>
              </w:rPr>
              <w:t xml:space="preserve"> Mit welchen Initiativen und EU-Programmen möchten Sie sicherstellen, dass bereits vorhandene und deutlich effizientere Technologien im Roll-Out gefördert werden, damit diese flächendeckend zum Einsatz kommen?</w:t>
            </w:r>
          </w:p>
        </w:tc>
      </w:tr>
      <w:tr w:rsidR="00623AF8" w:rsidRPr="001B4DFD" w14:paraId="753C7FD4" w14:textId="77777777" w:rsidTr="00875DD0">
        <w:tc>
          <w:tcPr>
            <w:tcW w:w="9060" w:type="dxa"/>
            <w:shd w:val="clear" w:color="auto" w:fill="D9D9D9" w:themeFill="background1" w:themeFillShade="D9"/>
          </w:tcPr>
          <w:p w14:paraId="24D75DF7" w14:textId="77777777" w:rsidR="00623AF8" w:rsidRPr="001B4DFD" w:rsidRDefault="00623AF8" w:rsidP="00875DD0">
            <w:pPr>
              <w:rPr>
                <w:rFonts w:ascii="Aptos" w:hAnsi="Aptos"/>
                <w:b/>
                <w:bCs/>
              </w:rPr>
            </w:pPr>
            <w:r w:rsidRPr="001B4DFD">
              <w:rPr>
                <w:rFonts w:ascii="Aptos" w:hAnsi="Aptos"/>
                <w:b/>
                <w:bCs/>
              </w:rPr>
              <w:t>Nachfrage</w:t>
            </w:r>
          </w:p>
        </w:tc>
      </w:tr>
      <w:tr w:rsidR="00623AF8" w:rsidRPr="001B4DFD" w14:paraId="7BB9737D" w14:textId="77777777" w:rsidTr="00875DD0">
        <w:tc>
          <w:tcPr>
            <w:tcW w:w="9060" w:type="dxa"/>
          </w:tcPr>
          <w:p w14:paraId="2D00E393" w14:textId="77777777" w:rsidR="00623AF8" w:rsidRPr="001B4DFD" w:rsidRDefault="00623AF8" w:rsidP="00F63BE8">
            <w:pPr>
              <w:numPr>
                <w:ilvl w:val="0"/>
                <w:numId w:val="44"/>
              </w:numPr>
              <w:ind w:left="714" w:hanging="357"/>
              <w:rPr>
                <w:rFonts w:ascii="Aptos" w:hAnsi="Aptos"/>
                <w:bCs/>
                <w:kern w:val="2"/>
                <w:sz w:val="22"/>
                <w:szCs w:val="22"/>
                <w:lang w:val="de-DE"/>
                <w14:ligatures w14:val="standardContextual"/>
              </w:rPr>
            </w:pPr>
            <w:r w:rsidRPr="001B4DFD">
              <w:rPr>
                <w:rFonts w:ascii="Aptos" w:hAnsi="Aptos"/>
                <w:bCs/>
                <w:kern w:val="2"/>
                <w:sz w:val="22"/>
                <w:szCs w:val="22"/>
                <w:lang w:val="de-DE"/>
                <w14:ligatures w14:val="standardContextual"/>
              </w:rPr>
              <w:t>Welche Relevanz hat für Sie die Skalierbarkeit von geförderten Projekten im Bereich der kritischen Infrastrukturen in Ihren Überlegungen?</w:t>
            </w:r>
          </w:p>
          <w:p w14:paraId="1627461D" w14:textId="77777777" w:rsidR="00623AF8" w:rsidRPr="001B4DFD" w:rsidRDefault="00623AF8" w:rsidP="00F63BE8">
            <w:pPr>
              <w:numPr>
                <w:ilvl w:val="0"/>
                <w:numId w:val="44"/>
              </w:numPr>
              <w:ind w:left="714" w:hanging="357"/>
              <w:rPr>
                <w:rFonts w:ascii="Aptos" w:hAnsi="Aptos"/>
                <w:bCs/>
                <w:kern w:val="2"/>
                <w:lang w:val="de-DE"/>
                <w14:ligatures w14:val="standardContextual"/>
              </w:rPr>
            </w:pPr>
            <w:r w:rsidRPr="001B4DFD">
              <w:rPr>
                <w:rFonts w:ascii="Aptos" w:hAnsi="Aptos"/>
                <w:bCs/>
                <w:kern w:val="2"/>
                <w:sz w:val="22"/>
                <w:szCs w:val="22"/>
                <w:lang w:val="de-DE"/>
                <w14:ligatures w14:val="standardContextual"/>
              </w:rPr>
              <w:t>Wie könnten Ihrer Einschätzung nach hinkünftig Betriebsbeihilfe für innovative und resiliente Klimaprojekte der Daseinsvorsorge ausgestaltet werden?</w:t>
            </w:r>
          </w:p>
        </w:tc>
      </w:tr>
      <w:bookmarkEnd w:id="376"/>
    </w:tbl>
    <w:p w14:paraId="14908204" w14:textId="77777777" w:rsidR="00623AF8" w:rsidRPr="001B4DFD" w:rsidRDefault="00623AF8" w:rsidP="00623AF8">
      <w:pPr>
        <w:spacing w:after="160" w:line="278" w:lineRule="auto"/>
        <w:rPr>
          <w:rFonts w:ascii="Aptos" w:hAnsi="Aptos"/>
        </w:rPr>
      </w:pPr>
    </w:p>
    <w:tbl>
      <w:tblPr>
        <w:tblStyle w:val="TableNormal2"/>
        <w:tblW w:w="0" w:type="auto"/>
        <w:tblLayout w:type="fixed"/>
        <w:tblLook w:val="01E0" w:firstRow="1" w:lastRow="1" w:firstColumn="1" w:lastColumn="1" w:noHBand="0" w:noVBand="0"/>
      </w:tblPr>
      <w:tblGrid>
        <w:gridCol w:w="9066"/>
      </w:tblGrid>
      <w:tr w:rsidR="00623AF8" w:rsidRPr="001B4DFD" w14:paraId="3DAB93E4" w14:textId="77777777" w:rsidTr="00875DD0">
        <w:trPr>
          <w:trHeight w:val="277"/>
        </w:trPr>
        <w:tc>
          <w:tcPr>
            <w:tcW w:w="9066" w:type="dxa"/>
            <w:shd w:val="clear" w:color="auto" w:fill="D9D9D9"/>
          </w:tcPr>
          <w:p w14:paraId="06D893D2"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7A5558EF" w14:textId="77777777" w:rsidR="00623AF8" w:rsidRPr="001B4DFD" w:rsidRDefault="00623AF8" w:rsidP="00623AF8">
      <w:pPr>
        <w:spacing w:after="120"/>
        <w:jc w:val="both"/>
        <w:rPr>
          <w:rFonts w:ascii="Aptos" w:hAnsi="Aptos"/>
          <w:bCs/>
          <w:iCs/>
          <w:sz w:val="22"/>
          <w:szCs w:val="22"/>
        </w:rPr>
      </w:pPr>
      <w:r w:rsidRPr="001B4DFD">
        <w:rPr>
          <w:rFonts w:ascii="Aptos" w:hAnsi="Aptos"/>
          <w:bCs/>
          <w:iCs/>
          <w:sz w:val="22"/>
          <w:szCs w:val="22"/>
        </w:rPr>
        <w:t>Förderungen sind Instrumente zur Unterstützung der Markteinführung innovativer und klimafreundlicher Prozesstechnologien. Adressaten sind Unternehmen, die ihre bestehenden Prozesse nur noch in begrenztem Umfang hinsichtlich ihrer CO2-Emissionen optimieren können, so dass entweder gänzlich andere oder deutlich modifizierte Prozesse erforderlich sind, um eine Dekarbonisierung gemäß den Zielen der Europäischen Union zu erreichen. Dies führt zu einem erheblichen Investitionsbedarf seitens der Mitgliedstaaten oder Investoren aus Drittstaaten. Instabile nationale Politiken und geopolitische Krisen gefährden jedoch das Investitionspotenzial für wichtige langfristige Transformationsprozesse. Zudem sind klimafreundliche Prozesse (Produkte) auch in der Umsetzung (variable Betriebskosten) oft deutlich teurer als marktgängige, emissionsintensive Prozessangebote. Dies ist auf verschiedene Faktoren zurückzuführen: unzureichender CO2-Preis, homogener Produktpreis sowie höhere Betriebskosten durch Energieträgerwechsel etc. Neben der Kostendifferenz, die sich aus den genannten Faktoren ergibt, ist auch das Risiko durch Preisschwankungen, Krisen und Kriege sehr relevant. Skalierbare Förderungen für Technologien im Roll-Out bieten die Möglichkeit, durch Abfederung dieser Kostenunterschiede und Risiken die Markteinführung und Umsetzung solcher Prozesse deutlich vorzuziehen. Dieser Vorzieheffekt ist aufgrund der sehr langen technischen Lebensdauer von Anlagen und Prozessen in der Green Economy im Rahmen der öffentlichen Daseinsvorsorge besonders relevant. Ein „</w:t>
      </w:r>
      <w:r w:rsidRPr="001B4DFD">
        <w:rPr>
          <w:rFonts w:ascii="Aptos" w:hAnsi="Aptos"/>
          <w:bCs/>
          <w:i/>
          <w:sz w:val="22"/>
          <w:szCs w:val="22"/>
        </w:rPr>
        <w:t>window of opportunity</w:t>
      </w:r>
      <w:r w:rsidRPr="001B4DFD">
        <w:rPr>
          <w:rFonts w:ascii="Aptos" w:hAnsi="Aptos"/>
          <w:bCs/>
          <w:iCs/>
          <w:sz w:val="22"/>
          <w:szCs w:val="22"/>
        </w:rPr>
        <w:t>“ besteht insbesondere dann, wenn Reinvestitionszyklen anstehen. Neben der Wirkung als Markteinführungsinstrument könnte eine skalierbare Förderung von Technologien im Roll-out auch einen Beitrag zur Technologieentwicklung und damit letztlich auch zum Technologietransfer innerhalb des Binnenmarktes leisten.</w:t>
      </w:r>
    </w:p>
    <w:p w14:paraId="3741B120" w14:textId="77777777" w:rsidR="00623AF8" w:rsidRPr="001B4DFD" w:rsidRDefault="00623AF8" w:rsidP="00623AF8">
      <w:pPr>
        <w:spacing w:after="160" w:line="278" w:lineRule="auto"/>
        <w:rPr>
          <w:rFonts w:ascii="Aptos" w:hAnsi="Aptos"/>
        </w:rPr>
      </w:pPr>
    </w:p>
    <w:p w14:paraId="6E34EC78" w14:textId="77777777" w:rsidR="00623AF8" w:rsidRPr="001B4DFD" w:rsidRDefault="00623AF8" w:rsidP="00623AF8">
      <w:pPr>
        <w:spacing w:after="160" w:line="278" w:lineRule="auto"/>
        <w:rPr>
          <w:rFonts w:ascii="Aptos" w:hAnsi="Aptos"/>
        </w:rPr>
      </w:pPr>
    </w:p>
    <w:p w14:paraId="7F609B3F" w14:textId="77777777" w:rsidR="00623AF8" w:rsidRPr="001B4DFD" w:rsidRDefault="00623AF8" w:rsidP="00623AF8">
      <w:pPr>
        <w:spacing w:after="160" w:line="278" w:lineRule="auto"/>
        <w:rPr>
          <w:rFonts w:ascii="Aptos" w:hAnsi="Aptos"/>
        </w:rPr>
      </w:pPr>
    </w:p>
    <w:p w14:paraId="3830B034" w14:textId="77777777" w:rsidR="00623AF8" w:rsidRPr="001B4DFD" w:rsidRDefault="00623AF8" w:rsidP="00623AF8">
      <w:pPr>
        <w:spacing w:after="160" w:line="278" w:lineRule="auto"/>
        <w:rPr>
          <w:rFonts w:ascii="Aptos" w:hAnsi="Aptos"/>
        </w:rPr>
      </w:pPr>
    </w:p>
    <w:p w14:paraId="3EE49F85" w14:textId="77777777" w:rsidR="00623AF8" w:rsidRPr="00FF2EF3" w:rsidRDefault="00623AF8" w:rsidP="00623AF8">
      <w:pPr>
        <w:spacing w:after="120"/>
        <w:jc w:val="both"/>
        <w:outlineLvl w:val="0"/>
        <w:rPr>
          <w:rFonts w:ascii="Aptos" w:eastAsiaTheme="majorEastAsia" w:hAnsi="Aptos" w:cstheme="majorBidi"/>
          <w:b/>
          <w:color w:val="E4342D"/>
          <w:szCs w:val="32"/>
        </w:rPr>
      </w:pPr>
      <w:bookmarkStart w:id="377" w:name="_Toc164948278"/>
      <w:bookmarkStart w:id="378" w:name="_Toc167726994"/>
    </w:p>
    <w:p w14:paraId="2B7E1680" w14:textId="66B1CAB1" w:rsidR="00BA190B" w:rsidRPr="001B4DFD" w:rsidRDefault="00623AF8" w:rsidP="00623AF8">
      <w:pPr>
        <w:spacing w:after="120"/>
        <w:jc w:val="both"/>
        <w:outlineLvl w:val="0"/>
        <w:rPr>
          <w:rFonts w:ascii="Aptos" w:eastAsiaTheme="majorEastAsia" w:hAnsi="Aptos" w:cstheme="majorBidi"/>
          <w:b/>
          <w:color w:val="E4342D"/>
          <w:szCs w:val="32"/>
          <w:lang w:val="en-GB"/>
        </w:rPr>
      </w:pPr>
      <w:bookmarkStart w:id="379" w:name="_Toc170983778"/>
      <w:r w:rsidRPr="001B4DFD">
        <w:rPr>
          <w:rFonts w:ascii="Aptos" w:eastAsiaTheme="majorEastAsia" w:hAnsi="Aptos" w:cstheme="majorBidi"/>
          <w:b/>
          <w:color w:val="E4342D"/>
          <w:szCs w:val="32"/>
          <w:lang w:val="en-GB"/>
        </w:rPr>
        <w:t>European Social Climate Fund</w:t>
      </w:r>
      <w:bookmarkEnd w:id="377"/>
      <w:r w:rsidRPr="001B4DFD">
        <w:rPr>
          <w:rFonts w:ascii="Aptos" w:eastAsiaTheme="majorEastAsia" w:hAnsi="Aptos" w:cstheme="majorBidi"/>
          <w:b/>
          <w:color w:val="E4342D"/>
          <w:szCs w:val="32"/>
          <w:lang w:val="en-GB"/>
        </w:rPr>
        <w:t xml:space="preserve"> (SCF)</w:t>
      </w:r>
      <w:bookmarkEnd w:id="378"/>
      <w:bookmarkEnd w:id="379"/>
    </w:p>
    <w:tbl>
      <w:tblPr>
        <w:tblStyle w:val="Tabellenraster"/>
        <w:tblW w:w="0" w:type="auto"/>
        <w:tblLook w:val="04A0" w:firstRow="1" w:lastRow="0" w:firstColumn="1" w:lastColumn="0" w:noHBand="0" w:noVBand="1"/>
      </w:tblPr>
      <w:tblGrid>
        <w:gridCol w:w="9060"/>
      </w:tblGrid>
      <w:tr w:rsidR="00623AF8" w:rsidRPr="001B4DFD" w14:paraId="59E45873" w14:textId="77777777" w:rsidTr="00875DD0">
        <w:tc>
          <w:tcPr>
            <w:tcW w:w="9060" w:type="dxa"/>
            <w:shd w:val="clear" w:color="auto" w:fill="D9D9D9" w:themeFill="background1" w:themeFillShade="D9"/>
          </w:tcPr>
          <w:p w14:paraId="1F3BF2F5" w14:textId="77777777" w:rsidR="00623AF8" w:rsidRPr="001B4DFD" w:rsidRDefault="00623AF8" w:rsidP="00875DD0">
            <w:pPr>
              <w:rPr>
                <w:rFonts w:ascii="Aptos" w:hAnsi="Aptos"/>
                <w:b/>
                <w:iCs/>
              </w:rPr>
            </w:pPr>
            <w:r w:rsidRPr="001B4DFD">
              <w:rPr>
                <w:rFonts w:ascii="Aptos" w:hAnsi="Aptos"/>
                <w:b/>
                <w:iCs/>
              </w:rPr>
              <w:t>Frage</w:t>
            </w:r>
          </w:p>
        </w:tc>
      </w:tr>
      <w:tr w:rsidR="00623AF8" w:rsidRPr="001B4DFD" w14:paraId="3FD29CA7" w14:textId="77777777" w:rsidTr="00875DD0">
        <w:tc>
          <w:tcPr>
            <w:tcW w:w="9060" w:type="dxa"/>
          </w:tcPr>
          <w:p w14:paraId="28221D81" w14:textId="77777777" w:rsidR="00623AF8" w:rsidRPr="001B4DFD" w:rsidRDefault="00623AF8" w:rsidP="00875DD0">
            <w:pPr>
              <w:jc w:val="both"/>
              <w:rPr>
                <w:rFonts w:ascii="Aptos" w:hAnsi="Aptos"/>
                <w:sz w:val="22"/>
                <w:szCs w:val="22"/>
                <w:lang w:val="de-DE"/>
              </w:rPr>
            </w:pPr>
            <w:r w:rsidRPr="001B4DFD">
              <w:rPr>
                <w:rFonts w:ascii="Aptos" w:hAnsi="Aptos"/>
                <w:sz w:val="22"/>
                <w:szCs w:val="22"/>
                <w:lang w:val="de-DE"/>
              </w:rPr>
              <w:t xml:space="preserve">Der Klimawandel wird wirtschaftliche und soziale Folgen haben. Um die Klimaziele zu erreichen, werden erhebliche öffentliche Mittel benötigt. Die Finanzierung der öffentlichen Infrastruktur ist ein Garant für erschwingliche Mobilität, Investitionen in Energieeffizienzmaßnahmen und Heizsysteme auf Basis erneuerbarer Energien sowie die Beteiligung an Energiegemeinschaften sind wirksame Mittel, um die Abhängigkeit von Russland zu verringern und gleichzeitig die Widerstandsfähigkeit der Union zu stärken. Es werden zweckgebundene Mittel benötigt, um benachteiligte Haushalte, benachteiligte Unternehmen und benachteiligte Verkehrsnutzer zu unterstützen. </w:t>
            </w:r>
            <w:r w:rsidRPr="001B4DFD">
              <w:rPr>
                <w:rFonts w:ascii="Aptos" w:hAnsi="Aptos"/>
                <w:b/>
                <w:bCs/>
                <w:sz w:val="22"/>
                <w:szCs w:val="22"/>
                <w:lang w:val="de-DE"/>
              </w:rPr>
              <w:t>Wie würden Sie den Europäischen Sozialklimafonds ausgestalten, um insbesondere die Akteure der regionalen Daseinsvorsorge zu unterstützen?</w:t>
            </w:r>
          </w:p>
        </w:tc>
      </w:tr>
      <w:tr w:rsidR="00623AF8" w:rsidRPr="001B4DFD" w14:paraId="15E75AAD" w14:textId="77777777" w:rsidTr="00875DD0">
        <w:tc>
          <w:tcPr>
            <w:tcW w:w="9060" w:type="dxa"/>
            <w:shd w:val="clear" w:color="auto" w:fill="D9D9D9" w:themeFill="background1" w:themeFillShade="D9"/>
          </w:tcPr>
          <w:p w14:paraId="0DD094C1" w14:textId="77777777" w:rsidR="00623AF8" w:rsidRPr="001B4DFD" w:rsidRDefault="00623AF8" w:rsidP="00875DD0">
            <w:pPr>
              <w:rPr>
                <w:rFonts w:ascii="Aptos" w:hAnsi="Aptos"/>
                <w:b/>
                <w:bCs/>
              </w:rPr>
            </w:pPr>
            <w:r w:rsidRPr="001B4DFD">
              <w:rPr>
                <w:rFonts w:ascii="Aptos" w:hAnsi="Aptos"/>
                <w:b/>
                <w:bCs/>
              </w:rPr>
              <w:t>Nachfrage</w:t>
            </w:r>
          </w:p>
        </w:tc>
      </w:tr>
      <w:tr w:rsidR="00623AF8" w:rsidRPr="001B4DFD" w14:paraId="2A7BDD6C" w14:textId="77777777" w:rsidTr="00875DD0">
        <w:tc>
          <w:tcPr>
            <w:tcW w:w="9060" w:type="dxa"/>
          </w:tcPr>
          <w:p w14:paraId="678E58EA" w14:textId="77777777" w:rsidR="00623AF8" w:rsidRPr="001B4DFD" w:rsidRDefault="00623AF8" w:rsidP="00F63BE8">
            <w:pPr>
              <w:numPr>
                <w:ilvl w:val="0"/>
                <w:numId w:val="44"/>
              </w:numPr>
              <w:ind w:left="714" w:hanging="357"/>
              <w:rPr>
                <w:rFonts w:ascii="Aptos" w:hAnsi="Aptos"/>
                <w:bCs/>
                <w:kern w:val="2"/>
                <w:sz w:val="22"/>
                <w:szCs w:val="22"/>
                <w:lang w:val="de-DE"/>
                <w14:ligatures w14:val="standardContextual"/>
              </w:rPr>
            </w:pPr>
            <w:r w:rsidRPr="001B4DFD">
              <w:rPr>
                <w:rFonts w:ascii="Aptos" w:hAnsi="Aptos"/>
                <w:bCs/>
                <w:kern w:val="2"/>
                <w:sz w:val="22"/>
                <w:szCs w:val="22"/>
                <w:lang w:val="de-DE"/>
                <w14:ligatures w14:val="standardContextual"/>
              </w:rPr>
              <w:t>Wie kann sichergestellt werden, dass diese Mittel auch bei den kommunalen und lokalen Akteuren und Unternehmen ankommen?</w:t>
            </w:r>
          </w:p>
          <w:p w14:paraId="5AF60071" w14:textId="77777777" w:rsidR="00623AF8" w:rsidRPr="001B4DFD" w:rsidRDefault="00623AF8" w:rsidP="00F63BE8">
            <w:pPr>
              <w:numPr>
                <w:ilvl w:val="0"/>
                <w:numId w:val="44"/>
              </w:numPr>
              <w:ind w:left="714" w:hanging="357"/>
              <w:rPr>
                <w:rFonts w:ascii="Aptos" w:hAnsi="Aptos"/>
                <w:bCs/>
                <w:kern w:val="2"/>
                <w:lang w:val="de-DE"/>
                <w14:ligatures w14:val="standardContextual"/>
              </w:rPr>
            </w:pPr>
            <w:r w:rsidRPr="001B4DFD">
              <w:rPr>
                <w:rFonts w:ascii="Aptos" w:hAnsi="Aptos"/>
                <w:bCs/>
                <w:kern w:val="2"/>
                <w:sz w:val="22"/>
                <w:szCs w:val="22"/>
                <w:lang w:val="de-DE"/>
                <w14:ligatures w14:val="standardContextual"/>
              </w:rPr>
              <w:t>Welche weiteren Initiativen und EU-Programme planen Sie, um einen sozial gerechten Übergang zu einem klimaneutralen Europa zu gewährleisten?</w:t>
            </w:r>
          </w:p>
        </w:tc>
      </w:tr>
    </w:tbl>
    <w:p w14:paraId="6CEA4110" w14:textId="77777777" w:rsidR="00623AF8" w:rsidRPr="001B4DFD"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1B4DFD" w14:paraId="2B241FB0" w14:textId="77777777" w:rsidTr="00875DD0">
        <w:trPr>
          <w:trHeight w:val="277"/>
        </w:trPr>
        <w:tc>
          <w:tcPr>
            <w:tcW w:w="9066" w:type="dxa"/>
            <w:shd w:val="clear" w:color="auto" w:fill="D9D9D9"/>
          </w:tcPr>
          <w:p w14:paraId="71CEF1EE"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23E06FE4" w14:textId="77777777" w:rsidR="00623AF8" w:rsidRPr="001B4DFD" w:rsidRDefault="00623AF8" w:rsidP="00623AF8">
      <w:pPr>
        <w:spacing w:after="120"/>
        <w:jc w:val="both"/>
        <w:rPr>
          <w:rFonts w:ascii="Aptos" w:hAnsi="Aptos"/>
          <w:bCs/>
          <w:iCs/>
          <w:sz w:val="22"/>
          <w:szCs w:val="22"/>
        </w:rPr>
      </w:pPr>
      <w:r w:rsidRPr="001B4DFD">
        <w:rPr>
          <w:rFonts w:ascii="Aptos" w:hAnsi="Aptos"/>
          <w:sz w:val="22"/>
          <w:szCs w:val="22"/>
        </w:rPr>
        <w:t>Der Sozialschutz spielt eine zentrale Rolle bei der Verwirklichung mehrerer umweltpolitischer Ziele der Agenda 2030 für nachhaltige Entwicklung. Es wird davon ausgegangen, dass verschiedene Instrumente des Sozialschutzes das Potenzial haben, die Bewältigungs-, Anpassungs- und Transformationskapazitäten schutzbedürftiger Gruppen zu stärken, um die Auswirkungen des Klimawandels zu bewältigen, einen gerechten Übergang zu einer grünen Wirtschaft zu erleichtern und die Stärkung der Widerstandsfähigkeit zwischen den Generationen voranzutreiben. Ein gerechter Übergang wird nicht gerecht sein, wenn er nicht inklusiv ist. Derzeit ist einer von fünf Europäer:innen von Armut oder sozialer Ausgrenzung bedroht. "Niemanden zurückzulassen" bedeutet, bei der Energiewende besonders auf die schwächsten Gruppen zu achten. Anfällige Bürger:innen und Familien haben die geringsten Ressourcen, um sich dem Klimawandel zu stellen, sowohl in finanzieller als auch in politischer Hinsicht. Der von der Europäischen Kommission vorgeschlagene Soziale Klimafonds (Social Climate Fund, SCF) bietet die Möglichkeit, diese finanzielle und politische Lücke zu schließen. Der SCF soll im Zeitraum 2025-2032 EU-Mittel in Höhe von mehr als 72 Milliarden Euro bereitstellen, die hauptsächlich über das Emissionshandelssystem in den Bereichen Gebäude und Straßenverkehr eingesetzt werden sollen. Diese Mittel müssen jedoch zielgerichtet bei den Menschen und den Akteuren der Daseinsvorsorge ankommen, die seit Jahrzehnten den gesellschaftlichen Auftrag für ein gerechtes und ökologisches Leben in ihren jeweiligen Handlungsfeldern erfüllen. Die Daseinsvorsorge und ihre Unternehmen müssen in ihrer Aufgabe, insbesondere für sozial benachteiligte Gruppen in der Gesellschaft, besser und effektiver durch den ESF unterstützt werden. Nur so kann die sozial-ökologische Transformation gerecht und nachhaltig gestaltet werden.</w:t>
      </w:r>
    </w:p>
    <w:p w14:paraId="74314635" w14:textId="77777777" w:rsidR="00623AF8" w:rsidRPr="001B4DFD" w:rsidRDefault="00623AF8" w:rsidP="00623AF8">
      <w:pPr>
        <w:spacing w:after="160" w:line="278" w:lineRule="auto"/>
        <w:rPr>
          <w:rFonts w:ascii="Aptos" w:hAnsi="Aptos"/>
        </w:rPr>
      </w:pPr>
    </w:p>
    <w:p w14:paraId="215F4AEE" w14:textId="77777777" w:rsidR="00623AF8" w:rsidRPr="001B4DFD" w:rsidRDefault="00623AF8" w:rsidP="00623AF8">
      <w:pPr>
        <w:spacing w:after="160" w:line="278" w:lineRule="auto"/>
        <w:rPr>
          <w:rFonts w:ascii="Aptos" w:hAnsi="Aptos"/>
        </w:rPr>
      </w:pPr>
    </w:p>
    <w:p w14:paraId="5FCA40AF" w14:textId="77777777" w:rsidR="00623AF8" w:rsidRPr="001B4DFD" w:rsidRDefault="00623AF8" w:rsidP="00623AF8">
      <w:pPr>
        <w:spacing w:after="160" w:line="278" w:lineRule="auto"/>
        <w:rPr>
          <w:rFonts w:ascii="Aptos" w:hAnsi="Aptos"/>
        </w:rPr>
      </w:pPr>
    </w:p>
    <w:p w14:paraId="6D206A90" w14:textId="77777777" w:rsidR="00623AF8" w:rsidRPr="001B4DFD" w:rsidRDefault="00623AF8" w:rsidP="00623AF8">
      <w:pPr>
        <w:spacing w:after="160" w:line="278" w:lineRule="auto"/>
        <w:rPr>
          <w:rFonts w:ascii="Aptos" w:hAnsi="Aptos"/>
        </w:rPr>
      </w:pPr>
    </w:p>
    <w:p w14:paraId="0FA51339" w14:textId="77777777" w:rsidR="00623AF8" w:rsidRPr="001B4DFD" w:rsidRDefault="00623AF8" w:rsidP="00623AF8">
      <w:pPr>
        <w:spacing w:after="160" w:line="278" w:lineRule="auto"/>
        <w:rPr>
          <w:rFonts w:ascii="Aptos" w:hAnsi="Aptos"/>
        </w:rPr>
      </w:pPr>
    </w:p>
    <w:p w14:paraId="66E4C574" w14:textId="77777777" w:rsidR="00BA190B" w:rsidRDefault="00BA190B" w:rsidP="00623AF8">
      <w:pPr>
        <w:spacing w:after="120"/>
        <w:jc w:val="both"/>
        <w:outlineLvl w:val="0"/>
        <w:rPr>
          <w:rFonts w:ascii="Aptos" w:eastAsiaTheme="majorEastAsia" w:hAnsi="Aptos" w:cstheme="majorBidi"/>
          <w:b/>
          <w:color w:val="E4342D"/>
          <w:szCs w:val="32"/>
        </w:rPr>
      </w:pPr>
      <w:bookmarkStart w:id="380" w:name="_Toc167726995"/>
      <w:bookmarkStart w:id="381" w:name="_Toc170983779"/>
    </w:p>
    <w:p w14:paraId="7F395316" w14:textId="77777777" w:rsidR="00BA190B" w:rsidRDefault="00BA190B" w:rsidP="00623AF8">
      <w:pPr>
        <w:spacing w:after="120"/>
        <w:jc w:val="both"/>
        <w:outlineLvl w:val="0"/>
        <w:rPr>
          <w:rFonts w:ascii="Aptos" w:eastAsiaTheme="majorEastAsia" w:hAnsi="Aptos" w:cstheme="majorBidi"/>
          <w:b/>
          <w:color w:val="E4342D"/>
          <w:szCs w:val="32"/>
        </w:rPr>
      </w:pPr>
    </w:p>
    <w:p w14:paraId="1FA00116" w14:textId="6B7193A0" w:rsidR="00BA190B" w:rsidRPr="001B4DFD" w:rsidRDefault="00623AF8" w:rsidP="00623AF8">
      <w:pPr>
        <w:spacing w:after="120"/>
        <w:jc w:val="both"/>
        <w:outlineLvl w:val="0"/>
        <w:rPr>
          <w:rFonts w:ascii="Aptos" w:eastAsiaTheme="majorEastAsia" w:hAnsi="Aptos" w:cstheme="majorBidi"/>
          <w:b/>
          <w:color w:val="E4342D"/>
          <w:szCs w:val="32"/>
        </w:rPr>
      </w:pPr>
      <w:r w:rsidRPr="001B4DFD">
        <w:rPr>
          <w:rFonts w:ascii="Aptos" w:eastAsiaTheme="majorEastAsia" w:hAnsi="Aptos" w:cstheme="majorBidi"/>
          <w:b/>
          <w:color w:val="E4342D"/>
          <w:szCs w:val="32"/>
        </w:rPr>
        <w:t>Infrastrukturförderungen am Beginn der Wertschöpfung</w:t>
      </w:r>
      <w:bookmarkEnd w:id="380"/>
      <w:r w:rsidRPr="001B4DFD">
        <w:rPr>
          <w:rFonts w:ascii="Aptos" w:eastAsiaTheme="majorEastAsia" w:hAnsi="Aptos" w:cstheme="majorBidi"/>
          <w:b/>
          <w:color w:val="E4342D"/>
          <w:szCs w:val="32"/>
        </w:rPr>
        <w:t>skette</w:t>
      </w:r>
      <w:bookmarkEnd w:id="381"/>
    </w:p>
    <w:tbl>
      <w:tblPr>
        <w:tblStyle w:val="Tabellenraster"/>
        <w:tblW w:w="0" w:type="auto"/>
        <w:tblLook w:val="04A0" w:firstRow="1" w:lastRow="0" w:firstColumn="1" w:lastColumn="0" w:noHBand="0" w:noVBand="1"/>
      </w:tblPr>
      <w:tblGrid>
        <w:gridCol w:w="9060"/>
      </w:tblGrid>
      <w:tr w:rsidR="00623AF8" w:rsidRPr="001B4DFD" w14:paraId="24521882" w14:textId="77777777" w:rsidTr="00875DD0">
        <w:tc>
          <w:tcPr>
            <w:tcW w:w="9060" w:type="dxa"/>
            <w:shd w:val="clear" w:color="auto" w:fill="D9D9D9" w:themeFill="background1" w:themeFillShade="D9"/>
          </w:tcPr>
          <w:p w14:paraId="39F26D26" w14:textId="77777777" w:rsidR="00623AF8" w:rsidRPr="001B4DFD" w:rsidRDefault="00623AF8" w:rsidP="00875DD0">
            <w:pPr>
              <w:rPr>
                <w:rFonts w:ascii="Aptos" w:hAnsi="Aptos"/>
                <w:b/>
                <w:iCs/>
              </w:rPr>
            </w:pPr>
            <w:r w:rsidRPr="001B4DFD">
              <w:rPr>
                <w:rFonts w:ascii="Aptos" w:hAnsi="Aptos"/>
                <w:b/>
                <w:iCs/>
              </w:rPr>
              <w:t>Frage</w:t>
            </w:r>
          </w:p>
        </w:tc>
      </w:tr>
      <w:tr w:rsidR="00623AF8" w:rsidRPr="001B4DFD" w14:paraId="46ED2123" w14:textId="77777777" w:rsidTr="00875DD0">
        <w:tc>
          <w:tcPr>
            <w:tcW w:w="9060" w:type="dxa"/>
          </w:tcPr>
          <w:p w14:paraId="7C82F490" w14:textId="77777777" w:rsidR="00623AF8" w:rsidRPr="001B4DFD" w:rsidRDefault="00623AF8" w:rsidP="00875DD0">
            <w:pPr>
              <w:jc w:val="both"/>
              <w:rPr>
                <w:rFonts w:ascii="Aptos" w:hAnsi="Aptos"/>
                <w:sz w:val="22"/>
                <w:szCs w:val="22"/>
                <w:lang w:val="de-DE"/>
              </w:rPr>
            </w:pPr>
            <w:r w:rsidRPr="001B4DFD">
              <w:rPr>
                <w:rFonts w:ascii="Aptos" w:hAnsi="Aptos"/>
                <w:sz w:val="22"/>
                <w:szCs w:val="22"/>
                <w:lang w:val="de-DE"/>
              </w:rPr>
              <w:t xml:space="preserve">Die Europäische Union hat sich ehrgeizige Ziele zur Reduzierung der Nettoemissionen und zur Erreichung des Pariser Abkommens gesetzt. Um eine sozial-ökologische Transformation im europäischen Wirtschaftsraum voranzutreiben, hat die Europäische Kommission verschiedene Förderinstrumente zur Verfügung gestellt. Viele dieser Förderungen zielen jedoch auf Nischeninnovationen und End-of-Pipe-Projekte am Ende der Wertschöpfungskette ab, um mögliche Emissionseinsparungen zu realisieren. </w:t>
            </w:r>
            <w:r w:rsidRPr="001B4DFD">
              <w:rPr>
                <w:rFonts w:ascii="Aptos" w:hAnsi="Aptos"/>
                <w:b/>
                <w:bCs/>
                <w:sz w:val="22"/>
                <w:szCs w:val="22"/>
                <w:lang w:val="de-DE"/>
              </w:rPr>
              <w:t>Welche Priorität hat für Sie die Infrastrukturförderung am Anfang der Wertschöpfungskette (z.B. Netzausbau) und sind diesbezüglich neue Förderprogramme geplant?</w:t>
            </w:r>
            <w:r w:rsidRPr="001B4DFD">
              <w:rPr>
                <w:rFonts w:ascii="Aptos" w:hAnsi="Aptos"/>
                <w:sz w:val="22"/>
                <w:szCs w:val="22"/>
                <w:lang w:val="de-DE"/>
              </w:rPr>
              <w:t xml:space="preserve">  </w:t>
            </w:r>
          </w:p>
        </w:tc>
      </w:tr>
      <w:tr w:rsidR="00623AF8" w:rsidRPr="001B4DFD" w14:paraId="017D3281" w14:textId="77777777" w:rsidTr="00875DD0">
        <w:tc>
          <w:tcPr>
            <w:tcW w:w="9060" w:type="dxa"/>
            <w:shd w:val="clear" w:color="auto" w:fill="D9D9D9" w:themeFill="background1" w:themeFillShade="D9"/>
          </w:tcPr>
          <w:p w14:paraId="121D1A0D" w14:textId="77777777" w:rsidR="00623AF8" w:rsidRPr="001B4DFD" w:rsidRDefault="00623AF8" w:rsidP="00875DD0">
            <w:pPr>
              <w:rPr>
                <w:rFonts w:ascii="Aptos" w:hAnsi="Aptos"/>
                <w:b/>
                <w:bCs/>
              </w:rPr>
            </w:pPr>
            <w:r w:rsidRPr="001B4DFD">
              <w:rPr>
                <w:rFonts w:ascii="Aptos" w:hAnsi="Aptos"/>
                <w:b/>
                <w:bCs/>
              </w:rPr>
              <w:t>Nachfrage</w:t>
            </w:r>
          </w:p>
        </w:tc>
      </w:tr>
      <w:tr w:rsidR="00623AF8" w:rsidRPr="001B4DFD" w14:paraId="74318F3A" w14:textId="77777777" w:rsidTr="00875DD0">
        <w:tc>
          <w:tcPr>
            <w:tcW w:w="9060" w:type="dxa"/>
          </w:tcPr>
          <w:p w14:paraId="3B0720CE" w14:textId="77777777" w:rsidR="00623AF8" w:rsidRPr="001B4DFD" w:rsidRDefault="00623AF8" w:rsidP="00F63BE8">
            <w:pPr>
              <w:numPr>
                <w:ilvl w:val="0"/>
                <w:numId w:val="44"/>
              </w:numPr>
              <w:ind w:left="714" w:hanging="357"/>
              <w:rPr>
                <w:rFonts w:ascii="Aptos" w:hAnsi="Aptos"/>
                <w:bCs/>
                <w:kern w:val="2"/>
                <w:sz w:val="22"/>
                <w:szCs w:val="22"/>
                <w:lang w:val="de-DE"/>
                <w14:ligatures w14:val="standardContextual"/>
              </w:rPr>
            </w:pPr>
            <w:r w:rsidRPr="001B4DFD">
              <w:rPr>
                <w:rFonts w:ascii="Aptos" w:hAnsi="Aptos"/>
                <w:bCs/>
                <w:kern w:val="2"/>
                <w:sz w:val="22"/>
                <w:szCs w:val="22"/>
                <w:lang w:val="de-DE"/>
                <w14:ligatures w14:val="standardContextual"/>
              </w:rPr>
              <w:t>Wie wollen Sie sicherstellen, dass diese Mittel auch bei den kommunalen und lokalen Akteuren und Unternehmen ankommen?</w:t>
            </w:r>
          </w:p>
          <w:p w14:paraId="1B82638B" w14:textId="77777777" w:rsidR="00623AF8" w:rsidRPr="001B4DFD" w:rsidRDefault="00623AF8" w:rsidP="00F63BE8">
            <w:pPr>
              <w:numPr>
                <w:ilvl w:val="0"/>
                <w:numId w:val="44"/>
              </w:numPr>
              <w:ind w:left="714" w:hanging="357"/>
              <w:rPr>
                <w:rFonts w:ascii="Aptos" w:hAnsi="Aptos"/>
                <w:bCs/>
                <w:kern w:val="2"/>
                <w:lang w:val="de-DE"/>
                <w14:ligatures w14:val="standardContextual"/>
              </w:rPr>
            </w:pPr>
            <w:r w:rsidRPr="001B4DFD">
              <w:rPr>
                <w:rFonts w:ascii="Aptos" w:hAnsi="Aptos"/>
                <w:bCs/>
                <w:kern w:val="2"/>
                <w:sz w:val="22"/>
                <w:szCs w:val="22"/>
                <w:lang w:val="de-DE"/>
                <w14:ligatures w14:val="standardContextual"/>
              </w:rPr>
              <w:t>Planen Sie ein Weiß- oder Grünbuch zur Ausgestaltung wirksamer Finanzinstrumente für eine sozial-ökologische Transformation?</w:t>
            </w:r>
          </w:p>
        </w:tc>
      </w:tr>
    </w:tbl>
    <w:p w14:paraId="2C50AC11" w14:textId="77777777" w:rsidR="00623AF8" w:rsidRPr="001B4DFD"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1B4DFD" w14:paraId="65451A55" w14:textId="77777777" w:rsidTr="00875DD0">
        <w:trPr>
          <w:trHeight w:val="277"/>
        </w:trPr>
        <w:tc>
          <w:tcPr>
            <w:tcW w:w="9066" w:type="dxa"/>
            <w:shd w:val="clear" w:color="auto" w:fill="D9D9D9"/>
          </w:tcPr>
          <w:p w14:paraId="2DE5D5BA"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27101FF3" w14:textId="77777777" w:rsidR="00623AF8" w:rsidRPr="001B4DFD" w:rsidRDefault="00623AF8" w:rsidP="00623AF8">
      <w:pPr>
        <w:spacing w:after="120"/>
        <w:jc w:val="both"/>
        <w:rPr>
          <w:rFonts w:ascii="Aptos" w:hAnsi="Aptos"/>
          <w:bCs/>
          <w:iCs/>
          <w:sz w:val="22"/>
          <w:szCs w:val="22"/>
        </w:rPr>
        <w:sectPr w:rsidR="00623AF8" w:rsidRPr="001B4DFD" w:rsidSect="00581C0E">
          <w:headerReference w:type="even" r:id="rId91"/>
          <w:headerReference w:type="default" r:id="rId92"/>
          <w:footerReference w:type="even" r:id="rId93"/>
          <w:headerReference w:type="first" r:id="rId94"/>
          <w:footerReference w:type="first" r:id="rId95"/>
          <w:pgSz w:w="11906" w:h="16838"/>
          <w:pgMar w:top="1418" w:right="1418" w:bottom="1134" w:left="1418" w:header="708" w:footer="510" w:gutter="0"/>
          <w:cols w:space="708"/>
          <w:docGrid w:linePitch="360"/>
        </w:sectPr>
      </w:pPr>
      <w:r w:rsidRPr="001B4DFD">
        <w:rPr>
          <w:rFonts w:ascii="Aptos" w:hAnsi="Aptos"/>
          <w:sz w:val="22"/>
          <w:szCs w:val="22"/>
          <w:lang w:val="de-DE"/>
        </w:rPr>
        <w:t>Um eine sozial-ökologische Transformation im europäischen Wirtschaftsraum voranzutreiben, hat die Europäische Kommission verschiedene Förderinstrumente zur Verfügung gestellt. Viele dieser Förderungen zielen jedoch auf Nischeninnovationen und End-of-Pipe-Projekte am Ende der Wertschöpfungskette ab, um mögliche Emissionseinsparungen zu realisieren. Diese überwiegende Fokussierung auf Emissionseinsparungen bei Akteuren und Projekten am Ende der Wertschöpfungskette kann die Klimaziele nicht effizient und effektiv erreichen. Grundvoraussetzung für die Etablierung nachhaltiger Industrien und Wirtschaftszweige in der Union sind Investitionen in die Infrastruktur. So ist beispielsweise der Ausbau der digitalen Infrastruktur (z.B. Breitband) oder der Schieneninfrastruktur ein wesentlicher Eckpfeiler. In diesem Zusammenhang ist es wichtig, dass die Förderung effektiv am Anfang der Wertschöpfungskette ansetzt.</w:t>
      </w:r>
    </w:p>
    <w:p w14:paraId="30A6646D" w14:textId="77777777" w:rsidR="00623AF8" w:rsidRPr="001B4DFD" w:rsidRDefault="00623AF8" w:rsidP="00623AF8">
      <w:pPr>
        <w:jc w:val="both"/>
        <w:rPr>
          <w:rFonts w:ascii="Aptos" w:hAnsi="Aptos"/>
          <w:sz w:val="22"/>
          <w:szCs w:val="22"/>
        </w:rPr>
      </w:pPr>
    </w:p>
    <w:p w14:paraId="7A677772" w14:textId="77777777" w:rsidR="00623AF8" w:rsidRPr="001B4DFD" w:rsidRDefault="00623AF8" w:rsidP="00623AF8">
      <w:pPr>
        <w:jc w:val="both"/>
        <w:rPr>
          <w:rFonts w:ascii="Aptos" w:hAnsi="Aptos"/>
          <w:sz w:val="22"/>
          <w:szCs w:val="22"/>
        </w:rPr>
      </w:pPr>
    </w:p>
    <w:p w14:paraId="6E5E460D" w14:textId="77777777" w:rsidR="00623AF8" w:rsidRPr="001B4DFD" w:rsidRDefault="00623AF8" w:rsidP="00623AF8">
      <w:pPr>
        <w:jc w:val="both"/>
        <w:rPr>
          <w:rFonts w:ascii="Aptos" w:hAnsi="Aptos"/>
          <w:sz w:val="22"/>
          <w:szCs w:val="22"/>
        </w:rPr>
      </w:pPr>
    </w:p>
    <w:p w14:paraId="31B24175" w14:textId="77777777" w:rsidR="00623AF8" w:rsidRDefault="00623AF8" w:rsidP="00623AF8">
      <w:pPr>
        <w:spacing w:after="120"/>
        <w:jc w:val="both"/>
        <w:outlineLvl w:val="0"/>
        <w:rPr>
          <w:rFonts w:ascii="Aptos" w:eastAsiaTheme="majorEastAsia" w:hAnsi="Aptos" w:cstheme="majorBidi"/>
          <w:b/>
          <w:color w:val="E4342D"/>
          <w:szCs w:val="32"/>
        </w:rPr>
      </w:pPr>
      <w:bookmarkStart w:id="382" w:name="_Toc167726996"/>
    </w:p>
    <w:p w14:paraId="1E85EC2A"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83" w:name="_Toc170983780"/>
      <w:r w:rsidRPr="001B4DFD">
        <w:rPr>
          <w:rFonts w:ascii="Aptos" w:eastAsiaTheme="majorEastAsia" w:hAnsi="Aptos" w:cstheme="majorBidi"/>
          <w:b/>
          <w:color w:val="E4342D"/>
          <w:szCs w:val="32"/>
        </w:rPr>
        <w:t>Bedeutung der EIB</w:t>
      </w:r>
      <w:bookmarkEnd w:id="382"/>
      <w:r w:rsidRPr="001B4DFD">
        <w:rPr>
          <w:rFonts w:ascii="Aptos" w:eastAsiaTheme="majorEastAsia" w:hAnsi="Aptos" w:cstheme="majorBidi"/>
          <w:b/>
          <w:color w:val="E4342D"/>
          <w:szCs w:val="32"/>
        </w:rPr>
        <w:t xml:space="preserve"> für klimaschützende Infrastrukturinvestitionen</w:t>
      </w:r>
      <w:bookmarkEnd w:id="383"/>
    </w:p>
    <w:tbl>
      <w:tblPr>
        <w:tblStyle w:val="Tabellenraster"/>
        <w:tblW w:w="0" w:type="auto"/>
        <w:tblLook w:val="04A0" w:firstRow="1" w:lastRow="0" w:firstColumn="1" w:lastColumn="0" w:noHBand="0" w:noVBand="1"/>
      </w:tblPr>
      <w:tblGrid>
        <w:gridCol w:w="9060"/>
      </w:tblGrid>
      <w:tr w:rsidR="00623AF8" w:rsidRPr="001B4DFD" w14:paraId="2ECC1CF6" w14:textId="77777777" w:rsidTr="00875DD0">
        <w:tc>
          <w:tcPr>
            <w:tcW w:w="9060" w:type="dxa"/>
            <w:shd w:val="clear" w:color="auto" w:fill="D9D9D9" w:themeFill="background1" w:themeFillShade="D9"/>
          </w:tcPr>
          <w:p w14:paraId="12C1C5C0" w14:textId="77777777" w:rsidR="00623AF8" w:rsidRPr="001B4DFD" w:rsidRDefault="00623AF8" w:rsidP="00875DD0">
            <w:pPr>
              <w:rPr>
                <w:rFonts w:ascii="Aptos" w:hAnsi="Aptos"/>
                <w:b/>
                <w:iCs/>
              </w:rPr>
            </w:pPr>
            <w:r w:rsidRPr="001B4DFD">
              <w:rPr>
                <w:rFonts w:ascii="Aptos" w:hAnsi="Aptos"/>
                <w:b/>
                <w:iCs/>
              </w:rPr>
              <w:t>Frage</w:t>
            </w:r>
          </w:p>
        </w:tc>
      </w:tr>
      <w:tr w:rsidR="00623AF8" w:rsidRPr="001B4DFD" w14:paraId="2B9ECF15" w14:textId="77777777" w:rsidTr="00875DD0">
        <w:tc>
          <w:tcPr>
            <w:tcW w:w="9060" w:type="dxa"/>
          </w:tcPr>
          <w:p w14:paraId="677FC469" w14:textId="77777777" w:rsidR="00623AF8" w:rsidRPr="001B4DFD" w:rsidRDefault="00623AF8" w:rsidP="00875DD0">
            <w:pPr>
              <w:jc w:val="both"/>
              <w:rPr>
                <w:rFonts w:ascii="Aptos" w:hAnsi="Aptos"/>
                <w:sz w:val="22"/>
                <w:szCs w:val="22"/>
                <w:lang w:val="de-DE"/>
              </w:rPr>
            </w:pPr>
            <w:r w:rsidRPr="001B4DFD">
              <w:rPr>
                <w:rFonts w:ascii="Aptos" w:hAnsi="Aptos"/>
                <w:sz w:val="22"/>
                <w:szCs w:val="22"/>
                <w:lang w:val="de-DE"/>
              </w:rPr>
              <w:t xml:space="preserve">Die Europäische Investitionsbank ist die Förder- und Investitionsbank der EU-Mitgliedstaaten. Sie ist die größte multilaterale Finanzierungsinstitution der Welt und der wichtigste Geldgeber für den Klimaschutz innerhalb und außerhalb des europäischen Binnenmarktes. Mit dem European Green Deal soll die europäische Wirtschaft nachhaltig und fair gestaltet werden. Um dieses Ziel effektiv, schnell und sozial gerecht zu erreichen, werden enorme finanzielle Mittel in Form von Zuschüssen und Darlehen benötigt, die nur unionsweit gebündelt und verteilt werden können. </w:t>
            </w:r>
            <w:r w:rsidRPr="001B4DFD">
              <w:rPr>
                <w:rFonts w:ascii="Aptos" w:hAnsi="Aptos"/>
                <w:b/>
                <w:bCs/>
                <w:sz w:val="22"/>
                <w:szCs w:val="22"/>
                <w:lang w:val="de-DE"/>
              </w:rPr>
              <w:t xml:space="preserve">Welche Bedeutung hat die EIB für klimaschützende Infrastrukturinvestitionen in Europa und mit welchen Maßnahmen wollen Sie den Handlungsspielraum der EIB in diesem Bereich stärken?  </w:t>
            </w:r>
          </w:p>
        </w:tc>
      </w:tr>
      <w:tr w:rsidR="00623AF8" w:rsidRPr="001B4DFD" w14:paraId="3A58504D" w14:textId="77777777" w:rsidTr="00875DD0">
        <w:tc>
          <w:tcPr>
            <w:tcW w:w="9060" w:type="dxa"/>
            <w:shd w:val="clear" w:color="auto" w:fill="D9D9D9" w:themeFill="background1" w:themeFillShade="D9"/>
          </w:tcPr>
          <w:p w14:paraId="067B116E" w14:textId="77777777" w:rsidR="00623AF8" w:rsidRPr="001B4DFD" w:rsidRDefault="00623AF8" w:rsidP="00875DD0">
            <w:pPr>
              <w:rPr>
                <w:rFonts w:ascii="Aptos" w:hAnsi="Aptos"/>
                <w:b/>
                <w:bCs/>
              </w:rPr>
            </w:pPr>
            <w:r w:rsidRPr="001B4DFD">
              <w:rPr>
                <w:rFonts w:ascii="Aptos" w:hAnsi="Aptos"/>
                <w:b/>
                <w:bCs/>
              </w:rPr>
              <w:t>Nachfrage</w:t>
            </w:r>
          </w:p>
        </w:tc>
      </w:tr>
      <w:tr w:rsidR="00623AF8" w:rsidRPr="001B4DFD" w14:paraId="5C23C8F0" w14:textId="77777777" w:rsidTr="00875DD0">
        <w:tc>
          <w:tcPr>
            <w:tcW w:w="9060" w:type="dxa"/>
          </w:tcPr>
          <w:p w14:paraId="690D5B4F" w14:textId="77777777" w:rsidR="00623AF8" w:rsidRPr="001B4DFD" w:rsidRDefault="00623AF8" w:rsidP="00F63BE8">
            <w:pPr>
              <w:numPr>
                <w:ilvl w:val="0"/>
                <w:numId w:val="44"/>
              </w:numPr>
              <w:ind w:left="714" w:hanging="357"/>
              <w:rPr>
                <w:rFonts w:ascii="Aptos" w:hAnsi="Aptos"/>
                <w:bCs/>
                <w:kern w:val="2"/>
                <w:sz w:val="22"/>
                <w:szCs w:val="22"/>
                <w:lang w:val="de-DE"/>
                <w14:ligatures w14:val="standardContextual"/>
              </w:rPr>
            </w:pPr>
            <w:r w:rsidRPr="001B4DFD">
              <w:rPr>
                <w:rFonts w:ascii="Aptos" w:hAnsi="Aptos"/>
                <w:bCs/>
                <w:kern w:val="2"/>
                <w:sz w:val="22"/>
                <w:szCs w:val="22"/>
                <w:lang w:val="de-DE"/>
                <w14:ligatures w14:val="standardContextual"/>
              </w:rPr>
              <w:t>Welche weiteren Initiativen und EU-Programme planen Sie, um einen sozial gerechten Übergang zu einem klimaneutralen Europa zu gewährleisten?</w:t>
            </w:r>
          </w:p>
          <w:p w14:paraId="4074CE86" w14:textId="77777777" w:rsidR="00623AF8" w:rsidRPr="001B4DFD" w:rsidRDefault="00623AF8" w:rsidP="00F63BE8">
            <w:pPr>
              <w:numPr>
                <w:ilvl w:val="0"/>
                <w:numId w:val="44"/>
              </w:numPr>
              <w:ind w:left="714" w:hanging="357"/>
              <w:rPr>
                <w:rFonts w:ascii="Aptos" w:hAnsi="Aptos"/>
                <w:bCs/>
                <w:kern w:val="2"/>
                <w:lang w:val="de-DE"/>
                <w14:ligatures w14:val="standardContextual"/>
              </w:rPr>
            </w:pPr>
            <w:r w:rsidRPr="001B4DFD">
              <w:rPr>
                <w:rFonts w:ascii="Aptos" w:hAnsi="Aptos"/>
                <w:bCs/>
                <w:kern w:val="2"/>
                <w:sz w:val="22"/>
                <w:szCs w:val="22"/>
                <w:lang w:val="de-DE"/>
                <w14:ligatures w14:val="standardContextual"/>
              </w:rPr>
              <w:t>Beabsichtigen Sie, das Kapital der EIB zu erhöhen, um ihre Rolle zu stärken und sie widerstandsfähiger gegen Finanzmarktkrisen zu machen?</w:t>
            </w:r>
          </w:p>
        </w:tc>
      </w:tr>
    </w:tbl>
    <w:p w14:paraId="63E08C5B" w14:textId="77777777" w:rsidR="00623AF8" w:rsidRPr="001B4DFD"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1B4DFD" w14:paraId="0C9D762A" w14:textId="77777777" w:rsidTr="00875DD0">
        <w:trPr>
          <w:trHeight w:val="277"/>
        </w:trPr>
        <w:tc>
          <w:tcPr>
            <w:tcW w:w="9066" w:type="dxa"/>
            <w:shd w:val="clear" w:color="auto" w:fill="D9D9D9"/>
          </w:tcPr>
          <w:p w14:paraId="387571D9"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0FCAE50E" w14:textId="77777777" w:rsidR="00623AF8" w:rsidRPr="001B4DFD" w:rsidRDefault="00623AF8" w:rsidP="00623AF8">
      <w:pPr>
        <w:jc w:val="both"/>
        <w:rPr>
          <w:rFonts w:ascii="Aptos" w:hAnsi="Aptos"/>
        </w:rPr>
        <w:sectPr w:rsidR="00623AF8" w:rsidRPr="001B4DFD" w:rsidSect="00581C0E">
          <w:headerReference w:type="even" r:id="rId96"/>
          <w:headerReference w:type="default" r:id="rId97"/>
          <w:footerReference w:type="even" r:id="rId98"/>
          <w:headerReference w:type="first" r:id="rId99"/>
          <w:footerReference w:type="first" r:id="rId100"/>
          <w:pgSz w:w="11906" w:h="16838"/>
          <w:pgMar w:top="1418" w:right="1418" w:bottom="1134" w:left="1418" w:header="708" w:footer="510" w:gutter="0"/>
          <w:cols w:space="708"/>
          <w:docGrid w:linePitch="360"/>
        </w:sectPr>
      </w:pPr>
      <w:r w:rsidRPr="001B4DFD">
        <w:rPr>
          <w:rFonts w:ascii="Aptos" w:hAnsi="Aptos"/>
          <w:sz w:val="22"/>
          <w:szCs w:val="22"/>
        </w:rPr>
        <w:t>Anteilseigner der Europäischen Investitionsbank sind die 27 Mitgliedstaaten der Europäischen Union. Die EU-Mitgliedstaaten sind uneingeschränkt und ohne geografische oder sektorale Quoten für Finanzierungen der Bank förderfähig. Die EIB ist somit die (Klima-)Bank der Europäischen Union und stellt in dieser Funktion Mittel und Know-how für wirtschaftlich, technisch, finanziell und ökologisch tragfähige Investitionsvorhaben in Europa und darüber hinaus bereit, die zu den politischen Zielen und Prioritäten der EU beitragen. Bei der Verfolgung ihrer Ziele ist die EIB finanziell unabhängig und beschafft sich den größten Teil ihrer Darlehensmittel auf den internationalen Kapitalmärkten durch die Emission von Anleihen. Die Pandemie, die Energiekrise und der Angriffskrieg Russlands haben das Vertrauen der Wirtschaftsakteure im Binnenmarkt erschüttert und Investitionen in den sozial-ökologischen Umbau erschwert. Daher ist es nur vernünftig, vermehrt unionsweite Ressourcen zu bündeln und unabhängig von politischen Skandalen und Stimmungslagen europäische Projekte für die Bürger:innen für eine klimaneutrale Europäische Union zur Verfügung zu stellen. Dazu gehört auch, den Handlungsspielraum der Europäischen Investitionsbank zu erweitern, damit sie resilient im Falle einer zukünftigen Finanzkrise wird und mehr Anschubfinanzierungen für klimafreundliche Infrastrukturinvestitionen leisten kann.</w:t>
      </w:r>
    </w:p>
    <w:p w14:paraId="75C1FB9C" w14:textId="77777777" w:rsidR="00623AF8" w:rsidRPr="001B4DFD" w:rsidRDefault="00623AF8" w:rsidP="00623AF8">
      <w:pPr>
        <w:rPr>
          <w:rFonts w:ascii="Aptos" w:hAnsi="Aptos"/>
          <w:bCs/>
          <w:sz w:val="22"/>
          <w:szCs w:val="22"/>
        </w:rPr>
      </w:pPr>
    </w:p>
    <w:p w14:paraId="2DDE9259" w14:textId="77777777" w:rsidR="00623AF8" w:rsidRPr="001B4DFD" w:rsidRDefault="00623AF8" w:rsidP="00623AF8">
      <w:pPr>
        <w:rPr>
          <w:rFonts w:ascii="Aptos" w:hAnsi="Aptos"/>
          <w:bCs/>
          <w:sz w:val="22"/>
          <w:szCs w:val="22"/>
        </w:rPr>
      </w:pPr>
    </w:p>
    <w:p w14:paraId="4EA131C7" w14:textId="77777777" w:rsidR="00623AF8" w:rsidRPr="001B4DFD" w:rsidRDefault="00623AF8" w:rsidP="00623AF8">
      <w:pPr>
        <w:spacing w:after="120"/>
        <w:jc w:val="both"/>
        <w:outlineLvl w:val="0"/>
        <w:rPr>
          <w:rFonts w:ascii="Aptos" w:eastAsiaTheme="majorEastAsia" w:hAnsi="Aptos" w:cstheme="majorBidi"/>
          <w:b/>
          <w:sz w:val="40"/>
          <w:szCs w:val="48"/>
        </w:rPr>
      </w:pPr>
      <w:bookmarkStart w:id="384" w:name="_Toc167726997"/>
      <w:bookmarkStart w:id="385" w:name="_Toc170983781"/>
      <w:r w:rsidRPr="001B4DFD">
        <w:rPr>
          <w:rFonts w:ascii="Aptos" w:eastAsiaTheme="majorEastAsia" w:hAnsi="Aptos" w:cstheme="majorBidi"/>
          <w:b/>
          <w:sz w:val="40"/>
          <w:szCs w:val="48"/>
        </w:rPr>
        <w:t>Teilbereich III – Digitalpolitik</w:t>
      </w:r>
      <w:bookmarkEnd w:id="384"/>
      <w:bookmarkEnd w:id="385"/>
    </w:p>
    <w:p w14:paraId="18FF8A25" w14:textId="77777777" w:rsidR="00623AF8" w:rsidRPr="001B4DFD" w:rsidRDefault="00623AF8" w:rsidP="00623AF8">
      <w:pPr>
        <w:rPr>
          <w:rFonts w:ascii="Aptos" w:hAnsi="Aptos"/>
        </w:rPr>
      </w:pPr>
    </w:p>
    <w:p w14:paraId="1E6361AB"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86" w:name="_Toc164937465"/>
      <w:bookmarkStart w:id="387" w:name="_Toc167726998"/>
      <w:bookmarkStart w:id="388" w:name="_Toc170983782"/>
      <w:r w:rsidRPr="001B4DFD">
        <w:rPr>
          <w:rFonts w:ascii="Aptos" w:eastAsiaTheme="majorEastAsia" w:hAnsi="Aptos" w:cstheme="majorBidi"/>
          <w:b/>
          <w:color w:val="E4342D"/>
          <w:szCs w:val="32"/>
        </w:rPr>
        <w:t>Marktverzerrungen durch Rezensionen in der Plattformökonomie</w:t>
      </w:r>
      <w:bookmarkEnd w:id="386"/>
      <w:bookmarkEnd w:id="387"/>
      <w:bookmarkEnd w:id="388"/>
    </w:p>
    <w:p w14:paraId="65A6A7BF" w14:textId="77777777" w:rsidR="00623AF8" w:rsidRPr="001B4DFD" w:rsidRDefault="00623AF8" w:rsidP="00623AF8">
      <w:pPr>
        <w:rPr>
          <w:rFonts w:ascii="Aptos" w:hAnsi="Aptos"/>
        </w:rPr>
      </w:pPr>
    </w:p>
    <w:tbl>
      <w:tblPr>
        <w:tblStyle w:val="Tabellenraster"/>
        <w:tblW w:w="0" w:type="auto"/>
        <w:tblLook w:val="04A0" w:firstRow="1" w:lastRow="0" w:firstColumn="1" w:lastColumn="0" w:noHBand="0" w:noVBand="1"/>
      </w:tblPr>
      <w:tblGrid>
        <w:gridCol w:w="9060"/>
      </w:tblGrid>
      <w:tr w:rsidR="00623AF8" w:rsidRPr="001B4DFD" w14:paraId="1881DA38" w14:textId="77777777" w:rsidTr="00875DD0">
        <w:tc>
          <w:tcPr>
            <w:tcW w:w="9060" w:type="dxa"/>
            <w:shd w:val="clear" w:color="auto" w:fill="D9D9D9" w:themeFill="background1" w:themeFillShade="D9"/>
          </w:tcPr>
          <w:p w14:paraId="457E474B"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5941DFA0" w14:textId="77777777" w:rsidTr="00875DD0">
        <w:tc>
          <w:tcPr>
            <w:tcW w:w="9060" w:type="dxa"/>
          </w:tcPr>
          <w:p w14:paraId="489D653E" w14:textId="77777777" w:rsidR="00623AF8" w:rsidRPr="001B4DFD" w:rsidRDefault="00623AF8" w:rsidP="00875DD0">
            <w:pPr>
              <w:spacing w:before="120" w:after="120"/>
              <w:jc w:val="both"/>
              <w:rPr>
                <w:rFonts w:ascii="Aptos" w:hAnsi="Aptos"/>
                <w:sz w:val="22"/>
                <w:szCs w:val="22"/>
              </w:rPr>
            </w:pPr>
            <w:r w:rsidRPr="001B4DFD">
              <w:rPr>
                <w:rFonts w:ascii="Aptos" w:hAnsi="Aptos"/>
                <w:sz w:val="22"/>
                <w:szCs w:val="22"/>
              </w:rPr>
              <w:t xml:space="preserve">Viele Kund:innen in der EU treffen ihre Kaufentscheidungen basierend auf sogenannten Produkt- und Unternehmensratings (bspw. Rezensionen bei Amazon, Google).  Selbst im Bereich der Daseinsvorsorge und des öffentlichen Raums werden diese Plattformen zur Entscheidungsfindung herangezogen (bspw. Google Maps). Durch Manipulation und fehlende einheitliche Regeln kann es zu Marktverzerrungen kommen. </w:t>
            </w:r>
            <w:r w:rsidRPr="001B4DFD">
              <w:rPr>
                <w:rFonts w:ascii="Aptos" w:hAnsi="Aptos"/>
                <w:b/>
                <w:bCs/>
                <w:sz w:val="22"/>
                <w:szCs w:val="22"/>
              </w:rPr>
              <w:t>Welche Initiativen planen Sie, dass Rezensionen auf digitalen Plattformen nicht zu Marktverzerrungen oder Manipulationen führen?</w:t>
            </w:r>
          </w:p>
        </w:tc>
      </w:tr>
      <w:tr w:rsidR="00623AF8" w:rsidRPr="001B4DFD" w14:paraId="0A1C66EB" w14:textId="77777777" w:rsidTr="00875DD0">
        <w:tc>
          <w:tcPr>
            <w:tcW w:w="9060" w:type="dxa"/>
            <w:shd w:val="clear" w:color="auto" w:fill="D9D9D9" w:themeFill="background1" w:themeFillShade="D9"/>
          </w:tcPr>
          <w:p w14:paraId="4F2CF0BD"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1A1F2C2E" w14:textId="77777777" w:rsidTr="00875DD0">
        <w:tc>
          <w:tcPr>
            <w:tcW w:w="9060" w:type="dxa"/>
          </w:tcPr>
          <w:p w14:paraId="7EA4FA31" w14:textId="77777777" w:rsidR="00623AF8" w:rsidRPr="001B4DFD" w:rsidRDefault="00623AF8" w:rsidP="00F63BE8">
            <w:pPr>
              <w:numPr>
                <w:ilvl w:val="0"/>
                <w:numId w:val="10"/>
              </w:numPr>
              <w:spacing w:before="120" w:after="120"/>
              <w:contextualSpacing/>
              <w:jc w:val="both"/>
              <w:rPr>
                <w:rFonts w:ascii="Aptos" w:hAnsi="Aptos"/>
                <w:sz w:val="22"/>
                <w:szCs w:val="22"/>
              </w:rPr>
            </w:pPr>
            <w:r w:rsidRPr="001B4DFD">
              <w:rPr>
                <w:rFonts w:ascii="Aptos" w:hAnsi="Aptos"/>
                <w:sz w:val="22"/>
                <w:szCs w:val="22"/>
              </w:rPr>
              <w:t>Planen Sie ein Weißbuch oder ein Grünbuch zur Diskriminierung europäischer Marken und Unternehmen im Binnenmarkt?</w:t>
            </w:r>
          </w:p>
        </w:tc>
      </w:tr>
    </w:tbl>
    <w:p w14:paraId="38EE9649"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3C11EB80" w14:textId="77777777" w:rsidTr="00875DD0">
        <w:trPr>
          <w:trHeight w:val="277"/>
        </w:trPr>
        <w:tc>
          <w:tcPr>
            <w:tcW w:w="9066" w:type="dxa"/>
            <w:shd w:val="clear" w:color="auto" w:fill="D9D9D9"/>
          </w:tcPr>
          <w:p w14:paraId="3408437D"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16846638" w14:textId="77777777" w:rsidR="00623AF8" w:rsidRPr="001B4DFD" w:rsidRDefault="00623AF8" w:rsidP="00623AF8">
      <w:pPr>
        <w:jc w:val="both"/>
        <w:rPr>
          <w:rFonts w:ascii="Aptos" w:hAnsi="Aptos"/>
          <w:sz w:val="22"/>
          <w:szCs w:val="22"/>
        </w:rPr>
      </w:pPr>
      <w:r w:rsidRPr="001B4DFD">
        <w:rPr>
          <w:rFonts w:ascii="Aptos" w:hAnsi="Aptos"/>
          <w:sz w:val="22"/>
          <w:szCs w:val="22"/>
        </w:rPr>
        <w:t>Online-Bewertungen sind für viele Menschen zu einem wichtigen Entscheidungsfaktor beim Einkaufen geworden und haben einen hohen Stellenwert sowohl für Kund:innen, als auch für Unternehmen und öffentliche Dienstleister. Online-Rezensionen stellen für viele Kund:innen eine Möglichkeit dar, die Professionalität und die Arbeitsweise des Unternehmens für alle sichtbar zu machen. Auf der Unternehmerseite können gute Kundenbewertungen die Umsätze von erhöhen und schlechte Bewertungen einbremsen. Auf beiden Seiten besteht jedoch die Gefahr von Manipulationen und damit verbundenen Wettbewerbsverzerrungen. Privatpersonen können, zum Teil anonym, Produkte oder Dienstleistungen bewerten und damit (mutwillig) Unternehmen und öffentliche Dienstleister, sowie auch Standorten (z.B. Google Maps) schaden. Auf der anderen Seite können auch Hersteller, Händler und Portale bei Bewertungen auf verschiedene Weise mitmischen. Die Verbraucherzentrale warnt daher vor ernsthaften Wettbewerbsverzerrungen durch manipulierte Bewertungen. Die Richtlinie (EU) 2019/2161 („Modernisierungs-Richtlinie) widmete sich der voranschreitenden Digitalisierung und daraus resultierenden digitalen Herausforderungen, welche Anpassungen im Rechtsbestand der EU erforderten. Mittels der Richtlinie wurden zwar die Verbraucherschutzvorschriften innerhalb der Union modernisiert und neue gesetzliche Transparenzverpflichtungen eingeführt, eine Untersuchung des Verbraucherzentrale Bundesverbands (vzbv) im Frühjahr 2023 offenbarte aber große Mängel bei der Umsetzung dieser Verpflichtungen. Außerdem gibt es keine europäischen Regelungen, die Unternehmen und öffentliche Dienstleister vor Wettbewerbsverzerrungen durch manipulierte Bewertungen schützen. Eine europäische Lösung würde zu mehr Rechtssicherheit führen und gewährleisten, dass sowohl private Unternehmen als auch öffentlicher Dienstleister vor falschen negativen Bewertungen, die sich geschäftsschädigend auswirken, ungefährdet bleiben.</w:t>
      </w:r>
    </w:p>
    <w:p w14:paraId="70522837" w14:textId="77777777" w:rsidR="00623AF8" w:rsidRPr="001B4DFD" w:rsidRDefault="00623AF8" w:rsidP="00623AF8">
      <w:pPr>
        <w:rPr>
          <w:rFonts w:ascii="Aptos" w:hAnsi="Aptos"/>
          <w:sz w:val="22"/>
          <w:szCs w:val="22"/>
        </w:rPr>
      </w:pPr>
    </w:p>
    <w:p w14:paraId="1ADDB6D3" w14:textId="77777777" w:rsidR="00623AF8" w:rsidRPr="001B4DFD" w:rsidRDefault="00623AF8" w:rsidP="00623AF8">
      <w:pPr>
        <w:rPr>
          <w:rFonts w:ascii="Aptos" w:hAnsi="Aptos"/>
          <w:sz w:val="22"/>
          <w:szCs w:val="22"/>
        </w:rPr>
      </w:pPr>
    </w:p>
    <w:p w14:paraId="46BB8568" w14:textId="77777777" w:rsidR="00623AF8" w:rsidRPr="001B4DFD" w:rsidRDefault="00623AF8" w:rsidP="00623AF8">
      <w:pPr>
        <w:rPr>
          <w:rFonts w:ascii="Aptos" w:hAnsi="Aptos"/>
          <w:sz w:val="22"/>
          <w:szCs w:val="22"/>
        </w:rPr>
      </w:pPr>
    </w:p>
    <w:p w14:paraId="22F9CEEF" w14:textId="77777777" w:rsidR="00623AF8" w:rsidRPr="001B4DFD" w:rsidRDefault="00623AF8" w:rsidP="00623AF8">
      <w:pPr>
        <w:rPr>
          <w:rFonts w:ascii="Aptos" w:hAnsi="Aptos"/>
        </w:rPr>
      </w:pPr>
    </w:p>
    <w:p w14:paraId="64846CBB" w14:textId="77777777" w:rsidR="00623AF8" w:rsidRPr="001B4DFD" w:rsidRDefault="00623AF8" w:rsidP="00623AF8">
      <w:pPr>
        <w:rPr>
          <w:rFonts w:ascii="Aptos" w:hAnsi="Aptos"/>
        </w:rPr>
      </w:pPr>
    </w:p>
    <w:p w14:paraId="474C2DD5" w14:textId="77777777" w:rsidR="00623AF8" w:rsidRDefault="00623AF8" w:rsidP="00623AF8">
      <w:pPr>
        <w:spacing w:after="120"/>
        <w:jc w:val="both"/>
        <w:outlineLvl w:val="0"/>
        <w:rPr>
          <w:rFonts w:ascii="Aptos" w:eastAsiaTheme="majorEastAsia" w:hAnsi="Aptos" w:cstheme="majorBidi"/>
          <w:b/>
          <w:color w:val="E4342D"/>
          <w:szCs w:val="32"/>
        </w:rPr>
      </w:pPr>
      <w:bookmarkStart w:id="389" w:name="_Toc164937466"/>
      <w:bookmarkStart w:id="390" w:name="_Toc167726999"/>
    </w:p>
    <w:p w14:paraId="50870D6F" w14:textId="77777777" w:rsidR="00623AF8" w:rsidRDefault="00623AF8" w:rsidP="00623AF8">
      <w:pPr>
        <w:spacing w:after="120"/>
        <w:jc w:val="both"/>
        <w:outlineLvl w:val="0"/>
        <w:rPr>
          <w:rFonts w:ascii="Aptos" w:eastAsiaTheme="majorEastAsia" w:hAnsi="Aptos" w:cstheme="majorBidi"/>
          <w:b/>
          <w:color w:val="E4342D"/>
          <w:szCs w:val="32"/>
        </w:rPr>
      </w:pPr>
    </w:p>
    <w:p w14:paraId="681B38FC"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91" w:name="_Toc170983783"/>
      <w:r w:rsidRPr="001B4DFD">
        <w:rPr>
          <w:rFonts w:ascii="Aptos" w:eastAsiaTheme="majorEastAsia" w:hAnsi="Aptos" w:cstheme="majorBidi"/>
          <w:b/>
          <w:color w:val="E4342D"/>
          <w:szCs w:val="32"/>
        </w:rPr>
        <w:t>Fiskalische Instrumente für Digitalkonzernen am europäischen Binnenmarkt</w:t>
      </w:r>
      <w:bookmarkEnd w:id="389"/>
      <w:bookmarkEnd w:id="390"/>
      <w:bookmarkEnd w:id="391"/>
    </w:p>
    <w:p w14:paraId="7765F755" w14:textId="77777777" w:rsidR="00623AF8" w:rsidRPr="001B4DFD"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1B4DFD" w14:paraId="12100FC4" w14:textId="77777777" w:rsidTr="00875DD0">
        <w:tc>
          <w:tcPr>
            <w:tcW w:w="9060" w:type="dxa"/>
            <w:shd w:val="clear" w:color="auto" w:fill="D9D9D9" w:themeFill="background1" w:themeFillShade="D9"/>
          </w:tcPr>
          <w:p w14:paraId="1DCE6547"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7282591D" w14:textId="77777777" w:rsidTr="00875DD0">
        <w:tc>
          <w:tcPr>
            <w:tcW w:w="9060" w:type="dxa"/>
          </w:tcPr>
          <w:p w14:paraId="0D3983CF" w14:textId="77777777" w:rsidR="00623AF8" w:rsidRPr="001B4DFD" w:rsidRDefault="00623AF8" w:rsidP="00875DD0">
            <w:pPr>
              <w:spacing w:before="120" w:after="120"/>
              <w:jc w:val="both"/>
              <w:rPr>
                <w:rFonts w:ascii="Aptos" w:hAnsi="Aptos"/>
                <w:sz w:val="22"/>
                <w:szCs w:val="22"/>
              </w:rPr>
            </w:pPr>
            <w:r w:rsidRPr="001B4DFD">
              <w:rPr>
                <w:rFonts w:ascii="Aptos" w:hAnsi="Aptos"/>
                <w:sz w:val="22"/>
                <w:szCs w:val="22"/>
              </w:rPr>
              <w:t xml:space="preserve">Während europäische Konzerne im Binnenmarkt in der Regel standortgebundene Leistungen erbringen und dafür Steuern und Abgaben zahlen, ist eine zunehmende Dominanz digitaler Geschäftsmodelle zu beobachten, die dezentral und steueroptimiert agieren. </w:t>
            </w:r>
            <w:r w:rsidRPr="001B4DFD">
              <w:rPr>
                <w:rFonts w:ascii="Aptos" w:hAnsi="Aptos"/>
                <w:b/>
                <w:bCs/>
                <w:sz w:val="22"/>
                <w:szCs w:val="22"/>
              </w:rPr>
              <w:t>Welche fiskalischen Instrumente planen Sie, um im europäischen Binnenmarkt ein Level-Playing-Field zwischen Real- und Digitalwirtschaft hinsichtlich der Steuer- und Abgabenbelastung herzustellen?</w:t>
            </w:r>
          </w:p>
        </w:tc>
      </w:tr>
      <w:tr w:rsidR="00623AF8" w:rsidRPr="001B4DFD" w14:paraId="0CB2F2EF" w14:textId="77777777" w:rsidTr="00875DD0">
        <w:tc>
          <w:tcPr>
            <w:tcW w:w="9060" w:type="dxa"/>
            <w:shd w:val="clear" w:color="auto" w:fill="D9D9D9" w:themeFill="background1" w:themeFillShade="D9"/>
          </w:tcPr>
          <w:p w14:paraId="0DA1A13A"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1060F39B" w14:textId="77777777" w:rsidTr="00875DD0">
        <w:tc>
          <w:tcPr>
            <w:tcW w:w="9060" w:type="dxa"/>
          </w:tcPr>
          <w:p w14:paraId="481E6B87" w14:textId="77777777" w:rsidR="00623AF8" w:rsidRPr="001B4DFD" w:rsidRDefault="00623AF8" w:rsidP="00F63BE8">
            <w:pPr>
              <w:numPr>
                <w:ilvl w:val="0"/>
                <w:numId w:val="11"/>
              </w:numPr>
              <w:contextualSpacing/>
              <w:rPr>
                <w:rFonts w:ascii="Aptos" w:hAnsi="Aptos"/>
                <w:sz w:val="22"/>
                <w:szCs w:val="22"/>
              </w:rPr>
            </w:pPr>
            <w:r w:rsidRPr="001B4DFD">
              <w:rPr>
                <w:rFonts w:ascii="Aptos" w:hAnsi="Aptos"/>
                <w:sz w:val="22"/>
                <w:szCs w:val="22"/>
              </w:rPr>
              <w:t>Sind in diesem Zusammenhang auch Änderungen bei der Besteuerung von Digitalkonzernen geplant?</w:t>
            </w:r>
          </w:p>
          <w:p w14:paraId="520FF66E" w14:textId="77777777" w:rsidR="00623AF8" w:rsidRPr="001B4DFD" w:rsidRDefault="00623AF8" w:rsidP="00F63BE8">
            <w:pPr>
              <w:numPr>
                <w:ilvl w:val="0"/>
                <w:numId w:val="11"/>
              </w:numPr>
              <w:contextualSpacing/>
              <w:rPr>
                <w:rFonts w:ascii="Aptos" w:hAnsi="Aptos"/>
                <w:sz w:val="22"/>
                <w:szCs w:val="22"/>
              </w:rPr>
            </w:pPr>
            <w:r w:rsidRPr="001B4DFD">
              <w:rPr>
                <w:rFonts w:ascii="Aptos" w:hAnsi="Aptos"/>
                <w:sz w:val="22"/>
                <w:szCs w:val="22"/>
              </w:rPr>
              <w:t>Sehen Ihre Pläne zur Besteuerung der digitalen Wirtschaft auch Unterschiede zwischen kleinen und großen Unternehmen vor?</w:t>
            </w:r>
          </w:p>
          <w:p w14:paraId="496DB260" w14:textId="77777777" w:rsidR="00623AF8" w:rsidRPr="001B4DFD" w:rsidRDefault="00623AF8" w:rsidP="00F63BE8">
            <w:pPr>
              <w:numPr>
                <w:ilvl w:val="0"/>
                <w:numId w:val="11"/>
              </w:numPr>
              <w:contextualSpacing/>
              <w:rPr>
                <w:rFonts w:ascii="Aptos" w:hAnsi="Aptos"/>
              </w:rPr>
            </w:pPr>
            <w:r w:rsidRPr="001B4DFD">
              <w:rPr>
                <w:rFonts w:ascii="Aptos" w:hAnsi="Aptos"/>
                <w:sz w:val="22"/>
                <w:szCs w:val="22"/>
              </w:rPr>
              <w:t>Welche weiteren Initiativen halten Sie für notwendig, um eine gerechte Steuerbelastung von Digitalkonzernen zu erreichen?</w:t>
            </w:r>
          </w:p>
        </w:tc>
      </w:tr>
    </w:tbl>
    <w:p w14:paraId="726E35E8"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506B9820" w14:textId="77777777" w:rsidTr="00875DD0">
        <w:trPr>
          <w:trHeight w:val="277"/>
        </w:trPr>
        <w:tc>
          <w:tcPr>
            <w:tcW w:w="9066" w:type="dxa"/>
            <w:shd w:val="clear" w:color="auto" w:fill="D9D9D9"/>
          </w:tcPr>
          <w:p w14:paraId="0916F2C1"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4AB7DE70" w14:textId="77777777" w:rsidR="00623AF8" w:rsidRPr="001B4DFD" w:rsidRDefault="00623AF8" w:rsidP="00623AF8">
      <w:pPr>
        <w:rPr>
          <w:rFonts w:ascii="Aptos" w:hAnsi="Aptos"/>
          <w:sz w:val="22"/>
          <w:szCs w:val="22"/>
        </w:rPr>
      </w:pPr>
      <w:r w:rsidRPr="001B4DFD">
        <w:rPr>
          <w:rFonts w:ascii="Aptos" w:hAnsi="Aptos"/>
          <w:sz w:val="22"/>
          <w:szCs w:val="22"/>
        </w:rPr>
        <w:t>Die digitale Wirtschaft ist eine der großen Herausforderungen für die Steuerpolitik. Digitalkonzerne erzielen ihre Umsätze und Gewinne auch an Orten, an denen sie keine Niederlassung oder Betriebsstätte haben, so dass die Besteuerung schwierig ist und Wettbewerbsverzerrungen entstehen. Große Digitalkonzerne verschieben ihre Gewinne jedoch zum Großteil in Steueroasen und zahlen dadurch weniger Steuern als kleine und mittelständische Unternehmen. Die OECD und die EU arbeiten daher seit längerem an der Umsetzung von Lösungen zur Besteuerung der digitalen Wirtschaft, jedoch ist bisher keine Einigung absehbar. Die EU sollte ihren Vorschlag zur Einführung einer EU-weiten Digitalsteuer wiederbeleben und basierend auf dem OECD-Vorschlag weiterentwickeln, um bei stockender Ratifizierung des OECD-Vorschlags eine bereits griffbereite Option zu haben. Maßnahmen gegen Steuervermeidung und Gewinnverschiebung sind dringend notwendig, um im europäischen Binnenmarkt ein Level-Playing-Field zwischen Real- und Digitalwirtschaft herzustellen. Die EU-Mitgliedstaaten sollten zudem ihre Steuerbehörden stärken folgen und gezielt gegen die Steuervermeidung der großen Digitalkonzerne vorgehen. Die EU sollte hier insbesondere über die europäische Staatsanwaltschaft koordinierend tätig werden.</w:t>
      </w:r>
    </w:p>
    <w:p w14:paraId="0ADD4E3A" w14:textId="77777777" w:rsidR="00623AF8" w:rsidRPr="001B4DFD" w:rsidRDefault="00623AF8" w:rsidP="00623AF8">
      <w:pPr>
        <w:rPr>
          <w:rFonts w:ascii="Aptos" w:hAnsi="Aptos"/>
          <w:sz w:val="22"/>
          <w:szCs w:val="22"/>
          <w:highlight w:val="yellow"/>
        </w:rPr>
      </w:pPr>
    </w:p>
    <w:p w14:paraId="670EAAE2" w14:textId="77777777" w:rsidR="00623AF8" w:rsidRPr="001B4DFD" w:rsidRDefault="00623AF8" w:rsidP="00623AF8">
      <w:pPr>
        <w:rPr>
          <w:rFonts w:ascii="Aptos" w:hAnsi="Aptos"/>
          <w:sz w:val="22"/>
          <w:szCs w:val="22"/>
          <w:highlight w:val="yellow"/>
        </w:rPr>
      </w:pPr>
    </w:p>
    <w:p w14:paraId="38BE9990" w14:textId="77777777" w:rsidR="00623AF8" w:rsidRPr="001B4DFD" w:rsidRDefault="00623AF8" w:rsidP="00623AF8">
      <w:pPr>
        <w:rPr>
          <w:rFonts w:ascii="Aptos" w:hAnsi="Aptos"/>
          <w:sz w:val="22"/>
          <w:szCs w:val="22"/>
          <w:highlight w:val="yellow"/>
        </w:rPr>
      </w:pPr>
    </w:p>
    <w:p w14:paraId="0315EDA7" w14:textId="77777777" w:rsidR="00623AF8" w:rsidRPr="001B4DFD" w:rsidRDefault="00623AF8" w:rsidP="00623AF8">
      <w:pPr>
        <w:rPr>
          <w:rFonts w:ascii="Aptos" w:hAnsi="Aptos"/>
          <w:sz w:val="22"/>
          <w:szCs w:val="22"/>
        </w:rPr>
      </w:pPr>
    </w:p>
    <w:p w14:paraId="7B4AC5F4" w14:textId="77777777" w:rsidR="00623AF8" w:rsidRPr="001B4DFD" w:rsidRDefault="00623AF8" w:rsidP="00623AF8">
      <w:pPr>
        <w:rPr>
          <w:rFonts w:ascii="Aptos" w:hAnsi="Aptos"/>
          <w:sz w:val="22"/>
          <w:szCs w:val="22"/>
        </w:rPr>
      </w:pPr>
    </w:p>
    <w:p w14:paraId="7E991AE0" w14:textId="77777777" w:rsidR="00623AF8" w:rsidRPr="001B4DFD" w:rsidRDefault="00623AF8" w:rsidP="00623AF8">
      <w:pPr>
        <w:rPr>
          <w:rFonts w:ascii="Aptos" w:hAnsi="Aptos"/>
          <w:sz w:val="22"/>
          <w:szCs w:val="22"/>
        </w:rPr>
      </w:pPr>
    </w:p>
    <w:p w14:paraId="52A8F03F" w14:textId="77777777" w:rsidR="00623AF8" w:rsidRPr="001B4DFD" w:rsidRDefault="00623AF8" w:rsidP="00623AF8">
      <w:pPr>
        <w:rPr>
          <w:rFonts w:ascii="Aptos" w:hAnsi="Aptos"/>
        </w:rPr>
        <w:sectPr w:rsidR="00623AF8" w:rsidRPr="001B4DFD" w:rsidSect="00153511">
          <w:headerReference w:type="default" r:id="rId101"/>
          <w:pgSz w:w="11906" w:h="16838"/>
          <w:pgMar w:top="1418" w:right="1418" w:bottom="1134" w:left="1418" w:header="708" w:footer="510" w:gutter="0"/>
          <w:cols w:space="708"/>
          <w:docGrid w:linePitch="360"/>
        </w:sectPr>
      </w:pPr>
    </w:p>
    <w:p w14:paraId="361577E1" w14:textId="77777777" w:rsidR="00623AF8" w:rsidRPr="001B4DFD" w:rsidRDefault="00623AF8" w:rsidP="00623AF8">
      <w:pPr>
        <w:jc w:val="both"/>
        <w:rPr>
          <w:rFonts w:ascii="Aptos" w:hAnsi="Aptos"/>
          <w:bCs/>
          <w:sz w:val="22"/>
          <w:szCs w:val="22"/>
          <w:u w:val="single"/>
        </w:rPr>
      </w:pPr>
    </w:p>
    <w:p w14:paraId="70A4C827" w14:textId="77777777" w:rsidR="00623AF8" w:rsidRPr="001B4DFD" w:rsidRDefault="00623AF8" w:rsidP="00623AF8">
      <w:pPr>
        <w:rPr>
          <w:rFonts w:ascii="Aptos" w:hAnsi="Aptos"/>
        </w:rPr>
      </w:pPr>
    </w:p>
    <w:p w14:paraId="7C9F8310" w14:textId="77777777" w:rsidR="00623AF8" w:rsidRPr="001B4DFD" w:rsidRDefault="00623AF8" w:rsidP="00623AF8">
      <w:pPr>
        <w:rPr>
          <w:rFonts w:ascii="Aptos" w:hAnsi="Aptos"/>
        </w:rPr>
      </w:pPr>
    </w:p>
    <w:p w14:paraId="0E74099B" w14:textId="77777777" w:rsidR="00623AF8" w:rsidRPr="001B4DFD" w:rsidRDefault="00623AF8" w:rsidP="00623AF8">
      <w:pPr>
        <w:rPr>
          <w:rFonts w:ascii="Aptos" w:hAnsi="Aptos"/>
        </w:rPr>
      </w:pPr>
    </w:p>
    <w:p w14:paraId="14A13E7A" w14:textId="77777777" w:rsidR="00623AF8" w:rsidRDefault="00623AF8" w:rsidP="00623AF8">
      <w:pPr>
        <w:spacing w:after="120"/>
        <w:jc w:val="both"/>
        <w:outlineLvl w:val="0"/>
        <w:rPr>
          <w:rFonts w:ascii="Aptos" w:eastAsiaTheme="majorEastAsia" w:hAnsi="Aptos" w:cstheme="majorBidi"/>
          <w:b/>
          <w:color w:val="E4342D"/>
          <w:szCs w:val="32"/>
        </w:rPr>
      </w:pPr>
      <w:bookmarkStart w:id="392" w:name="_Toc164937467"/>
      <w:bookmarkStart w:id="393" w:name="_Toc167727000"/>
    </w:p>
    <w:p w14:paraId="08E68685" w14:textId="77777777" w:rsidR="00623AF8" w:rsidRDefault="00623AF8" w:rsidP="00623AF8">
      <w:pPr>
        <w:spacing w:after="120"/>
        <w:jc w:val="both"/>
        <w:outlineLvl w:val="0"/>
        <w:rPr>
          <w:rFonts w:ascii="Aptos" w:eastAsiaTheme="majorEastAsia" w:hAnsi="Aptos" w:cstheme="majorBidi"/>
          <w:b/>
          <w:color w:val="E4342D"/>
          <w:szCs w:val="32"/>
        </w:rPr>
      </w:pPr>
    </w:p>
    <w:p w14:paraId="0EC358A3"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94" w:name="_Toc170983784"/>
      <w:r w:rsidRPr="001B4DFD">
        <w:rPr>
          <w:rFonts w:ascii="Aptos" w:eastAsiaTheme="majorEastAsia" w:hAnsi="Aptos" w:cstheme="majorBidi"/>
          <w:b/>
          <w:color w:val="E4342D"/>
          <w:szCs w:val="32"/>
        </w:rPr>
        <w:t>Umsetzung von Digitalrechtsakten</w:t>
      </w:r>
      <w:bookmarkEnd w:id="392"/>
      <w:bookmarkEnd w:id="393"/>
      <w:bookmarkEnd w:id="394"/>
    </w:p>
    <w:p w14:paraId="772C2128" w14:textId="77777777" w:rsidR="00623AF8" w:rsidRPr="001B4DFD"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1B4DFD" w14:paraId="03D25A92" w14:textId="77777777" w:rsidTr="00875DD0">
        <w:tc>
          <w:tcPr>
            <w:tcW w:w="9060" w:type="dxa"/>
            <w:shd w:val="clear" w:color="auto" w:fill="D9D9D9" w:themeFill="background1" w:themeFillShade="D9"/>
          </w:tcPr>
          <w:p w14:paraId="7300E15B"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0B2C08AA" w14:textId="77777777" w:rsidTr="00875DD0">
        <w:tc>
          <w:tcPr>
            <w:tcW w:w="9060" w:type="dxa"/>
          </w:tcPr>
          <w:p w14:paraId="37E945EB" w14:textId="77777777" w:rsidR="00623AF8" w:rsidRPr="001B4DFD" w:rsidRDefault="00623AF8" w:rsidP="00875DD0">
            <w:pPr>
              <w:spacing w:before="120" w:after="120"/>
              <w:jc w:val="both"/>
              <w:rPr>
                <w:rFonts w:ascii="Aptos" w:hAnsi="Aptos"/>
                <w:sz w:val="22"/>
                <w:szCs w:val="22"/>
              </w:rPr>
            </w:pPr>
            <w:r w:rsidRPr="001B4DFD">
              <w:rPr>
                <w:rFonts w:ascii="Aptos" w:hAnsi="Aptos"/>
                <w:sz w:val="22"/>
                <w:szCs w:val="22"/>
              </w:rPr>
              <w:t xml:space="preserve">Die EU hat in den letzten Jahren im Rahmen der „Digitalen Dekade“ zahlreiche Digitalgesetze umgesetzt, für deren Überwachung neue oder erweiterte nationale Aufsichtsbehörden erforderlich sind. Die Aufsichtsbehörden in den Mitgliedsstaaten, die Plattformen überwachen, sind jedoch unterschiedlich stark besetzt und teilweise den hohen Anforderungen nicht gewachsen, so dass die Kontrolle unzureichend ist. </w:t>
            </w:r>
            <w:r w:rsidRPr="001B4DFD">
              <w:rPr>
                <w:rFonts w:ascii="Aptos" w:hAnsi="Aptos"/>
                <w:b/>
                <w:bCs/>
                <w:sz w:val="22"/>
                <w:szCs w:val="22"/>
              </w:rPr>
              <w:t>Wie können Sie sicherstellen, dass in den Mitgliedstaaten genügend Planstellen vorhanden sind, um die relevanten Digitalisierungsgesetze umzusetzen und zu monitoren?</w:t>
            </w:r>
          </w:p>
        </w:tc>
      </w:tr>
      <w:tr w:rsidR="00623AF8" w:rsidRPr="001B4DFD" w14:paraId="613C3A8E" w14:textId="77777777" w:rsidTr="00875DD0">
        <w:tc>
          <w:tcPr>
            <w:tcW w:w="9060" w:type="dxa"/>
            <w:shd w:val="clear" w:color="auto" w:fill="D9D9D9" w:themeFill="background1" w:themeFillShade="D9"/>
          </w:tcPr>
          <w:p w14:paraId="33550F64"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24D429E7" w14:textId="77777777" w:rsidTr="00875DD0">
        <w:tc>
          <w:tcPr>
            <w:tcW w:w="9060" w:type="dxa"/>
          </w:tcPr>
          <w:p w14:paraId="5E9F4183" w14:textId="77777777" w:rsidR="00623AF8" w:rsidRPr="001B4DFD" w:rsidRDefault="00623AF8" w:rsidP="00F63BE8">
            <w:pPr>
              <w:numPr>
                <w:ilvl w:val="0"/>
                <w:numId w:val="12"/>
              </w:numPr>
              <w:spacing w:before="120" w:after="120"/>
              <w:contextualSpacing/>
              <w:jc w:val="both"/>
              <w:rPr>
                <w:rFonts w:ascii="Aptos" w:hAnsi="Aptos"/>
                <w:sz w:val="22"/>
                <w:szCs w:val="22"/>
              </w:rPr>
            </w:pPr>
            <w:r w:rsidRPr="001B4DFD">
              <w:rPr>
                <w:rFonts w:ascii="Aptos" w:hAnsi="Aptos"/>
                <w:sz w:val="22"/>
                <w:szCs w:val="22"/>
              </w:rPr>
              <w:t>Sind neue Stellen geplant, um z.B. den Digital Service Act und den Digital Markets Act umzusetzen?</w:t>
            </w:r>
          </w:p>
          <w:p w14:paraId="1EA115F5" w14:textId="77777777" w:rsidR="00623AF8" w:rsidRPr="001B4DFD" w:rsidRDefault="00623AF8" w:rsidP="00F63BE8">
            <w:pPr>
              <w:numPr>
                <w:ilvl w:val="0"/>
                <w:numId w:val="12"/>
              </w:numPr>
              <w:spacing w:before="120" w:after="120"/>
              <w:contextualSpacing/>
              <w:jc w:val="both"/>
              <w:rPr>
                <w:rFonts w:ascii="Aptos" w:hAnsi="Aptos"/>
                <w:sz w:val="22"/>
                <w:szCs w:val="22"/>
              </w:rPr>
            </w:pPr>
            <w:r w:rsidRPr="001B4DFD">
              <w:rPr>
                <w:rFonts w:ascii="Aptos" w:hAnsi="Aptos"/>
                <w:sz w:val="22"/>
                <w:szCs w:val="22"/>
              </w:rPr>
              <w:t>Sind steuerliche Instrumente geplant, um die neuen Ausgaben finanzieren zu können?</w:t>
            </w:r>
          </w:p>
        </w:tc>
      </w:tr>
    </w:tbl>
    <w:p w14:paraId="7A584AD9" w14:textId="77777777" w:rsidR="00623AF8" w:rsidRPr="001B4DFD"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1B4DFD" w14:paraId="2CB1BF67" w14:textId="77777777" w:rsidTr="00875DD0">
        <w:trPr>
          <w:trHeight w:val="277"/>
        </w:trPr>
        <w:tc>
          <w:tcPr>
            <w:tcW w:w="9066" w:type="dxa"/>
            <w:shd w:val="clear" w:color="auto" w:fill="D9D9D9"/>
          </w:tcPr>
          <w:p w14:paraId="283C4F0F"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3A089ACD" w14:textId="77777777" w:rsidR="00623AF8" w:rsidRPr="001B4DFD" w:rsidRDefault="00623AF8" w:rsidP="00623AF8">
      <w:pPr>
        <w:spacing w:after="120"/>
        <w:jc w:val="both"/>
        <w:rPr>
          <w:rFonts w:ascii="Aptos" w:hAnsi="Aptos"/>
          <w:bCs/>
          <w:iCs/>
          <w:sz w:val="22"/>
          <w:szCs w:val="22"/>
        </w:rPr>
      </w:pPr>
      <w:r w:rsidRPr="001B4DFD">
        <w:rPr>
          <w:rFonts w:ascii="Aptos" w:hAnsi="Aptos"/>
          <w:bCs/>
          <w:iCs/>
          <w:sz w:val="22"/>
          <w:szCs w:val="22"/>
        </w:rPr>
        <w:t>In der EU wurden in den vergangenen Jahren zahlreiche Gesetze, Projekte und Programme, welche die digitale Wirtschaft betreffen, vorgeschlagen und umgesetzt. Beispielhaft soll hier der Digital Markets Act (DMA), der Digital Services Act (DSA) und der Artificial Intelligence Act (AI Act) genannt werden. Die Umsetzung sowie die Überwachung der von den Gesetzen betroffenen Unternehmen stellen die Aufsichtsbehörden vor große Herausforderungen. Aus diesem Grund wird befürchtet, dass die dafür notwendigen Organe nicht ausreichend besetzt sind und die Gesetzesvollziehung ins Stocken gerät. Ein Ausbau der Planstellen zur Überwachung und Kontrolle der Gesetze im Digitalbereich sorgt für eine rechtssichere EU und kann die Durchsetzung der Rechtsakte gewährleisten.</w:t>
      </w:r>
    </w:p>
    <w:p w14:paraId="77276FC7" w14:textId="77777777" w:rsidR="00623AF8" w:rsidRPr="001B4DFD" w:rsidRDefault="00623AF8" w:rsidP="00623AF8">
      <w:pPr>
        <w:spacing w:after="120"/>
        <w:jc w:val="both"/>
        <w:rPr>
          <w:rFonts w:ascii="Aptos" w:hAnsi="Aptos"/>
          <w:bCs/>
          <w:iCs/>
          <w:sz w:val="22"/>
          <w:szCs w:val="22"/>
        </w:rPr>
      </w:pPr>
    </w:p>
    <w:p w14:paraId="3EF8262C" w14:textId="77777777" w:rsidR="00623AF8" w:rsidRPr="001B4DFD" w:rsidRDefault="00623AF8" w:rsidP="00623AF8">
      <w:pPr>
        <w:rPr>
          <w:rFonts w:ascii="Aptos" w:eastAsiaTheme="majorEastAsia" w:hAnsi="Aptos" w:cstheme="majorBidi"/>
          <w:b/>
          <w:color w:val="E4342D"/>
          <w:szCs w:val="32"/>
        </w:rPr>
      </w:pPr>
      <w:r w:rsidRPr="001B4DFD">
        <w:rPr>
          <w:rFonts w:ascii="Aptos" w:hAnsi="Aptos"/>
        </w:rPr>
        <w:br w:type="page"/>
      </w:r>
    </w:p>
    <w:p w14:paraId="50DD29A5" w14:textId="77777777" w:rsidR="00623AF8" w:rsidRPr="001B4DFD" w:rsidRDefault="00623AF8" w:rsidP="00623AF8">
      <w:pPr>
        <w:jc w:val="both"/>
        <w:rPr>
          <w:rFonts w:ascii="Aptos" w:hAnsi="Aptos"/>
          <w:bCs/>
          <w:sz w:val="22"/>
          <w:szCs w:val="22"/>
          <w:u w:val="single"/>
        </w:rPr>
      </w:pPr>
    </w:p>
    <w:p w14:paraId="4F93799B" w14:textId="77777777" w:rsidR="00623AF8" w:rsidRPr="001B4DFD" w:rsidRDefault="00623AF8" w:rsidP="00623AF8">
      <w:pPr>
        <w:rPr>
          <w:rFonts w:ascii="Aptos" w:hAnsi="Aptos"/>
        </w:rPr>
      </w:pPr>
    </w:p>
    <w:p w14:paraId="67AD00E7" w14:textId="77777777" w:rsidR="00623AF8" w:rsidRPr="001B4DFD" w:rsidRDefault="00623AF8" w:rsidP="00623AF8">
      <w:bookmarkStart w:id="395" w:name="_Toc164937468"/>
    </w:p>
    <w:p w14:paraId="730896B3" w14:textId="77777777" w:rsidR="00623AF8" w:rsidRPr="001B4DFD" w:rsidRDefault="00623AF8" w:rsidP="00623AF8"/>
    <w:p w14:paraId="2B8A49BD" w14:textId="77777777" w:rsidR="00623AF8" w:rsidRDefault="00623AF8" w:rsidP="00623AF8">
      <w:pPr>
        <w:spacing w:after="120"/>
        <w:jc w:val="both"/>
        <w:outlineLvl w:val="0"/>
        <w:rPr>
          <w:rFonts w:ascii="Aptos" w:eastAsiaTheme="majorEastAsia" w:hAnsi="Aptos" w:cstheme="majorBidi"/>
          <w:b/>
          <w:color w:val="E4342D"/>
          <w:szCs w:val="32"/>
        </w:rPr>
      </w:pPr>
      <w:bookmarkStart w:id="396" w:name="_Toc167727001"/>
    </w:p>
    <w:p w14:paraId="733BA31C"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97" w:name="_Toc170983785"/>
      <w:r w:rsidRPr="001B4DFD">
        <w:rPr>
          <w:rFonts w:ascii="Aptos" w:eastAsiaTheme="majorEastAsia" w:hAnsi="Aptos" w:cstheme="majorBidi"/>
          <w:b/>
          <w:color w:val="E4342D"/>
          <w:szCs w:val="32"/>
        </w:rPr>
        <w:t>Ausbau der digitalen Infrastruktur in technologisch strukturschwachen Regionen</w:t>
      </w:r>
      <w:bookmarkEnd w:id="395"/>
      <w:bookmarkEnd w:id="396"/>
      <w:bookmarkEnd w:id="397"/>
    </w:p>
    <w:p w14:paraId="51ED6600" w14:textId="77777777" w:rsidR="00623AF8" w:rsidRPr="001B4DFD"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1B4DFD" w14:paraId="0C4D4BEA" w14:textId="77777777" w:rsidTr="00875DD0">
        <w:tc>
          <w:tcPr>
            <w:tcW w:w="9060" w:type="dxa"/>
            <w:shd w:val="clear" w:color="auto" w:fill="D9D9D9" w:themeFill="background1" w:themeFillShade="D9"/>
          </w:tcPr>
          <w:p w14:paraId="1B6EFF85"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40DFBAE0" w14:textId="77777777" w:rsidTr="00875DD0">
        <w:tc>
          <w:tcPr>
            <w:tcW w:w="9060" w:type="dxa"/>
          </w:tcPr>
          <w:p w14:paraId="0C660523" w14:textId="77777777" w:rsidR="00623AF8" w:rsidRPr="001B4DFD" w:rsidRDefault="00623AF8" w:rsidP="00875DD0">
            <w:pPr>
              <w:spacing w:before="120" w:after="120"/>
              <w:jc w:val="both"/>
              <w:rPr>
                <w:rFonts w:ascii="Aptos" w:hAnsi="Aptos"/>
                <w:b/>
                <w:bCs/>
                <w:sz w:val="22"/>
                <w:szCs w:val="22"/>
              </w:rPr>
            </w:pPr>
            <w:r w:rsidRPr="001B4DFD">
              <w:rPr>
                <w:rFonts w:ascii="Aptos" w:hAnsi="Aptos"/>
                <w:sz w:val="22"/>
                <w:szCs w:val="22"/>
              </w:rPr>
              <w:t xml:space="preserve">Beim Ausbau der Breitbandnetze hinkt der ländliche Raum trotz einiger Fortschritte in den letzten Jahren hinterher, viele ländliche Gebiete sind von einer unzureichenden digitalen Infrastruktur betroffen. </w:t>
            </w:r>
            <w:r w:rsidRPr="001B4DFD">
              <w:rPr>
                <w:rFonts w:ascii="Aptos" w:hAnsi="Aptos"/>
                <w:b/>
                <w:bCs/>
                <w:sz w:val="22"/>
                <w:szCs w:val="22"/>
              </w:rPr>
              <w:t>Wie wollen Sie sicherstellen, dass die Förderung der digitalen Infrastruktur auch in den ländlichen und technologisch unterentwickelten Regionen Europas ankommt?</w:t>
            </w:r>
          </w:p>
        </w:tc>
      </w:tr>
      <w:tr w:rsidR="00623AF8" w:rsidRPr="001B4DFD" w14:paraId="3EA7117C" w14:textId="77777777" w:rsidTr="00875DD0">
        <w:tc>
          <w:tcPr>
            <w:tcW w:w="9060" w:type="dxa"/>
            <w:shd w:val="clear" w:color="auto" w:fill="D9D9D9" w:themeFill="background1" w:themeFillShade="D9"/>
          </w:tcPr>
          <w:p w14:paraId="6210EED3"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77D2A2C0" w14:textId="77777777" w:rsidTr="00875DD0">
        <w:tc>
          <w:tcPr>
            <w:tcW w:w="9060" w:type="dxa"/>
          </w:tcPr>
          <w:p w14:paraId="2A568D0D" w14:textId="77777777" w:rsidR="00623AF8" w:rsidRPr="001B4DFD" w:rsidRDefault="00623AF8" w:rsidP="00F63BE8">
            <w:pPr>
              <w:numPr>
                <w:ilvl w:val="0"/>
                <w:numId w:val="13"/>
              </w:numPr>
              <w:spacing w:before="120" w:after="120"/>
              <w:contextualSpacing/>
              <w:jc w:val="both"/>
              <w:rPr>
                <w:rFonts w:ascii="Aptos" w:hAnsi="Aptos"/>
                <w:sz w:val="22"/>
                <w:szCs w:val="22"/>
              </w:rPr>
            </w:pPr>
            <w:r w:rsidRPr="001B4DFD">
              <w:rPr>
                <w:rFonts w:ascii="Aptos" w:hAnsi="Aptos"/>
                <w:sz w:val="22"/>
                <w:szCs w:val="22"/>
              </w:rPr>
              <w:t>Inwieweit planen Sie bei der Beschaffung digitaler Infrastrukturen auf europäische Hersteller zurückzugreifen bzw. diese gegenüber Drittstaaten zu fördern/bevorzugen?</w:t>
            </w:r>
          </w:p>
          <w:p w14:paraId="556DFEBE" w14:textId="77777777" w:rsidR="00623AF8" w:rsidRPr="001B4DFD" w:rsidRDefault="00623AF8" w:rsidP="00F63BE8">
            <w:pPr>
              <w:numPr>
                <w:ilvl w:val="0"/>
                <w:numId w:val="13"/>
              </w:numPr>
              <w:spacing w:before="120" w:after="120"/>
              <w:contextualSpacing/>
              <w:jc w:val="both"/>
              <w:rPr>
                <w:rFonts w:ascii="Aptos" w:hAnsi="Aptos"/>
                <w:sz w:val="22"/>
                <w:szCs w:val="22"/>
              </w:rPr>
            </w:pPr>
            <w:r w:rsidRPr="001B4DFD">
              <w:rPr>
                <w:rFonts w:ascii="Aptos" w:hAnsi="Aptos"/>
                <w:sz w:val="22"/>
                <w:szCs w:val="22"/>
              </w:rPr>
              <w:t>Können Sie sich vorstellen, einen Teil der Mittel für die Entwicklung des ländlichen Raums für die Umsetzung der erforderlichen digitalen Infrastrukturen zu verwenden?</w:t>
            </w:r>
          </w:p>
        </w:tc>
      </w:tr>
    </w:tbl>
    <w:p w14:paraId="66BA96E2"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423CFA6C" w14:textId="77777777" w:rsidTr="00875DD0">
        <w:trPr>
          <w:trHeight w:val="277"/>
        </w:trPr>
        <w:tc>
          <w:tcPr>
            <w:tcW w:w="9066" w:type="dxa"/>
            <w:shd w:val="clear" w:color="auto" w:fill="D9D9D9"/>
          </w:tcPr>
          <w:p w14:paraId="1F3B551D"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385FE69D" w14:textId="77777777" w:rsidR="00623AF8" w:rsidRPr="001B4DFD" w:rsidRDefault="00623AF8" w:rsidP="00623AF8">
      <w:pPr>
        <w:jc w:val="both"/>
        <w:rPr>
          <w:rFonts w:ascii="Aptos" w:hAnsi="Aptos"/>
          <w:sz w:val="22"/>
          <w:szCs w:val="22"/>
        </w:rPr>
      </w:pPr>
      <w:r w:rsidRPr="001B4DFD">
        <w:rPr>
          <w:rFonts w:ascii="Aptos" w:hAnsi="Aptos"/>
          <w:sz w:val="22"/>
          <w:szCs w:val="22"/>
        </w:rPr>
        <w:t>Trotz der vielen Bemühungen vonseiten der nationalen Regierungen und der Europäischen Union geht der Breitbandbandausbau vor allem in ländlichen Gebieten weiterhin schleppend voran. Dabei ist der Ausbau von Breitbandinfrastrukturen von höchster Relevanz, um ein stabiles digitales Fundament für einen wettbewerbsfähigen Wirtschaftsstandort und lebenswerte Städte und Regionen zu errichten. Im Sinne der Chancengleichheit sollten alle Menschen in der gesamten EU, unabhängig davon, ob sie in der Stadt oder im ländlichen Raum leben, Zugang zu angemessenen digitalen Infrastrukturen haben. Ultraschnelle Breitbandnetze bilden das Rückgrat für wirtschaftliche, soziale und kulturelle Aktivitäten und unabdingbar für Digitalisierungsprozesse. Investitionen in eine gute digitale Infrastruktur sind gleichzeitig Investitionen in Zukunft, Lebensqualität und Wettbewerbsfähigkeit. Aus Sicht der Daseinsvorsorge ist es notwendig, einen flächendeckenden Glasfaserausbau durch faire Bedingungen sicherzustellen, auch um gleiche Wettbewerbsbedingungen für kleine und mittlere kommunale Unternehmen zu garantieren.</w:t>
      </w:r>
    </w:p>
    <w:p w14:paraId="521EE5A8" w14:textId="77777777" w:rsidR="00623AF8" w:rsidRPr="001B4DFD" w:rsidRDefault="00623AF8" w:rsidP="00623AF8">
      <w:pPr>
        <w:rPr>
          <w:rFonts w:ascii="Aptos" w:hAnsi="Aptos"/>
          <w:sz w:val="22"/>
          <w:szCs w:val="22"/>
        </w:rPr>
      </w:pPr>
    </w:p>
    <w:p w14:paraId="065D48F5" w14:textId="77777777" w:rsidR="00623AF8" w:rsidRPr="001B4DFD" w:rsidRDefault="00623AF8" w:rsidP="00623AF8">
      <w:pPr>
        <w:rPr>
          <w:rFonts w:ascii="Aptos" w:hAnsi="Aptos"/>
          <w:sz w:val="22"/>
          <w:szCs w:val="22"/>
        </w:rPr>
      </w:pPr>
    </w:p>
    <w:p w14:paraId="43C49A33" w14:textId="77777777" w:rsidR="00623AF8" w:rsidRPr="001B4DFD" w:rsidRDefault="00623AF8" w:rsidP="00623AF8">
      <w:pPr>
        <w:rPr>
          <w:rFonts w:ascii="Aptos" w:hAnsi="Aptos"/>
          <w:bCs/>
          <w:sz w:val="22"/>
          <w:szCs w:val="22"/>
          <w:u w:val="single"/>
        </w:rPr>
      </w:pPr>
      <w:r w:rsidRPr="001B4DFD">
        <w:rPr>
          <w:rFonts w:ascii="Aptos" w:hAnsi="Aptos"/>
          <w:bCs/>
          <w:sz w:val="22"/>
          <w:szCs w:val="22"/>
          <w:u w:val="single"/>
        </w:rPr>
        <w:br w:type="page"/>
      </w:r>
    </w:p>
    <w:p w14:paraId="685C5D08" w14:textId="77777777" w:rsidR="00623AF8" w:rsidRPr="001B4DFD" w:rsidRDefault="00623AF8" w:rsidP="00623AF8">
      <w:pPr>
        <w:jc w:val="both"/>
        <w:rPr>
          <w:rFonts w:ascii="Aptos" w:hAnsi="Aptos"/>
          <w:bCs/>
          <w:sz w:val="22"/>
          <w:szCs w:val="22"/>
          <w:u w:val="single"/>
        </w:rPr>
      </w:pPr>
    </w:p>
    <w:p w14:paraId="3A69F930" w14:textId="77777777" w:rsidR="00623AF8" w:rsidRPr="001B4DFD" w:rsidRDefault="00623AF8" w:rsidP="00623AF8">
      <w:pPr>
        <w:rPr>
          <w:rFonts w:ascii="Aptos" w:hAnsi="Aptos"/>
        </w:rPr>
      </w:pPr>
    </w:p>
    <w:p w14:paraId="0E8974E4" w14:textId="77777777" w:rsidR="00623AF8" w:rsidRPr="001B4DFD" w:rsidRDefault="00623AF8" w:rsidP="00623AF8">
      <w:pPr>
        <w:rPr>
          <w:rFonts w:ascii="Aptos" w:hAnsi="Aptos"/>
        </w:rPr>
      </w:pPr>
    </w:p>
    <w:p w14:paraId="4A56091F" w14:textId="77777777" w:rsidR="00623AF8" w:rsidRPr="001B4DFD" w:rsidRDefault="00623AF8" w:rsidP="00623AF8">
      <w:pPr>
        <w:rPr>
          <w:rFonts w:ascii="Aptos" w:hAnsi="Aptos"/>
        </w:rPr>
      </w:pPr>
    </w:p>
    <w:p w14:paraId="61A8D03D"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398" w:name="_Toc164937469"/>
      <w:bookmarkStart w:id="399" w:name="_Toc167727002"/>
      <w:bookmarkStart w:id="400" w:name="_Toc170983786"/>
      <w:r w:rsidRPr="001B4DFD">
        <w:rPr>
          <w:rFonts w:ascii="Aptos" w:eastAsiaTheme="majorEastAsia" w:hAnsi="Aptos" w:cstheme="majorBidi"/>
          <w:b/>
          <w:color w:val="E4342D"/>
          <w:szCs w:val="32"/>
        </w:rPr>
        <w:t>Kosten für die Datenbereitstellung öffentlicher &amp; kommunaler Akteure</w:t>
      </w:r>
      <w:bookmarkEnd w:id="398"/>
      <w:bookmarkEnd w:id="399"/>
      <w:bookmarkEnd w:id="400"/>
    </w:p>
    <w:p w14:paraId="2449962B" w14:textId="77777777" w:rsidR="00623AF8" w:rsidRPr="001B4DFD"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1B4DFD" w14:paraId="076620F6" w14:textId="77777777" w:rsidTr="00875DD0">
        <w:tc>
          <w:tcPr>
            <w:tcW w:w="9060" w:type="dxa"/>
            <w:shd w:val="clear" w:color="auto" w:fill="D9D9D9" w:themeFill="background1" w:themeFillShade="D9"/>
          </w:tcPr>
          <w:p w14:paraId="3612B994"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6AFEEFEB" w14:textId="77777777" w:rsidTr="00875DD0">
        <w:tc>
          <w:tcPr>
            <w:tcW w:w="9060" w:type="dxa"/>
          </w:tcPr>
          <w:p w14:paraId="740B27B3" w14:textId="77777777" w:rsidR="00623AF8" w:rsidRPr="001B4DFD" w:rsidRDefault="00623AF8" w:rsidP="00875DD0">
            <w:pPr>
              <w:spacing w:before="120" w:after="120"/>
              <w:jc w:val="both"/>
              <w:rPr>
                <w:rFonts w:ascii="Aptos" w:hAnsi="Aptos"/>
                <w:b/>
                <w:bCs/>
                <w:sz w:val="22"/>
                <w:szCs w:val="22"/>
                <w:lang w:val="de-DE"/>
              </w:rPr>
            </w:pPr>
            <w:r w:rsidRPr="001B4DFD">
              <w:rPr>
                <w:rFonts w:ascii="Aptos" w:hAnsi="Aptos"/>
                <w:sz w:val="22"/>
                <w:szCs w:val="22"/>
              </w:rPr>
              <w:t xml:space="preserve">Digitalisierungsprozesse öffentlicher und kommunaler Akteure sind mit hohen Investitions- und Betriebskosten verbunden. So sind sowohl für die Bereitstellung von Verwaltungsdaten als auch für komplexe Echtzeitdaten sehr hohe laufende Kosten zu kalkulieren. </w:t>
            </w:r>
            <w:r w:rsidRPr="001B4DFD">
              <w:rPr>
                <w:rFonts w:ascii="Aptos" w:hAnsi="Aptos"/>
                <w:b/>
                <w:bCs/>
                <w:sz w:val="22"/>
                <w:szCs w:val="22"/>
              </w:rPr>
              <w:t>Wie wollen Sie öffentliche und kommunale Akteure (z.B. Verwaltungsbehörden, öffentliche Verkehrsunternehmen etc.) bei der digitalen Transformation und den damit verbundenen laufenden Kosten unterstützen?</w:t>
            </w:r>
          </w:p>
        </w:tc>
      </w:tr>
      <w:tr w:rsidR="00623AF8" w:rsidRPr="001B4DFD" w14:paraId="2837B728" w14:textId="77777777" w:rsidTr="00875DD0">
        <w:tc>
          <w:tcPr>
            <w:tcW w:w="9060" w:type="dxa"/>
            <w:shd w:val="clear" w:color="auto" w:fill="D9D9D9" w:themeFill="background1" w:themeFillShade="D9"/>
          </w:tcPr>
          <w:p w14:paraId="5146E7CE"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743B0AC5" w14:textId="77777777" w:rsidTr="00875DD0">
        <w:tc>
          <w:tcPr>
            <w:tcW w:w="9060" w:type="dxa"/>
          </w:tcPr>
          <w:p w14:paraId="7C7A53E4" w14:textId="77777777" w:rsidR="00623AF8" w:rsidRPr="001B4DFD" w:rsidRDefault="00623AF8" w:rsidP="00F63BE8">
            <w:pPr>
              <w:numPr>
                <w:ilvl w:val="0"/>
                <w:numId w:val="40"/>
              </w:numPr>
              <w:spacing w:before="120" w:after="120"/>
              <w:contextualSpacing/>
              <w:jc w:val="both"/>
              <w:rPr>
                <w:rFonts w:ascii="Aptos" w:hAnsi="Aptos"/>
                <w:sz w:val="22"/>
                <w:szCs w:val="22"/>
                <w:lang w:val="de-DE"/>
              </w:rPr>
            </w:pPr>
            <w:r w:rsidRPr="001B4DFD">
              <w:rPr>
                <w:rFonts w:ascii="Aptos" w:hAnsi="Aptos"/>
                <w:sz w:val="22"/>
                <w:szCs w:val="22"/>
                <w:lang w:val="de-DE"/>
              </w:rPr>
              <w:t>Sind EU-Programme geplant, die die Betriebskosten für die Bereitstellung öffentlicher und kommunaler Daten finanziell abfedern?</w:t>
            </w:r>
          </w:p>
          <w:p w14:paraId="7BF15446" w14:textId="77777777" w:rsidR="00623AF8" w:rsidRPr="001B4DFD" w:rsidRDefault="00623AF8" w:rsidP="00F63BE8">
            <w:pPr>
              <w:numPr>
                <w:ilvl w:val="0"/>
                <w:numId w:val="40"/>
              </w:numPr>
              <w:spacing w:before="120" w:after="120"/>
              <w:contextualSpacing/>
              <w:jc w:val="both"/>
              <w:rPr>
                <w:rFonts w:ascii="Aptos" w:hAnsi="Aptos"/>
                <w:sz w:val="22"/>
                <w:szCs w:val="22"/>
                <w:lang w:val="de-DE"/>
              </w:rPr>
            </w:pPr>
            <w:r w:rsidRPr="001B4DFD">
              <w:rPr>
                <w:rFonts w:ascii="Aptos" w:hAnsi="Aptos"/>
                <w:sz w:val="22"/>
                <w:szCs w:val="22"/>
                <w:lang w:val="de-DE"/>
              </w:rPr>
              <w:t>Insbesondere bei kritischen Infrastrukturen sind hohe Sicherheitsrisiken zu berücksichtigen, die wiederum hohe laufende Kosten für Cybersicherheit implizieren, sind hierfür zweckgebundene EU-Förderungen geplant?</w:t>
            </w:r>
          </w:p>
        </w:tc>
      </w:tr>
    </w:tbl>
    <w:p w14:paraId="181925D3" w14:textId="77777777" w:rsidR="00623AF8" w:rsidRPr="001B4DFD" w:rsidRDefault="00623AF8" w:rsidP="00623AF8">
      <w:pPr>
        <w:rPr>
          <w:rFonts w:ascii="Aptos" w:hAnsi="Aptos"/>
        </w:rPr>
      </w:pPr>
    </w:p>
    <w:tbl>
      <w:tblPr>
        <w:tblStyle w:val="TableNormal2"/>
        <w:tblW w:w="0" w:type="auto"/>
        <w:tblLayout w:type="fixed"/>
        <w:tblLook w:val="01E0" w:firstRow="1" w:lastRow="1" w:firstColumn="1" w:lastColumn="1" w:noHBand="0" w:noVBand="0"/>
      </w:tblPr>
      <w:tblGrid>
        <w:gridCol w:w="9066"/>
      </w:tblGrid>
      <w:tr w:rsidR="00623AF8" w:rsidRPr="001B4DFD" w14:paraId="25C85644" w14:textId="77777777" w:rsidTr="00875DD0">
        <w:trPr>
          <w:trHeight w:val="277"/>
        </w:trPr>
        <w:tc>
          <w:tcPr>
            <w:tcW w:w="9066" w:type="dxa"/>
            <w:shd w:val="clear" w:color="auto" w:fill="D9D9D9"/>
          </w:tcPr>
          <w:p w14:paraId="17CCC5AE"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11A22F12" w14:textId="77777777" w:rsidR="00623AF8" w:rsidRPr="001B4DFD" w:rsidRDefault="00623AF8" w:rsidP="00623AF8">
      <w:pPr>
        <w:jc w:val="both"/>
        <w:rPr>
          <w:rFonts w:ascii="Aptos" w:hAnsi="Aptos"/>
          <w:sz w:val="22"/>
          <w:szCs w:val="22"/>
        </w:rPr>
      </w:pPr>
      <w:r w:rsidRPr="001B4DFD">
        <w:rPr>
          <w:rFonts w:ascii="Aptos" w:hAnsi="Aptos"/>
          <w:sz w:val="22"/>
          <w:szCs w:val="22"/>
        </w:rPr>
        <w:t>Der digitale Wandel und damit einhergehende Digitalisierungsprozesse haben für viele Unternehmen zu erheblichen Mehrkosten geführt. Einerseits müssen bestehende Systeme und Prozesse an die neuen digitalen Lösungen angepasst und integriert, sowie Mitarbeiterinnen und Mitarbeiter im Umgang mit den neuen Systemen geschult werden. Andererseits erfordern digitale Systeme kontinuierliche Wartung und regelmäßige Updates, um effizient zu bleiben und Sicherheitslücken zu schließen. Mit der Digitalisierung steigen auch die Anforderungen an die IT-Sicherheit, wobei Unternehmen in diesem Bereich (laufend) große Investitionen tätigen müssen. Weitere kostspielige Punkte sind die Datensammlung und Datenspeicherung. Die hohen Kosten der Datenspeicherung sind auf die teure Hardware, Infrastruktur, Sicherheitsmaßnahmen, Compliance-Anforderungen und laufenden Betriebskosten zurückzuführen. Gerade öffentliche Unternehmen (z.B. öffentliche Verkehrsbetriebe) sammeln im Rahmen der Ausübung ihrer Dienstleistungen große Datenmengen, deren Verwaltung und Speicherung zu sehr hohen laufenden Kosten führen. Außerdem gilt der Großteil der öffentlichen Unternehmen als kritische Infrastruktur und muss sich daher an strengere Regeln halten, die mit weiteren Mehrkosten einhergehen. In diesem Zusammenhang sollte durch die Förderung und Unterstützung öffentlicher Unternehmen sichergestellt werden, dass wichtige Dienstleistungen zuverlässig, gerecht und nachhaltig bereitgestellt werden, während gleichzeitig soziale und wirtschaftliche Stabilität gefördert wird.</w:t>
      </w:r>
    </w:p>
    <w:p w14:paraId="15F47A24" w14:textId="77777777" w:rsidR="00623AF8" w:rsidRPr="001B4DFD" w:rsidRDefault="00623AF8" w:rsidP="00623AF8">
      <w:pPr>
        <w:rPr>
          <w:rFonts w:ascii="Aptos" w:hAnsi="Aptos"/>
        </w:rPr>
      </w:pPr>
    </w:p>
    <w:p w14:paraId="5EFE7E2F" w14:textId="77777777" w:rsidR="00623AF8" w:rsidRPr="001B4DFD" w:rsidRDefault="00623AF8" w:rsidP="00623AF8">
      <w:pPr>
        <w:rPr>
          <w:rFonts w:ascii="Aptos" w:hAnsi="Aptos"/>
        </w:rPr>
      </w:pPr>
    </w:p>
    <w:p w14:paraId="643BB95F" w14:textId="77777777" w:rsidR="00623AF8" w:rsidRPr="001B4DFD" w:rsidRDefault="00623AF8" w:rsidP="00623AF8">
      <w:pPr>
        <w:rPr>
          <w:rFonts w:ascii="Aptos" w:hAnsi="Aptos"/>
        </w:rPr>
      </w:pPr>
      <w:r w:rsidRPr="001B4DFD">
        <w:rPr>
          <w:rFonts w:ascii="Aptos" w:hAnsi="Aptos"/>
        </w:rPr>
        <w:br w:type="page"/>
      </w:r>
    </w:p>
    <w:p w14:paraId="62436BB8" w14:textId="77777777" w:rsidR="00623AF8" w:rsidRPr="001B4DFD" w:rsidRDefault="00623AF8" w:rsidP="00623AF8">
      <w:pPr>
        <w:rPr>
          <w:rFonts w:ascii="Aptos" w:hAnsi="Aptos"/>
        </w:rPr>
      </w:pPr>
    </w:p>
    <w:p w14:paraId="4F88557F" w14:textId="77777777" w:rsidR="00623AF8" w:rsidRPr="001B4DFD" w:rsidRDefault="00623AF8" w:rsidP="00623AF8">
      <w:pPr>
        <w:rPr>
          <w:rFonts w:ascii="Aptos" w:hAnsi="Aptos"/>
        </w:rPr>
      </w:pPr>
    </w:p>
    <w:p w14:paraId="3C44D94E" w14:textId="77777777" w:rsidR="00623AF8" w:rsidRPr="001B4DFD" w:rsidRDefault="00623AF8" w:rsidP="00623AF8">
      <w:pPr>
        <w:rPr>
          <w:rFonts w:ascii="Aptos" w:hAnsi="Aptos"/>
          <w:sz w:val="22"/>
          <w:szCs w:val="22"/>
        </w:rPr>
      </w:pPr>
    </w:p>
    <w:p w14:paraId="38515BF4" w14:textId="77777777" w:rsidR="00623AF8" w:rsidRDefault="00623AF8" w:rsidP="00623AF8">
      <w:pPr>
        <w:spacing w:after="120"/>
        <w:jc w:val="both"/>
        <w:outlineLvl w:val="0"/>
        <w:rPr>
          <w:rFonts w:ascii="Aptos" w:eastAsiaTheme="majorEastAsia" w:hAnsi="Aptos" w:cstheme="majorBidi"/>
          <w:b/>
          <w:color w:val="E4342D"/>
          <w:szCs w:val="32"/>
        </w:rPr>
      </w:pPr>
      <w:bookmarkStart w:id="401" w:name="_Toc164937470"/>
      <w:bookmarkStart w:id="402" w:name="_Toc167727003"/>
    </w:p>
    <w:p w14:paraId="24417895"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403" w:name="_Toc170983787"/>
      <w:r w:rsidRPr="001B4DFD">
        <w:rPr>
          <w:rFonts w:ascii="Aptos" w:eastAsiaTheme="majorEastAsia" w:hAnsi="Aptos" w:cstheme="majorBidi"/>
          <w:b/>
          <w:color w:val="E4342D"/>
          <w:szCs w:val="32"/>
        </w:rPr>
        <w:t>Datenschutz in der kritischen Infrastruktur</w:t>
      </w:r>
      <w:bookmarkEnd w:id="401"/>
      <w:bookmarkEnd w:id="402"/>
      <w:bookmarkEnd w:id="403"/>
    </w:p>
    <w:p w14:paraId="7EBBB6E7" w14:textId="77777777" w:rsidR="00623AF8" w:rsidRPr="001B4DFD"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1B4DFD" w14:paraId="6F29F0A4" w14:textId="77777777" w:rsidTr="00875DD0">
        <w:tc>
          <w:tcPr>
            <w:tcW w:w="9060" w:type="dxa"/>
            <w:shd w:val="clear" w:color="auto" w:fill="D9D9D9" w:themeFill="background1" w:themeFillShade="D9"/>
          </w:tcPr>
          <w:p w14:paraId="0264C6C4"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59451DF7" w14:textId="77777777" w:rsidTr="00875DD0">
        <w:tc>
          <w:tcPr>
            <w:tcW w:w="9060" w:type="dxa"/>
          </w:tcPr>
          <w:p w14:paraId="3701C090" w14:textId="77777777" w:rsidR="00623AF8" w:rsidRPr="001B4DFD" w:rsidRDefault="00623AF8" w:rsidP="00875DD0">
            <w:pPr>
              <w:spacing w:before="120" w:after="120"/>
              <w:jc w:val="both"/>
              <w:rPr>
                <w:rFonts w:ascii="Aptos" w:hAnsi="Aptos"/>
                <w:b/>
                <w:bCs/>
                <w:sz w:val="22"/>
                <w:szCs w:val="22"/>
                <w:highlight w:val="yellow"/>
              </w:rPr>
            </w:pPr>
            <w:r w:rsidRPr="001B4DFD">
              <w:rPr>
                <w:rFonts w:ascii="Aptos" w:hAnsi="Aptos"/>
                <w:sz w:val="22"/>
                <w:szCs w:val="22"/>
              </w:rPr>
              <w:t xml:space="preserve">Öffentliche und kommunale Akteure besitzen in vielen Bereichen des täglichen Lebens (Gesundheit, Energieversorgung, Verkehr etc.) die Datenhoheit über sensible Daten. Angesichts der Geschäftsmodelle großer Digitalkonzerne besteht jedoch die berechtigte Sorge, dass diese sensiblen Daten kommerzialisiert werden. </w:t>
            </w:r>
            <w:r w:rsidRPr="001B4DFD">
              <w:rPr>
                <w:rFonts w:ascii="Aptos" w:hAnsi="Aptos"/>
                <w:b/>
                <w:bCs/>
                <w:sz w:val="22"/>
                <w:szCs w:val="22"/>
              </w:rPr>
              <w:t>Welche Initiativen planen Sie, um öffentliche und kommunale Daten kritischer Infrastrukturen nachhaltig vor kommerziellen Privatinteressen zu schützen?</w:t>
            </w:r>
          </w:p>
        </w:tc>
      </w:tr>
      <w:tr w:rsidR="00623AF8" w:rsidRPr="001B4DFD" w14:paraId="26E83C1D" w14:textId="77777777" w:rsidTr="00875DD0">
        <w:tc>
          <w:tcPr>
            <w:tcW w:w="9060" w:type="dxa"/>
            <w:shd w:val="clear" w:color="auto" w:fill="D9D9D9" w:themeFill="background1" w:themeFillShade="D9"/>
          </w:tcPr>
          <w:p w14:paraId="4B9B7BC6"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4DD518B1" w14:textId="77777777" w:rsidTr="00875DD0">
        <w:tc>
          <w:tcPr>
            <w:tcW w:w="9060" w:type="dxa"/>
          </w:tcPr>
          <w:p w14:paraId="3656EE91" w14:textId="77777777" w:rsidR="00623AF8" w:rsidRPr="001B4DFD" w:rsidRDefault="00623AF8" w:rsidP="00F63BE8">
            <w:pPr>
              <w:numPr>
                <w:ilvl w:val="0"/>
                <w:numId w:val="14"/>
              </w:numPr>
              <w:contextualSpacing/>
              <w:rPr>
                <w:rFonts w:ascii="Aptos" w:hAnsi="Aptos"/>
                <w:sz w:val="22"/>
                <w:szCs w:val="22"/>
              </w:rPr>
            </w:pPr>
            <w:r w:rsidRPr="001B4DFD">
              <w:rPr>
                <w:rFonts w:ascii="Aptos" w:hAnsi="Aptos"/>
                <w:sz w:val="22"/>
                <w:szCs w:val="22"/>
              </w:rPr>
              <w:t>Welche Priorität hat der Datenschutz kritischer Infrastrukturen in Ihrer Legislaturperiode?</w:t>
            </w:r>
          </w:p>
          <w:p w14:paraId="400AF5D6" w14:textId="77777777" w:rsidR="00623AF8" w:rsidRPr="001B4DFD" w:rsidRDefault="00623AF8" w:rsidP="00F63BE8">
            <w:pPr>
              <w:numPr>
                <w:ilvl w:val="0"/>
                <w:numId w:val="14"/>
              </w:numPr>
              <w:contextualSpacing/>
              <w:rPr>
                <w:rFonts w:ascii="Aptos" w:hAnsi="Aptos"/>
                <w:sz w:val="22"/>
                <w:szCs w:val="22"/>
              </w:rPr>
            </w:pPr>
            <w:r w:rsidRPr="001B4DFD">
              <w:rPr>
                <w:rFonts w:ascii="Aptos" w:hAnsi="Aptos"/>
                <w:sz w:val="22"/>
                <w:szCs w:val="22"/>
              </w:rPr>
              <w:t>Wie wollen Sie sicherstellen, dass sensible Daten kritischer Infrastrukturen in öffentlicher und kommunaler Hand bleiben?</w:t>
            </w:r>
          </w:p>
          <w:p w14:paraId="7F85DF51" w14:textId="77777777" w:rsidR="00623AF8" w:rsidRPr="001B4DFD" w:rsidRDefault="00623AF8" w:rsidP="00F63BE8">
            <w:pPr>
              <w:numPr>
                <w:ilvl w:val="0"/>
                <w:numId w:val="14"/>
              </w:numPr>
              <w:contextualSpacing/>
              <w:rPr>
                <w:rFonts w:ascii="Aptos" w:hAnsi="Aptos"/>
                <w:sz w:val="22"/>
                <w:szCs w:val="22"/>
              </w:rPr>
            </w:pPr>
            <w:r w:rsidRPr="001B4DFD">
              <w:rPr>
                <w:rFonts w:ascii="Aptos" w:hAnsi="Aptos"/>
                <w:sz w:val="22"/>
                <w:szCs w:val="22"/>
              </w:rPr>
              <w:t>Wie wollen sie sicherstellen, dass der Schutz der kritischen Infrastruktur künftig bei allen Dateninitiativen auf EU-Ebene mitberücksichtigt und somit sichergestellt wird?</w:t>
            </w:r>
          </w:p>
        </w:tc>
      </w:tr>
    </w:tbl>
    <w:p w14:paraId="0321184B"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4D0BE8EC" w14:textId="77777777" w:rsidTr="00875DD0">
        <w:trPr>
          <w:trHeight w:val="277"/>
        </w:trPr>
        <w:tc>
          <w:tcPr>
            <w:tcW w:w="9066" w:type="dxa"/>
            <w:shd w:val="clear" w:color="auto" w:fill="D9D9D9"/>
          </w:tcPr>
          <w:p w14:paraId="27ADAE7E" w14:textId="77777777" w:rsidR="00623AF8" w:rsidRPr="001B4DFD" w:rsidRDefault="00623AF8" w:rsidP="00875DD0">
            <w:pPr>
              <w:spacing w:line="258" w:lineRule="exact"/>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5CF38BB6" w14:textId="77777777" w:rsidR="00623AF8" w:rsidRPr="001B4DFD" w:rsidRDefault="00623AF8" w:rsidP="00623AF8">
      <w:pPr>
        <w:jc w:val="both"/>
        <w:rPr>
          <w:rFonts w:ascii="Aptos" w:hAnsi="Aptos"/>
          <w:bCs/>
          <w:sz w:val="22"/>
          <w:szCs w:val="22"/>
        </w:rPr>
      </w:pPr>
      <w:r w:rsidRPr="001B4DFD">
        <w:rPr>
          <w:rFonts w:ascii="Aptos" w:hAnsi="Aptos"/>
          <w:bCs/>
          <w:sz w:val="22"/>
          <w:szCs w:val="22"/>
        </w:rPr>
        <w:t>Kommunale Verwaltungen und öffentliche Unternehmen besitzen Betriebsdaten, deren Offenlegung die Funktionsfähigkeit und Sicherheit der kommunalen Infrastruktur gefährden könnte und die daher auch vor kommerziellen Privatinteressen geschützt werden sollten. Dazu gehören zum Beispiel Pläne für die Wasserversorgung, Abfallmanagement, Verkehrsleitsysteme und Notfallmaßnahmen, sowie persönliche Daten von Bürgerinnen und Bürgern. Eine kommerzielle Nutzung von kommunalen Daten ist unethisch und kann weitreichende negative Auswirkungen haben. Der Schutz dieser kommunalen Daten und der kritischen Infrastrukturen ist entscheidend, um die Privatsphäre der Bürgerinnen und Bürger zu gewährleisten, die Integrität und Sicherheit der Daten zu sichern und rechtlichen Anforderungen zu entsprechen.</w:t>
      </w:r>
    </w:p>
    <w:p w14:paraId="0643A721" w14:textId="77777777" w:rsidR="00623AF8" w:rsidRPr="001B4DFD" w:rsidRDefault="00623AF8" w:rsidP="00623AF8">
      <w:pPr>
        <w:rPr>
          <w:rFonts w:ascii="Aptos" w:hAnsi="Aptos"/>
          <w:sz w:val="22"/>
          <w:szCs w:val="22"/>
        </w:rPr>
      </w:pPr>
    </w:p>
    <w:p w14:paraId="6C6F4094" w14:textId="77777777" w:rsidR="00623AF8" w:rsidRPr="001B4DFD" w:rsidRDefault="00623AF8" w:rsidP="00623AF8">
      <w:pPr>
        <w:rPr>
          <w:rFonts w:ascii="Aptos" w:hAnsi="Aptos"/>
          <w:sz w:val="22"/>
          <w:szCs w:val="22"/>
        </w:rPr>
      </w:pPr>
      <w:r w:rsidRPr="001B4DFD">
        <w:rPr>
          <w:rFonts w:ascii="Aptos" w:hAnsi="Aptos"/>
          <w:sz w:val="22"/>
          <w:szCs w:val="22"/>
        </w:rPr>
        <w:br w:type="page"/>
      </w:r>
    </w:p>
    <w:p w14:paraId="030D5253" w14:textId="77777777" w:rsidR="00623AF8" w:rsidRPr="001B4DFD" w:rsidRDefault="00623AF8" w:rsidP="00623AF8">
      <w:pPr>
        <w:rPr>
          <w:rFonts w:ascii="Aptos" w:hAnsi="Aptos"/>
        </w:rPr>
      </w:pPr>
    </w:p>
    <w:p w14:paraId="311BE4A3" w14:textId="77777777" w:rsidR="00623AF8" w:rsidRPr="001B4DFD" w:rsidRDefault="00623AF8" w:rsidP="00623AF8">
      <w:pPr>
        <w:rPr>
          <w:rFonts w:ascii="Aptos" w:hAnsi="Aptos"/>
        </w:rPr>
      </w:pPr>
    </w:p>
    <w:p w14:paraId="161F1AAF" w14:textId="77777777" w:rsidR="00623AF8" w:rsidRPr="001B4DFD" w:rsidRDefault="00623AF8" w:rsidP="00623AF8">
      <w:pPr>
        <w:rPr>
          <w:rFonts w:ascii="Aptos" w:hAnsi="Aptos"/>
        </w:rPr>
      </w:pPr>
    </w:p>
    <w:p w14:paraId="424F7168" w14:textId="77777777" w:rsidR="00623AF8" w:rsidRPr="001B4DFD" w:rsidRDefault="00623AF8" w:rsidP="00623AF8">
      <w:pPr>
        <w:rPr>
          <w:rFonts w:ascii="Aptos" w:hAnsi="Aptos"/>
        </w:rPr>
      </w:pPr>
    </w:p>
    <w:p w14:paraId="7CBE87B5"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404" w:name="_Toc164937471"/>
      <w:bookmarkStart w:id="405" w:name="_Toc167727004"/>
      <w:bookmarkStart w:id="406" w:name="_Toc170983788"/>
      <w:r w:rsidRPr="001B4DFD">
        <w:rPr>
          <w:rFonts w:ascii="Aptos" w:eastAsiaTheme="majorEastAsia" w:hAnsi="Aptos" w:cstheme="majorBidi"/>
          <w:b/>
          <w:color w:val="E4342D"/>
          <w:szCs w:val="32"/>
        </w:rPr>
        <w:t>Einschränkung von Steueroptimierungsmaßnahmen großer Digitalkonzerne</w:t>
      </w:r>
      <w:bookmarkEnd w:id="404"/>
      <w:bookmarkEnd w:id="405"/>
      <w:bookmarkEnd w:id="406"/>
    </w:p>
    <w:p w14:paraId="34691E4B" w14:textId="77777777" w:rsidR="00623AF8" w:rsidRPr="001B4DFD" w:rsidRDefault="00623AF8" w:rsidP="00623AF8">
      <w:pPr>
        <w:rPr>
          <w:rFonts w:ascii="Aptos" w:hAnsi="Aptos"/>
        </w:rPr>
      </w:pPr>
    </w:p>
    <w:tbl>
      <w:tblPr>
        <w:tblStyle w:val="Tabellenraster"/>
        <w:tblW w:w="0" w:type="auto"/>
        <w:tblLook w:val="04A0" w:firstRow="1" w:lastRow="0" w:firstColumn="1" w:lastColumn="0" w:noHBand="0" w:noVBand="1"/>
      </w:tblPr>
      <w:tblGrid>
        <w:gridCol w:w="9060"/>
      </w:tblGrid>
      <w:tr w:rsidR="00623AF8" w:rsidRPr="001B4DFD" w14:paraId="2A730075" w14:textId="77777777" w:rsidTr="00875DD0">
        <w:tc>
          <w:tcPr>
            <w:tcW w:w="9060" w:type="dxa"/>
            <w:shd w:val="clear" w:color="auto" w:fill="D9D9D9" w:themeFill="background1" w:themeFillShade="D9"/>
          </w:tcPr>
          <w:p w14:paraId="3FBC00AF"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320366C4" w14:textId="77777777" w:rsidTr="00875DD0">
        <w:tc>
          <w:tcPr>
            <w:tcW w:w="9060" w:type="dxa"/>
          </w:tcPr>
          <w:p w14:paraId="18E55BE7" w14:textId="77777777" w:rsidR="00623AF8" w:rsidRPr="001B4DFD" w:rsidRDefault="00623AF8" w:rsidP="00875DD0">
            <w:pPr>
              <w:spacing w:before="120" w:after="120"/>
              <w:jc w:val="both"/>
              <w:rPr>
                <w:rFonts w:ascii="Aptos" w:hAnsi="Aptos"/>
                <w:b/>
                <w:bCs/>
                <w:sz w:val="22"/>
                <w:szCs w:val="22"/>
                <w:lang w:val="de-DE"/>
              </w:rPr>
            </w:pPr>
            <w:r w:rsidRPr="001B4DFD">
              <w:rPr>
                <w:rFonts w:ascii="Aptos" w:hAnsi="Aptos"/>
                <w:sz w:val="22"/>
                <w:szCs w:val="22"/>
              </w:rPr>
              <w:t xml:space="preserve">Die digitalen Geschäftsmodelle der großen Digitalkonzerne sind in der Regel standortunabhängig und können flexibel aus verschiedenen EU-Ländern und Drittstaaten angeboten werden. Dabei werden Steueroptimierungsstrategien genutzt, die dem Gemeinwohl und der Realwirtschaft schaden. </w:t>
            </w:r>
            <w:r w:rsidRPr="001B4DFD">
              <w:rPr>
                <w:rFonts w:ascii="Aptos" w:hAnsi="Aptos"/>
                <w:b/>
                <w:bCs/>
                <w:sz w:val="22"/>
                <w:szCs w:val="22"/>
              </w:rPr>
              <w:t>Welche Initativen planen Sie, um die Steueroptimierungsstrategien großer Digitalkonzerne einzuschränken?</w:t>
            </w:r>
          </w:p>
        </w:tc>
      </w:tr>
      <w:tr w:rsidR="00623AF8" w:rsidRPr="001B4DFD" w14:paraId="1A61F5E2" w14:textId="77777777" w:rsidTr="00875DD0">
        <w:tc>
          <w:tcPr>
            <w:tcW w:w="9060" w:type="dxa"/>
            <w:shd w:val="clear" w:color="auto" w:fill="D9D9D9" w:themeFill="background1" w:themeFillShade="D9"/>
          </w:tcPr>
          <w:p w14:paraId="478A295F"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3AD64F3D" w14:textId="77777777" w:rsidTr="00875DD0">
        <w:tc>
          <w:tcPr>
            <w:tcW w:w="9060" w:type="dxa"/>
          </w:tcPr>
          <w:p w14:paraId="3B22A6CF" w14:textId="77777777" w:rsidR="00623AF8" w:rsidRPr="001B4DFD" w:rsidRDefault="00623AF8" w:rsidP="00F63BE8">
            <w:pPr>
              <w:numPr>
                <w:ilvl w:val="0"/>
                <w:numId w:val="15"/>
              </w:numPr>
              <w:spacing w:before="120" w:after="120"/>
              <w:contextualSpacing/>
              <w:jc w:val="both"/>
              <w:rPr>
                <w:rFonts w:ascii="Aptos" w:hAnsi="Aptos"/>
                <w:sz w:val="22"/>
                <w:szCs w:val="22"/>
                <w:lang w:val="de-DE"/>
              </w:rPr>
            </w:pPr>
            <w:r w:rsidRPr="001B4DFD">
              <w:rPr>
                <w:rFonts w:ascii="Aptos" w:hAnsi="Aptos"/>
                <w:sz w:val="22"/>
                <w:szCs w:val="22"/>
              </w:rPr>
              <w:t xml:space="preserve">Gibt es bereits konkrete Überlegungen, die globale Umsatzsteuer für Digitalkonzerne zu erhöhen (über 15%)? </w:t>
            </w:r>
          </w:p>
          <w:p w14:paraId="3B662685" w14:textId="77777777" w:rsidR="00623AF8" w:rsidRPr="001B4DFD" w:rsidRDefault="00623AF8" w:rsidP="00F63BE8">
            <w:pPr>
              <w:numPr>
                <w:ilvl w:val="0"/>
                <w:numId w:val="15"/>
              </w:numPr>
              <w:spacing w:before="120" w:after="120"/>
              <w:contextualSpacing/>
              <w:jc w:val="both"/>
              <w:rPr>
                <w:rFonts w:ascii="Aptos" w:hAnsi="Aptos"/>
                <w:sz w:val="22"/>
                <w:szCs w:val="22"/>
                <w:lang w:val="de-DE"/>
              </w:rPr>
            </w:pPr>
            <w:r w:rsidRPr="001B4DFD">
              <w:rPr>
                <w:rFonts w:ascii="Aptos" w:hAnsi="Aptos"/>
                <w:sz w:val="22"/>
                <w:szCs w:val="22"/>
              </w:rPr>
              <w:t>Sind in diesem Zusammenhang auch neue Steuern – z. B. eine Transaktionssteuer auf Steueroasen – im Sinne eines Level-Playing-Fields angedacht?</w:t>
            </w:r>
          </w:p>
          <w:p w14:paraId="58E0958E" w14:textId="77777777" w:rsidR="00623AF8" w:rsidRPr="001B4DFD" w:rsidRDefault="00623AF8" w:rsidP="00875DD0">
            <w:pPr>
              <w:spacing w:before="120" w:after="120"/>
              <w:ind w:left="720"/>
              <w:contextualSpacing/>
              <w:jc w:val="both"/>
              <w:rPr>
                <w:rFonts w:ascii="Aptos" w:hAnsi="Aptos"/>
                <w:sz w:val="22"/>
                <w:szCs w:val="22"/>
                <w:lang w:val="de-DE"/>
              </w:rPr>
            </w:pPr>
          </w:p>
        </w:tc>
      </w:tr>
    </w:tbl>
    <w:p w14:paraId="4AAAAB28"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70124266" w14:textId="77777777" w:rsidTr="00875DD0">
        <w:trPr>
          <w:trHeight w:val="277"/>
        </w:trPr>
        <w:tc>
          <w:tcPr>
            <w:tcW w:w="9066" w:type="dxa"/>
            <w:shd w:val="clear" w:color="auto" w:fill="D9D9D9"/>
          </w:tcPr>
          <w:p w14:paraId="1074E8C3" w14:textId="77777777" w:rsidR="00623AF8" w:rsidRPr="001B4DFD" w:rsidRDefault="00623AF8" w:rsidP="00875DD0">
            <w:pPr>
              <w:spacing w:line="258" w:lineRule="exact"/>
              <w:jc w:val="both"/>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078A40CA" w14:textId="77777777" w:rsidR="00623AF8" w:rsidRPr="001B4DFD" w:rsidRDefault="00623AF8" w:rsidP="00623AF8">
      <w:pPr>
        <w:jc w:val="both"/>
        <w:rPr>
          <w:rFonts w:ascii="Aptos" w:hAnsi="Aptos"/>
          <w:sz w:val="22"/>
          <w:szCs w:val="22"/>
        </w:rPr>
      </w:pPr>
      <w:r w:rsidRPr="001B4DFD">
        <w:rPr>
          <w:rFonts w:ascii="Aptos" w:hAnsi="Aptos"/>
          <w:sz w:val="22"/>
          <w:szCs w:val="22"/>
        </w:rPr>
        <w:t>Durch Steueroptimierungsstrategien von großen Digitalkonzernen entgehen den EU-Mitgliedsstaaten, in denen die Unternehmen agieren, erhebliche Steuereinnahmen. Diese Einnahmen sind jedoch notwendig, um öffentliche Dienstleistungen und Infrastruktur zu finanzieren, wie Bildung, Gesundheit, Sicherheit und Transport. Mittels Steueroptimierungsmaßnahmen kommt es zu einer Verschiebung der Steuerlast und zu einer Wettbewerbsverzerrung, da Unternehmen, die aggressive Steueroptimierungsstrategien einsetzen, sich einen unfairen Wettbewerbsvorteil gegenüber Unternehmen verschaffen können, die ihre Steuern ordnungsgemäß zahlen. Dies kann zu einer Verzerrung des Marktes führen und die Wettbewerbsfähigkeit standortgebundener Unternehmen beeinträchtigen. Mit sinkenden Steuereinnahmen hat der Staat weniger Mittel für öffentliche Investitionen, die für das Wirtschaftswachstum und die gesellschaftliche Entwicklung entscheidend sind. Dies betrifft Bereiche wie Infrastruktur, Bildung, Forschung und Entwicklung sowie soziale Sicherungssysteme.Insgesamt schaden Steueroptimierungsmaßnahmen dem Staat und der Gesellschaft, indem sie Steuereinnahmen verringern, die Ungleichheit erhöhen, den Wettbewerb verzerren und das Vertrauen in die Fairness des Steuersystems untergraben. Im Sinne eines Level-Playing-Fields sollten daher Steueroptimierungsmaßnahmen für große Digitalkonzerne eingeschränkt werden.</w:t>
      </w:r>
    </w:p>
    <w:p w14:paraId="5DE43111" w14:textId="77777777" w:rsidR="00623AF8" w:rsidRPr="001B4DFD" w:rsidRDefault="00623AF8" w:rsidP="00623AF8">
      <w:pPr>
        <w:rPr>
          <w:rFonts w:ascii="Aptos" w:hAnsi="Aptos"/>
          <w:sz w:val="22"/>
          <w:szCs w:val="22"/>
          <w:highlight w:val="yellow"/>
        </w:rPr>
      </w:pPr>
    </w:p>
    <w:p w14:paraId="163B2F0C" w14:textId="77777777" w:rsidR="00623AF8" w:rsidRPr="001B4DFD" w:rsidRDefault="00623AF8" w:rsidP="00623AF8">
      <w:pPr>
        <w:rPr>
          <w:rFonts w:ascii="Aptos" w:hAnsi="Aptos"/>
          <w:sz w:val="22"/>
          <w:szCs w:val="22"/>
        </w:rPr>
      </w:pPr>
      <w:r w:rsidRPr="001B4DFD">
        <w:rPr>
          <w:rFonts w:ascii="Aptos" w:hAnsi="Aptos"/>
          <w:b/>
          <w:sz w:val="22"/>
          <w:szCs w:val="22"/>
        </w:rPr>
        <w:br w:type="page"/>
      </w:r>
    </w:p>
    <w:p w14:paraId="778898FA" w14:textId="77777777" w:rsidR="00623AF8" w:rsidRPr="001B4DFD" w:rsidRDefault="00623AF8" w:rsidP="00623AF8">
      <w:pPr>
        <w:rPr>
          <w:rFonts w:ascii="Aptos" w:hAnsi="Aptos"/>
        </w:rPr>
      </w:pPr>
    </w:p>
    <w:p w14:paraId="4E61A2CF" w14:textId="77777777" w:rsidR="00623AF8" w:rsidRPr="001B4DFD" w:rsidRDefault="00623AF8" w:rsidP="00623AF8">
      <w:pPr>
        <w:rPr>
          <w:rFonts w:ascii="Aptos" w:hAnsi="Aptos"/>
        </w:rPr>
      </w:pPr>
    </w:p>
    <w:p w14:paraId="12AFBFEF" w14:textId="77777777" w:rsidR="00623AF8" w:rsidRPr="001B4DFD" w:rsidRDefault="00623AF8" w:rsidP="00623AF8">
      <w:pPr>
        <w:rPr>
          <w:rFonts w:ascii="Aptos" w:hAnsi="Aptos"/>
        </w:rPr>
      </w:pPr>
    </w:p>
    <w:p w14:paraId="7B62FA67" w14:textId="77777777" w:rsidR="00623AF8" w:rsidRPr="001B4DFD" w:rsidRDefault="00623AF8" w:rsidP="00623AF8">
      <w:pPr>
        <w:rPr>
          <w:rFonts w:ascii="Aptos" w:hAnsi="Aptos"/>
        </w:rPr>
      </w:pPr>
    </w:p>
    <w:p w14:paraId="1F2D45AB"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407" w:name="_Toc164937472"/>
      <w:bookmarkStart w:id="408" w:name="_Toc167727005"/>
      <w:bookmarkStart w:id="409" w:name="_Toc170983789"/>
      <w:r w:rsidRPr="001B4DFD">
        <w:rPr>
          <w:rFonts w:ascii="Aptos" w:eastAsiaTheme="majorEastAsia" w:hAnsi="Aptos" w:cstheme="majorBidi"/>
          <w:b/>
          <w:color w:val="E4342D"/>
          <w:szCs w:val="32"/>
        </w:rPr>
        <w:t>Gemeinsame europäische Cyberabwehr</w:t>
      </w:r>
      <w:bookmarkEnd w:id="407"/>
      <w:bookmarkEnd w:id="408"/>
      <w:bookmarkEnd w:id="409"/>
    </w:p>
    <w:p w14:paraId="26D67B87" w14:textId="77777777" w:rsidR="00623AF8" w:rsidRPr="001B4DFD" w:rsidRDefault="00623AF8" w:rsidP="00623AF8">
      <w:pPr>
        <w:rPr>
          <w:rFonts w:ascii="Aptos" w:hAnsi="Aptos"/>
        </w:rPr>
      </w:pPr>
    </w:p>
    <w:tbl>
      <w:tblPr>
        <w:tblStyle w:val="Tabellenraster"/>
        <w:tblW w:w="0" w:type="auto"/>
        <w:tblLook w:val="04A0" w:firstRow="1" w:lastRow="0" w:firstColumn="1" w:lastColumn="0" w:noHBand="0" w:noVBand="1"/>
      </w:tblPr>
      <w:tblGrid>
        <w:gridCol w:w="9060"/>
      </w:tblGrid>
      <w:tr w:rsidR="00623AF8" w:rsidRPr="001B4DFD" w14:paraId="77C0108B" w14:textId="77777777" w:rsidTr="00875DD0">
        <w:tc>
          <w:tcPr>
            <w:tcW w:w="9060" w:type="dxa"/>
            <w:shd w:val="clear" w:color="auto" w:fill="D9D9D9" w:themeFill="background1" w:themeFillShade="D9"/>
          </w:tcPr>
          <w:p w14:paraId="0D4DABAF"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3BB76DAC" w14:textId="77777777" w:rsidTr="00875DD0">
        <w:tc>
          <w:tcPr>
            <w:tcW w:w="9060" w:type="dxa"/>
          </w:tcPr>
          <w:p w14:paraId="1E4798A3" w14:textId="77777777" w:rsidR="00623AF8" w:rsidRPr="001B4DFD" w:rsidRDefault="00623AF8" w:rsidP="00875DD0">
            <w:pPr>
              <w:spacing w:before="120" w:after="120"/>
              <w:jc w:val="both"/>
              <w:rPr>
                <w:rFonts w:ascii="Aptos" w:hAnsi="Aptos"/>
                <w:b/>
                <w:bCs/>
                <w:sz w:val="22"/>
                <w:szCs w:val="22"/>
              </w:rPr>
            </w:pPr>
            <w:r w:rsidRPr="001B4DFD">
              <w:rPr>
                <w:rFonts w:ascii="Aptos" w:hAnsi="Aptos"/>
                <w:sz w:val="22"/>
                <w:szCs w:val="22"/>
              </w:rPr>
              <w:t xml:space="preserve">Öffentliche Einrichtungen in Europa werden zunehmend zum Ziel von Cyber-Angriffen. Angriffe auf Energieversorger, Krankenhäuser, Stadtverwaltungen und andere sicherheitskritische Bereiche müssen verhindert werden. </w:t>
            </w:r>
            <w:r w:rsidRPr="001B4DFD">
              <w:rPr>
                <w:rFonts w:ascii="Aptos" w:hAnsi="Aptos"/>
                <w:b/>
                <w:bCs/>
                <w:sz w:val="22"/>
                <w:szCs w:val="22"/>
              </w:rPr>
              <w:t>Plant Sie den Aufbau einer gemeinsamen europäischen Cyberabwehr nach amerikanischem Vorbild?</w:t>
            </w:r>
          </w:p>
        </w:tc>
      </w:tr>
      <w:tr w:rsidR="00623AF8" w:rsidRPr="001B4DFD" w14:paraId="5356AE3B" w14:textId="77777777" w:rsidTr="00875DD0">
        <w:tc>
          <w:tcPr>
            <w:tcW w:w="9060" w:type="dxa"/>
            <w:shd w:val="clear" w:color="auto" w:fill="D9D9D9" w:themeFill="background1" w:themeFillShade="D9"/>
          </w:tcPr>
          <w:p w14:paraId="06F72BC4"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34623AAC" w14:textId="77777777" w:rsidTr="00875DD0">
        <w:trPr>
          <w:trHeight w:val="891"/>
        </w:trPr>
        <w:tc>
          <w:tcPr>
            <w:tcW w:w="9060" w:type="dxa"/>
          </w:tcPr>
          <w:p w14:paraId="3F66F7D5" w14:textId="77777777" w:rsidR="00623AF8" w:rsidRPr="001B4DFD" w:rsidRDefault="00623AF8" w:rsidP="00F63BE8">
            <w:pPr>
              <w:numPr>
                <w:ilvl w:val="0"/>
                <w:numId w:val="15"/>
              </w:numPr>
              <w:spacing w:before="120" w:after="120"/>
              <w:contextualSpacing/>
              <w:jc w:val="both"/>
              <w:rPr>
                <w:rFonts w:ascii="Aptos" w:hAnsi="Aptos"/>
                <w:sz w:val="22"/>
                <w:szCs w:val="22"/>
              </w:rPr>
            </w:pPr>
            <w:r w:rsidRPr="001B4DFD">
              <w:rPr>
                <w:rFonts w:ascii="Aptos" w:hAnsi="Aptos"/>
                <w:sz w:val="22"/>
                <w:szCs w:val="22"/>
              </w:rPr>
              <w:t>Wenn eine strategische und gemeinsame europäische Cyberabwehr geplant ist, welchen Zeithorizont sehen Sie dafür?</w:t>
            </w:r>
          </w:p>
          <w:p w14:paraId="6C3E7D85" w14:textId="77777777" w:rsidR="00623AF8" w:rsidRPr="001B4DFD" w:rsidRDefault="00623AF8" w:rsidP="00F63BE8">
            <w:pPr>
              <w:numPr>
                <w:ilvl w:val="0"/>
                <w:numId w:val="15"/>
              </w:numPr>
              <w:spacing w:before="120" w:after="120"/>
              <w:contextualSpacing/>
              <w:jc w:val="both"/>
              <w:rPr>
                <w:rFonts w:ascii="Aptos" w:hAnsi="Aptos"/>
                <w:sz w:val="22"/>
                <w:szCs w:val="22"/>
              </w:rPr>
            </w:pPr>
            <w:r w:rsidRPr="001B4DFD">
              <w:rPr>
                <w:rFonts w:ascii="Aptos" w:hAnsi="Aptos"/>
                <w:sz w:val="22"/>
                <w:szCs w:val="22"/>
              </w:rPr>
              <w:t xml:space="preserve">Welche Rolle spielt in diesen Plänen der Schutz kritischer Infrastrukturen und sensibler Lieferketten (z.B. Medikamente)? </w:t>
            </w:r>
          </w:p>
        </w:tc>
      </w:tr>
    </w:tbl>
    <w:p w14:paraId="3771ACEE"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75E00EE9" w14:textId="77777777" w:rsidTr="00875DD0">
        <w:trPr>
          <w:trHeight w:val="277"/>
        </w:trPr>
        <w:tc>
          <w:tcPr>
            <w:tcW w:w="9066" w:type="dxa"/>
            <w:shd w:val="clear" w:color="auto" w:fill="D9D9D9"/>
          </w:tcPr>
          <w:p w14:paraId="1F03F523" w14:textId="77777777" w:rsidR="00623AF8" w:rsidRPr="001B4DFD" w:rsidRDefault="00623AF8" w:rsidP="00875DD0">
            <w:pPr>
              <w:spacing w:line="258" w:lineRule="exact"/>
              <w:jc w:val="both"/>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2FA900A0" w14:textId="77777777" w:rsidR="00623AF8" w:rsidRPr="001B4DFD" w:rsidRDefault="00623AF8" w:rsidP="00623AF8">
      <w:pPr>
        <w:jc w:val="both"/>
        <w:rPr>
          <w:rFonts w:ascii="Aptos" w:hAnsi="Aptos"/>
          <w:sz w:val="22"/>
          <w:szCs w:val="22"/>
        </w:rPr>
      </w:pPr>
      <w:r w:rsidRPr="001B4DFD">
        <w:rPr>
          <w:rFonts w:ascii="Aptos" w:hAnsi="Aptos"/>
          <w:sz w:val="22"/>
          <w:szCs w:val="22"/>
        </w:rPr>
        <w:t>Kritische Infrastrukturen und öffentliche Einrichtungen sind essenziell für das tägliche Leben und die Funktionsfähigkeit von Gesellschaft und Wirtschaft (z.B. Energieversorgung, Wasserversorgung, Gesundheitswesen, Transport und Kommunikation). Aus diesem Grund sind sie attraktive Ziele für Cyberangriffe für Cyberkriminelle und staatlich unterstützte Hacker. Eine gemeinsame europäische Cyberabwehr würde sowohl die Sicherheit der Mitgliedstaaten gewährleisten als auch die wirtschaftliche und politische Stabilität der Europäischen Union stärken. Durch den Austausch von Informationen über Cyberbedrohungen und Sicherheitsvorfälle können die EU-Mitgliedstaaten schneller auf Bedrohungen reagieren und präventive Maßnahmen ergreifen. Gemeinsame Abwehrstrategien ermöglichen eine koordinierte Reaktion auf Cyberangriffe, wodurch die Effektivität von Abwehrmaßnahmen erhöht wird (z.B. schnellere Reaktionszeiten, effektives Krisenmanagement). Zudem würde eine starke, eigenständige europäische Cyberabwehr die Abhängigkeit von externen Anbietern reduzieren und die digitale Souveränität der EU erhöhen. Kritische Infrastrukturen, die grenzüberschreitend operieren (wie Energieversorgung, Kommunikation und Transport), können durch koordinierte Maßnahmen besser geschützt werden und gemeinsame Sicherheitsstandards und -protokolle könnten dazu beitragen, Schwachstellen zu identifizieren und zu beheben. Eine gemeinsame europäische Cyberabwehr bietet eine Vielzahl von Vorteilen, die von erhöhter Sicherheit und Resilienz über Ressourceneffizienz bis hin zu einer stärkeren internationalen Position reichen. Diese Zusammenarbeit ist entscheidend, um den wachsenden Bedrohungen im Cyberraum wirksam zu begegnen und die digitale Zukunft der EU zu sichern.</w:t>
      </w:r>
    </w:p>
    <w:p w14:paraId="0189B6E5" w14:textId="77777777" w:rsidR="00623AF8" w:rsidRPr="001B4DFD" w:rsidRDefault="00623AF8" w:rsidP="00623AF8">
      <w:pPr>
        <w:rPr>
          <w:rFonts w:ascii="Aptos" w:hAnsi="Aptos"/>
          <w:sz w:val="22"/>
          <w:szCs w:val="22"/>
          <w:highlight w:val="yellow"/>
        </w:rPr>
      </w:pPr>
    </w:p>
    <w:p w14:paraId="1B3A2E95" w14:textId="77777777" w:rsidR="00623AF8" w:rsidRPr="001B4DFD" w:rsidRDefault="00623AF8" w:rsidP="00623AF8">
      <w:pPr>
        <w:rPr>
          <w:rFonts w:ascii="Aptos" w:hAnsi="Aptos"/>
          <w:bCs/>
          <w:sz w:val="22"/>
          <w:szCs w:val="22"/>
        </w:rPr>
      </w:pPr>
      <w:r w:rsidRPr="001B4DFD">
        <w:rPr>
          <w:rFonts w:ascii="Aptos" w:hAnsi="Aptos"/>
          <w:bCs/>
          <w:sz w:val="22"/>
          <w:szCs w:val="22"/>
        </w:rPr>
        <w:br w:type="page"/>
      </w:r>
    </w:p>
    <w:p w14:paraId="2219D73C" w14:textId="77777777" w:rsidR="00623AF8" w:rsidRPr="001B4DFD" w:rsidRDefault="00623AF8" w:rsidP="00623AF8">
      <w:pPr>
        <w:spacing w:after="120"/>
        <w:jc w:val="both"/>
        <w:rPr>
          <w:rFonts w:ascii="Aptos" w:hAnsi="Aptos"/>
        </w:rPr>
      </w:pPr>
    </w:p>
    <w:p w14:paraId="5462D440" w14:textId="77777777" w:rsidR="00623AF8" w:rsidRPr="001B4DFD" w:rsidRDefault="00623AF8" w:rsidP="00623AF8">
      <w:pPr>
        <w:rPr>
          <w:rFonts w:ascii="Aptos" w:hAnsi="Aptos"/>
          <w:bCs/>
          <w:iCs/>
          <w:sz w:val="22"/>
          <w:szCs w:val="22"/>
        </w:rPr>
      </w:pPr>
    </w:p>
    <w:p w14:paraId="6E758D53" w14:textId="77777777" w:rsidR="00623AF8" w:rsidRPr="001B4DFD" w:rsidRDefault="00623AF8" w:rsidP="00623AF8">
      <w:pPr>
        <w:spacing w:after="120"/>
        <w:jc w:val="both"/>
        <w:rPr>
          <w:rFonts w:ascii="Aptos" w:hAnsi="Aptos"/>
          <w:bCs/>
          <w:iCs/>
          <w:sz w:val="22"/>
          <w:szCs w:val="22"/>
        </w:rPr>
      </w:pPr>
    </w:p>
    <w:p w14:paraId="2EBBAB3B"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410" w:name="_Toc167727006"/>
      <w:bookmarkStart w:id="411" w:name="_Toc170983790"/>
      <w:r w:rsidRPr="001B4DFD">
        <w:rPr>
          <w:rFonts w:ascii="Aptos" w:eastAsiaTheme="majorEastAsia" w:hAnsi="Aptos" w:cstheme="majorBidi"/>
          <w:b/>
          <w:color w:val="E4342D"/>
          <w:szCs w:val="32"/>
        </w:rPr>
        <w:t xml:space="preserve">Kryptowährungen – Ausbau des Marktes für </w:t>
      </w:r>
      <w:bookmarkEnd w:id="410"/>
      <w:r w:rsidRPr="001B4DFD">
        <w:rPr>
          <w:rFonts w:ascii="Aptos" w:eastAsiaTheme="majorEastAsia" w:hAnsi="Aptos" w:cstheme="majorBidi"/>
          <w:b/>
          <w:color w:val="E4342D"/>
          <w:szCs w:val="32"/>
        </w:rPr>
        <w:t>Stablecoins</w:t>
      </w:r>
      <w:bookmarkEnd w:id="411"/>
    </w:p>
    <w:p w14:paraId="70A4B67F" w14:textId="77777777" w:rsidR="00623AF8" w:rsidRPr="001B4DFD" w:rsidRDefault="00623AF8" w:rsidP="00623AF8">
      <w:pPr>
        <w:rPr>
          <w:rFonts w:ascii="Aptos" w:hAnsi="Aptos"/>
        </w:rPr>
      </w:pPr>
    </w:p>
    <w:tbl>
      <w:tblPr>
        <w:tblStyle w:val="Tabellenraster"/>
        <w:tblW w:w="0" w:type="auto"/>
        <w:tblLook w:val="04A0" w:firstRow="1" w:lastRow="0" w:firstColumn="1" w:lastColumn="0" w:noHBand="0" w:noVBand="1"/>
      </w:tblPr>
      <w:tblGrid>
        <w:gridCol w:w="9060"/>
      </w:tblGrid>
      <w:tr w:rsidR="00623AF8" w:rsidRPr="001B4DFD" w14:paraId="089B779A" w14:textId="77777777" w:rsidTr="00875DD0">
        <w:tc>
          <w:tcPr>
            <w:tcW w:w="9060" w:type="dxa"/>
            <w:shd w:val="clear" w:color="auto" w:fill="D9D9D9" w:themeFill="background1" w:themeFillShade="D9"/>
          </w:tcPr>
          <w:p w14:paraId="79FA0B96"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16DCCE91" w14:textId="77777777" w:rsidTr="00875DD0">
        <w:tc>
          <w:tcPr>
            <w:tcW w:w="9060" w:type="dxa"/>
            <w:shd w:val="clear" w:color="auto" w:fill="auto"/>
          </w:tcPr>
          <w:p w14:paraId="4F47F708" w14:textId="77777777" w:rsidR="00623AF8" w:rsidRPr="001B4DFD" w:rsidRDefault="00623AF8" w:rsidP="00875DD0">
            <w:pPr>
              <w:spacing w:before="120" w:after="120"/>
              <w:jc w:val="both"/>
              <w:rPr>
                <w:rFonts w:ascii="Aptos" w:hAnsi="Aptos"/>
                <w:b/>
                <w:bCs/>
                <w:sz w:val="22"/>
                <w:szCs w:val="22"/>
              </w:rPr>
            </w:pPr>
            <w:r w:rsidRPr="001B4DFD">
              <w:rPr>
                <w:rFonts w:ascii="Aptos" w:hAnsi="Aptos"/>
                <w:sz w:val="22"/>
                <w:szCs w:val="22"/>
              </w:rPr>
              <w:t xml:space="preserve">Stablecoins sind Kryptowährungen, die im Gegensatz zu den meisten anderen Kryptowährungen an einen stabilen Vermögenswert, wie zum Beispiel eine Fiatwährung wie den US-Dollar oder einen Rohstoff wie Gold, gebunden sind. Ihr Wert bleibt daher relativ konstant im Vergleich zu den starken Preisschwankungen, die bei anderen Kryptowährungen üblich sind. Während US-Dollar-Stablecoins bereits weit verbreitet sind, ist der Marktanteil von Euro-Stablecoins noch verschwindend gering.  </w:t>
            </w:r>
            <w:r w:rsidRPr="001B4DFD">
              <w:rPr>
                <w:rFonts w:ascii="Aptos" w:hAnsi="Aptos"/>
                <w:b/>
                <w:bCs/>
                <w:sz w:val="22"/>
                <w:szCs w:val="22"/>
              </w:rPr>
              <w:t>Inwieweit planen Sie europäische Händler auf dem internationalen Markt für Stablecoins zu unterstützen?</w:t>
            </w:r>
          </w:p>
        </w:tc>
      </w:tr>
      <w:tr w:rsidR="00623AF8" w:rsidRPr="001B4DFD" w14:paraId="3E2E08E4" w14:textId="77777777" w:rsidTr="00875DD0">
        <w:tc>
          <w:tcPr>
            <w:tcW w:w="9060" w:type="dxa"/>
            <w:shd w:val="clear" w:color="auto" w:fill="D9D9D9" w:themeFill="background1" w:themeFillShade="D9"/>
          </w:tcPr>
          <w:p w14:paraId="2FED504B"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299CED51" w14:textId="77777777" w:rsidTr="00875DD0">
        <w:tc>
          <w:tcPr>
            <w:tcW w:w="9060" w:type="dxa"/>
          </w:tcPr>
          <w:p w14:paraId="0717DCC9" w14:textId="77777777" w:rsidR="00623AF8" w:rsidRPr="001B4DFD" w:rsidRDefault="00623AF8" w:rsidP="00F63BE8">
            <w:pPr>
              <w:numPr>
                <w:ilvl w:val="0"/>
                <w:numId w:val="17"/>
              </w:numPr>
              <w:spacing w:before="120" w:after="120"/>
              <w:contextualSpacing/>
              <w:jc w:val="both"/>
              <w:rPr>
                <w:rFonts w:ascii="Aptos" w:hAnsi="Aptos"/>
                <w:sz w:val="22"/>
                <w:szCs w:val="22"/>
                <w:lang w:val="de-DE"/>
              </w:rPr>
            </w:pPr>
            <w:r w:rsidRPr="001B4DFD">
              <w:rPr>
                <w:rFonts w:ascii="Aptos" w:hAnsi="Aptos"/>
                <w:sz w:val="22"/>
                <w:szCs w:val="22"/>
                <w:lang w:val="de-DE"/>
              </w:rPr>
              <w:t>Gibt es bereits Pläne, den Markt für Stablecoins zu regulieren?</w:t>
            </w:r>
          </w:p>
          <w:p w14:paraId="397DC936" w14:textId="77777777" w:rsidR="00623AF8" w:rsidRPr="001B4DFD" w:rsidRDefault="00623AF8" w:rsidP="00F63BE8">
            <w:pPr>
              <w:numPr>
                <w:ilvl w:val="0"/>
                <w:numId w:val="17"/>
              </w:numPr>
              <w:spacing w:before="120" w:after="120"/>
              <w:contextualSpacing/>
              <w:jc w:val="both"/>
              <w:rPr>
                <w:rFonts w:ascii="Aptos" w:hAnsi="Aptos"/>
                <w:sz w:val="22"/>
                <w:szCs w:val="22"/>
                <w:lang w:val="de-DE"/>
              </w:rPr>
            </w:pPr>
            <w:r w:rsidRPr="001B4DFD">
              <w:rPr>
                <w:rFonts w:ascii="Aptos" w:hAnsi="Aptos"/>
                <w:sz w:val="22"/>
                <w:szCs w:val="22"/>
                <w:lang w:val="de-DE"/>
              </w:rPr>
              <w:t>Welche Rolle spielen Ihrer Meinung nach europäische Anbieter im Stablecoin-Markt?</w:t>
            </w:r>
          </w:p>
        </w:tc>
      </w:tr>
    </w:tbl>
    <w:p w14:paraId="044907F5"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52DA3B26" w14:textId="77777777" w:rsidTr="00875DD0">
        <w:trPr>
          <w:trHeight w:val="277"/>
        </w:trPr>
        <w:tc>
          <w:tcPr>
            <w:tcW w:w="9066" w:type="dxa"/>
            <w:shd w:val="clear" w:color="auto" w:fill="D9D9D9"/>
          </w:tcPr>
          <w:p w14:paraId="00C2F915" w14:textId="77777777" w:rsidR="00623AF8" w:rsidRPr="001B4DFD" w:rsidRDefault="00623AF8" w:rsidP="00875DD0">
            <w:pPr>
              <w:spacing w:line="258" w:lineRule="exact"/>
              <w:jc w:val="both"/>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191BF434" w14:textId="77777777" w:rsidR="00623AF8" w:rsidRPr="001B4DFD" w:rsidRDefault="00623AF8" w:rsidP="00623AF8">
      <w:pPr>
        <w:jc w:val="both"/>
        <w:rPr>
          <w:rFonts w:ascii="Aptos" w:hAnsi="Aptos"/>
          <w:sz w:val="22"/>
          <w:szCs w:val="22"/>
        </w:rPr>
      </w:pPr>
      <w:r w:rsidRPr="001B4DFD">
        <w:rPr>
          <w:rFonts w:ascii="Aptos" w:hAnsi="Aptos"/>
          <w:sz w:val="22"/>
          <w:szCs w:val="22"/>
        </w:rPr>
        <w:t>Stablecoins sind eine spezielle Art von Kryptowährung, die entwickelt wurde, um den hohen Volatilitäten traditioneller Kryptowährungen wie Bitcoin und Ethereum entgegenzuwirken. Ihr Ziel ist es, einen stabilen Wert zu erhalten, der oft an eine traditionelle Währung oder andere Vermögenswerte gebunden ist. So können Preisschwankungen minimiert werden. Stablecoins bieten eine Brücke zwischen traditionellen Finanzsystemen und der Welt der Kryptowährungen, indem sie die Vorteile der Blockchain-Technologie mit der Stabilität etablierter Währungen und Vermögenswerte kombinieren. Es gibt zahlreiche europäische Händler und Plattformen, die Stablecoins anbieten oder mit ihnen handeln. Projekte wie Stasis EURS und Monerium entwickeln Euro-gebundene Stablecoins, und führende europäische Krypto-Börsen wie Bitpanda, Kraken, Bitstamp und Bittrex Global bieten den Handel mit verschiedenen Stablecoins an. Die regulatorischen Entwicklungen in der EU könnten die Nutzung von Stablecoins weiter vorantreiben und ihre Integration in das traditionelle Finanzsystem fördern. Die Förderung von Stablecoins durch die EU kann mehrere strategische Vorteile bieten, die sowohl die wirtschaftliche Stabilität als auch die technologische Innovation innerhalb der Union stärken können. Dazu zählen unter anderem die Stärkung der digitalen Souveränität, die Verbesserung der internationalen Wettbewerbsfähigkeit und Effizienzsteigerungen im Zahlungsverkehr.</w:t>
      </w:r>
    </w:p>
    <w:p w14:paraId="60743433" w14:textId="77777777" w:rsidR="00623AF8" w:rsidRPr="001B4DFD" w:rsidRDefault="00623AF8" w:rsidP="00623AF8">
      <w:pPr>
        <w:rPr>
          <w:rFonts w:ascii="Aptos" w:hAnsi="Aptos"/>
          <w:sz w:val="22"/>
          <w:szCs w:val="22"/>
        </w:rPr>
      </w:pPr>
    </w:p>
    <w:p w14:paraId="6503630A" w14:textId="77777777" w:rsidR="00623AF8" w:rsidRPr="001B4DFD" w:rsidRDefault="00623AF8" w:rsidP="00623AF8">
      <w:pPr>
        <w:rPr>
          <w:rFonts w:ascii="Aptos" w:hAnsi="Aptos"/>
          <w:sz w:val="22"/>
          <w:szCs w:val="22"/>
        </w:rPr>
      </w:pPr>
    </w:p>
    <w:p w14:paraId="4DFB60A8" w14:textId="77777777" w:rsidR="00623AF8" w:rsidRPr="001B4DFD" w:rsidRDefault="00623AF8" w:rsidP="00623AF8">
      <w:pPr>
        <w:rPr>
          <w:rFonts w:ascii="Aptos" w:hAnsi="Aptos"/>
          <w:bCs/>
          <w:iCs/>
          <w:sz w:val="22"/>
          <w:szCs w:val="22"/>
        </w:rPr>
      </w:pPr>
      <w:r w:rsidRPr="001B4DFD">
        <w:rPr>
          <w:rFonts w:ascii="Aptos" w:hAnsi="Aptos"/>
          <w:bCs/>
          <w:iCs/>
          <w:sz w:val="22"/>
          <w:szCs w:val="22"/>
        </w:rPr>
        <w:br w:type="page"/>
      </w:r>
    </w:p>
    <w:p w14:paraId="3FB7E7B2" w14:textId="77777777" w:rsidR="00623AF8" w:rsidRPr="001B4DFD" w:rsidRDefault="00623AF8" w:rsidP="00623AF8">
      <w:pPr>
        <w:spacing w:after="120"/>
        <w:jc w:val="both"/>
        <w:rPr>
          <w:rFonts w:ascii="Aptos" w:hAnsi="Aptos"/>
          <w:bCs/>
          <w:iCs/>
          <w:sz w:val="22"/>
          <w:szCs w:val="22"/>
        </w:rPr>
      </w:pPr>
    </w:p>
    <w:p w14:paraId="0D406944" w14:textId="77777777" w:rsidR="00623AF8" w:rsidRPr="001B4DFD" w:rsidRDefault="00623AF8" w:rsidP="00623AF8">
      <w:pPr>
        <w:rPr>
          <w:rFonts w:ascii="Aptos" w:hAnsi="Aptos"/>
        </w:rPr>
      </w:pPr>
    </w:p>
    <w:p w14:paraId="7B1301C2" w14:textId="77777777" w:rsidR="00623AF8" w:rsidRPr="001B4DFD" w:rsidRDefault="00623AF8" w:rsidP="00623AF8">
      <w:pPr>
        <w:rPr>
          <w:rFonts w:ascii="Aptos" w:hAnsi="Aptos"/>
        </w:rPr>
      </w:pPr>
    </w:p>
    <w:p w14:paraId="23376830"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412" w:name="_Toc167727007"/>
      <w:bookmarkStart w:id="413" w:name="_Toc170983791"/>
      <w:r w:rsidRPr="001B4DFD">
        <w:rPr>
          <w:rFonts w:ascii="Aptos" w:eastAsiaTheme="majorEastAsia" w:hAnsi="Aptos" w:cstheme="majorBidi"/>
          <w:b/>
          <w:color w:val="E4342D"/>
          <w:szCs w:val="32"/>
        </w:rPr>
        <w:t>Einführung des Digitalen Euro</w:t>
      </w:r>
      <w:bookmarkEnd w:id="412"/>
      <w:bookmarkEnd w:id="413"/>
    </w:p>
    <w:p w14:paraId="1FA4C4E5" w14:textId="77777777" w:rsidR="00623AF8" w:rsidRPr="001B4DFD"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1B4DFD" w14:paraId="2E636F9D" w14:textId="77777777" w:rsidTr="00875DD0">
        <w:tc>
          <w:tcPr>
            <w:tcW w:w="9060" w:type="dxa"/>
            <w:shd w:val="clear" w:color="auto" w:fill="D9D9D9" w:themeFill="background1" w:themeFillShade="D9"/>
          </w:tcPr>
          <w:p w14:paraId="0F22354C"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02A4D5D2" w14:textId="77777777" w:rsidTr="00875DD0">
        <w:tc>
          <w:tcPr>
            <w:tcW w:w="9060" w:type="dxa"/>
          </w:tcPr>
          <w:p w14:paraId="37BDAD0E" w14:textId="77777777" w:rsidR="00623AF8" w:rsidRPr="001B4DFD" w:rsidRDefault="00623AF8" w:rsidP="00875DD0">
            <w:pPr>
              <w:spacing w:before="120" w:after="120"/>
              <w:jc w:val="both"/>
              <w:rPr>
                <w:rFonts w:ascii="Aptos" w:hAnsi="Aptos"/>
                <w:b/>
                <w:bCs/>
                <w:sz w:val="22"/>
                <w:szCs w:val="22"/>
                <w:lang w:val="de-DE"/>
              </w:rPr>
            </w:pPr>
            <w:r w:rsidRPr="001B4DFD">
              <w:rPr>
                <w:rFonts w:ascii="Aptos" w:hAnsi="Aptos"/>
                <w:sz w:val="22"/>
                <w:szCs w:val="22"/>
              </w:rPr>
              <w:t xml:space="preserve">Die Einführung des Digitalen Euro, die für 2028 vorgesehen ist, sollte so schnell wie möglich erfolgen, um das Zahlungsmittel in der Union zu stärken. </w:t>
            </w:r>
            <w:r w:rsidRPr="001B4DFD">
              <w:rPr>
                <w:rFonts w:ascii="Aptos" w:hAnsi="Aptos"/>
                <w:b/>
                <w:bCs/>
                <w:sz w:val="22"/>
                <w:szCs w:val="22"/>
              </w:rPr>
              <w:t>Wie gedenken Sie die europäischen Nationalbanken bei der Einführung des digitalen Euro zu unterstützen?</w:t>
            </w:r>
          </w:p>
        </w:tc>
      </w:tr>
      <w:tr w:rsidR="00623AF8" w:rsidRPr="001B4DFD" w14:paraId="36E83C87" w14:textId="77777777" w:rsidTr="00875DD0">
        <w:tc>
          <w:tcPr>
            <w:tcW w:w="9060" w:type="dxa"/>
            <w:shd w:val="clear" w:color="auto" w:fill="D9D9D9" w:themeFill="background1" w:themeFillShade="D9"/>
          </w:tcPr>
          <w:p w14:paraId="08AB83B4"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23266650" w14:textId="77777777" w:rsidTr="00875DD0">
        <w:tc>
          <w:tcPr>
            <w:tcW w:w="9060" w:type="dxa"/>
          </w:tcPr>
          <w:p w14:paraId="0666D0FE" w14:textId="77777777" w:rsidR="00623AF8" w:rsidRPr="001B4DFD" w:rsidRDefault="00623AF8" w:rsidP="00F63BE8">
            <w:pPr>
              <w:numPr>
                <w:ilvl w:val="0"/>
                <w:numId w:val="42"/>
              </w:numPr>
              <w:spacing w:before="120" w:after="120"/>
              <w:contextualSpacing/>
              <w:jc w:val="both"/>
              <w:rPr>
                <w:rFonts w:ascii="Aptos" w:hAnsi="Aptos"/>
                <w:sz w:val="22"/>
                <w:szCs w:val="22"/>
              </w:rPr>
            </w:pPr>
            <w:r w:rsidRPr="001B4DFD">
              <w:rPr>
                <w:rFonts w:ascii="Aptos" w:hAnsi="Aptos"/>
                <w:sz w:val="22"/>
                <w:szCs w:val="22"/>
              </w:rPr>
              <w:t>Wie sieht der Zeitplan für die Einführung des Digitalen Euro aus?</w:t>
            </w:r>
          </w:p>
          <w:p w14:paraId="316C4F2E" w14:textId="77777777" w:rsidR="00623AF8" w:rsidRPr="001B4DFD" w:rsidRDefault="00623AF8" w:rsidP="00F63BE8">
            <w:pPr>
              <w:numPr>
                <w:ilvl w:val="0"/>
                <w:numId w:val="42"/>
              </w:numPr>
              <w:spacing w:before="120" w:after="120"/>
              <w:contextualSpacing/>
              <w:jc w:val="both"/>
              <w:rPr>
                <w:rFonts w:ascii="Aptos" w:hAnsi="Aptos"/>
                <w:sz w:val="22"/>
                <w:szCs w:val="22"/>
              </w:rPr>
            </w:pPr>
            <w:r w:rsidRPr="001B4DFD">
              <w:rPr>
                <w:rFonts w:ascii="Aptos" w:hAnsi="Aptos"/>
                <w:sz w:val="22"/>
                <w:szCs w:val="22"/>
              </w:rPr>
              <w:t>Werden durch den Digitalen Euro die Transaktionskosten für europäische Händler bei Zahlungsdienstleistern sinken?</w:t>
            </w:r>
          </w:p>
        </w:tc>
      </w:tr>
    </w:tbl>
    <w:p w14:paraId="132FD34C"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53239CF0" w14:textId="77777777" w:rsidTr="00875DD0">
        <w:trPr>
          <w:trHeight w:val="277"/>
        </w:trPr>
        <w:tc>
          <w:tcPr>
            <w:tcW w:w="9066" w:type="dxa"/>
            <w:shd w:val="clear" w:color="auto" w:fill="D9D9D9"/>
          </w:tcPr>
          <w:p w14:paraId="2CC9C1FC" w14:textId="77777777" w:rsidR="00623AF8" w:rsidRPr="001B4DFD" w:rsidRDefault="00623AF8" w:rsidP="00875DD0">
            <w:pPr>
              <w:spacing w:line="258" w:lineRule="exact"/>
              <w:jc w:val="both"/>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18488C77" w14:textId="77777777" w:rsidR="00623AF8" w:rsidRPr="001B4DFD" w:rsidRDefault="00623AF8" w:rsidP="00623AF8">
      <w:pPr>
        <w:jc w:val="both"/>
        <w:rPr>
          <w:rFonts w:ascii="Aptos" w:hAnsi="Aptos"/>
          <w:bCs/>
          <w:sz w:val="22"/>
          <w:szCs w:val="22"/>
        </w:rPr>
      </w:pPr>
      <w:r w:rsidRPr="001B4DFD">
        <w:rPr>
          <w:rFonts w:ascii="Aptos" w:hAnsi="Aptos"/>
          <w:bCs/>
          <w:sz w:val="22"/>
          <w:szCs w:val="22"/>
        </w:rPr>
        <w:t>Der digitale Euro ist eine von der Europäischen Zentralbank (EZB) geplante digitale Zentralbankwährung (CBDC) für die Eurozone. Sie soll neben der traditionellen Währung betrieben werden und eine schnelle, sichere und innovative Zahlungsmethode bieten, die keine Vermittlung durch Geschäftsbanken erfordert. Im Gegensatz zu Kryptowährungen wird der Wert des digitalen Euros von der Europäischen Zentralbank garantiert. Zentralbankgeld ist für Nicht-Banken derzeit nur in Form von Bargeld zugänglich, der digitale Euro könnte zukünftig eine Ergänzung zum Bargeld sein. Er wird sowohl für Unternehmen als auch für Privatpersonen entwickelt und soll für alltägliche Transaktionen genutzt werden. Die Einführung des digitalen Euros kann Zahlungsprozesse optimieren, die Transaktionskosten senken, den ökologischen Fußabdruck minimieren und die Finanzintegration verbessern, indem Menschen ohne traditionelle Bankkonten die Möglichkeit erhalten, an der digitalen Wirtschaft teilzunehmen. Aus diesen Gründen ist eine umfangreiche Unterstützung der europäischen Nationalbanken bei der Einführung des digitalen Euro notwendig.</w:t>
      </w:r>
    </w:p>
    <w:p w14:paraId="32416C93" w14:textId="77777777" w:rsidR="00623AF8" w:rsidRPr="001B4DFD" w:rsidRDefault="00623AF8" w:rsidP="00623AF8">
      <w:pPr>
        <w:rPr>
          <w:rFonts w:ascii="Aptos" w:hAnsi="Aptos"/>
          <w:bCs/>
          <w:sz w:val="22"/>
          <w:szCs w:val="22"/>
        </w:rPr>
      </w:pPr>
    </w:p>
    <w:p w14:paraId="12EF17D9" w14:textId="77777777" w:rsidR="00623AF8" w:rsidRPr="001B4DFD" w:rsidRDefault="00623AF8" w:rsidP="00623AF8">
      <w:pPr>
        <w:rPr>
          <w:rFonts w:ascii="Aptos" w:hAnsi="Aptos"/>
          <w:bCs/>
          <w:sz w:val="22"/>
          <w:szCs w:val="22"/>
        </w:rPr>
      </w:pPr>
    </w:p>
    <w:p w14:paraId="7972AE81" w14:textId="77777777" w:rsidR="00623AF8" w:rsidRPr="001B4DFD" w:rsidRDefault="00623AF8" w:rsidP="00623AF8">
      <w:pPr>
        <w:rPr>
          <w:rFonts w:ascii="Aptos" w:hAnsi="Aptos"/>
          <w:bCs/>
          <w:sz w:val="22"/>
          <w:szCs w:val="22"/>
        </w:rPr>
      </w:pPr>
    </w:p>
    <w:p w14:paraId="3F9D806D" w14:textId="77777777" w:rsidR="00623AF8" w:rsidRPr="001B4DFD" w:rsidRDefault="00623AF8" w:rsidP="00623AF8">
      <w:pPr>
        <w:rPr>
          <w:rFonts w:ascii="Aptos" w:hAnsi="Aptos"/>
          <w:bCs/>
          <w:sz w:val="22"/>
          <w:szCs w:val="22"/>
        </w:rPr>
      </w:pPr>
      <w:r w:rsidRPr="001B4DFD">
        <w:rPr>
          <w:rFonts w:ascii="Aptos" w:hAnsi="Aptos"/>
          <w:bCs/>
          <w:sz w:val="22"/>
          <w:szCs w:val="22"/>
        </w:rPr>
        <w:br w:type="page"/>
      </w:r>
    </w:p>
    <w:p w14:paraId="1854AF4A" w14:textId="77777777" w:rsidR="00623AF8" w:rsidRPr="001B4DFD" w:rsidRDefault="00623AF8" w:rsidP="00623AF8">
      <w:pPr>
        <w:spacing w:after="120"/>
        <w:jc w:val="both"/>
        <w:rPr>
          <w:rFonts w:ascii="Aptos" w:hAnsi="Aptos"/>
          <w:bCs/>
          <w:iCs/>
          <w:sz w:val="22"/>
          <w:szCs w:val="22"/>
        </w:rPr>
      </w:pPr>
    </w:p>
    <w:p w14:paraId="03D56D9F" w14:textId="77777777" w:rsidR="00623AF8" w:rsidRPr="001B4DFD" w:rsidRDefault="00623AF8" w:rsidP="00623AF8">
      <w:pPr>
        <w:spacing w:after="120"/>
        <w:jc w:val="both"/>
        <w:rPr>
          <w:rFonts w:ascii="Aptos" w:hAnsi="Aptos"/>
          <w:bCs/>
          <w:iCs/>
          <w:sz w:val="22"/>
          <w:szCs w:val="22"/>
        </w:rPr>
      </w:pPr>
    </w:p>
    <w:p w14:paraId="2DDB2808" w14:textId="77777777" w:rsidR="00623AF8" w:rsidRPr="001B4DFD" w:rsidRDefault="00623AF8" w:rsidP="00623AF8">
      <w:pPr>
        <w:rPr>
          <w:rFonts w:ascii="Aptos" w:hAnsi="Aptos"/>
        </w:rPr>
      </w:pPr>
    </w:p>
    <w:p w14:paraId="4B9B8862" w14:textId="77777777" w:rsidR="00623AF8" w:rsidRDefault="00623AF8" w:rsidP="00623AF8">
      <w:pPr>
        <w:spacing w:after="120"/>
        <w:jc w:val="both"/>
        <w:outlineLvl w:val="0"/>
        <w:rPr>
          <w:rFonts w:ascii="Aptos" w:eastAsiaTheme="majorEastAsia" w:hAnsi="Aptos" w:cstheme="majorBidi"/>
          <w:b/>
          <w:color w:val="E4342D"/>
          <w:szCs w:val="32"/>
        </w:rPr>
      </w:pPr>
      <w:bookmarkStart w:id="414" w:name="_Toc164686693"/>
      <w:bookmarkStart w:id="415" w:name="_Toc164937475"/>
      <w:bookmarkStart w:id="416" w:name="_Toc167727008"/>
    </w:p>
    <w:p w14:paraId="28CBEA66" w14:textId="77777777" w:rsidR="00623AF8" w:rsidRDefault="00623AF8" w:rsidP="00623AF8">
      <w:pPr>
        <w:spacing w:after="120"/>
        <w:jc w:val="both"/>
        <w:outlineLvl w:val="0"/>
        <w:rPr>
          <w:rFonts w:ascii="Aptos" w:eastAsiaTheme="majorEastAsia" w:hAnsi="Aptos" w:cstheme="majorBidi"/>
          <w:b/>
          <w:color w:val="E4342D"/>
          <w:szCs w:val="32"/>
        </w:rPr>
      </w:pPr>
    </w:p>
    <w:p w14:paraId="31EC19E1"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417" w:name="_Toc170983792"/>
      <w:r w:rsidRPr="001B4DFD">
        <w:rPr>
          <w:rFonts w:ascii="Aptos" w:eastAsiaTheme="majorEastAsia" w:hAnsi="Aptos" w:cstheme="majorBidi"/>
          <w:b/>
          <w:color w:val="E4342D"/>
          <w:szCs w:val="32"/>
        </w:rPr>
        <w:t>Steueroasentransaktionssteuer</w:t>
      </w:r>
      <w:bookmarkEnd w:id="414"/>
      <w:bookmarkEnd w:id="415"/>
      <w:bookmarkEnd w:id="416"/>
      <w:bookmarkEnd w:id="417"/>
    </w:p>
    <w:p w14:paraId="49A9A9E0" w14:textId="77777777" w:rsidR="00623AF8" w:rsidRPr="001B4DFD"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1B4DFD" w14:paraId="0C89CE45" w14:textId="77777777" w:rsidTr="00875DD0">
        <w:tc>
          <w:tcPr>
            <w:tcW w:w="9060" w:type="dxa"/>
            <w:shd w:val="clear" w:color="auto" w:fill="D9D9D9" w:themeFill="background1" w:themeFillShade="D9"/>
          </w:tcPr>
          <w:p w14:paraId="0CE6C7C0"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Frage</w:t>
            </w:r>
          </w:p>
        </w:tc>
      </w:tr>
      <w:tr w:rsidR="00623AF8" w:rsidRPr="001B4DFD" w14:paraId="25FFDDC3" w14:textId="77777777" w:rsidTr="00875DD0">
        <w:tc>
          <w:tcPr>
            <w:tcW w:w="9060" w:type="dxa"/>
          </w:tcPr>
          <w:p w14:paraId="1DBAE56A" w14:textId="77777777" w:rsidR="00623AF8" w:rsidRPr="001B4DFD" w:rsidRDefault="00623AF8" w:rsidP="00875DD0">
            <w:pPr>
              <w:spacing w:before="120" w:after="120"/>
              <w:jc w:val="both"/>
              <w:rPr>
                <w:rFonts w:ascii="Aptos" w:hAnsi="Aptos"/>
                <w:b/>
                <w:bCs/>
                <w:sz w:val="22"/>
                <w:szCs w:val="22"/>
                <w:lang w:val="de-DE"/>
              </w:rPr>
            </w:pPr>
            <w:r w:rsidRPr="001B4DFD">
              <w:rPr>
                <w:rFonts w:ascii="Aptos" w:hAnsi="Aptos"/>
                <w:sz w:val="22"/>
                <w:szCs w:val="22"/>
                <w:lang w:val="de-DE"/>
              </w:rPr>
              <w:t xml:space="preserve">Den Staaten der Europäischen Union entgehen jährlich 170 Milliarden Euro durch Steueroasen in der EU. Konzerne und vermögende Privatpersonen verlagern ihre Gewinne in Niedrigsteuerländer, wodurch ein immer größerer Teil der öffentlichen Haushalte von anderen Steuerzahlern finanziert werden muss. </w:t>
            </w:r>
            <w:r w:rsidRPr="001B4DFD">
              <w:rPr>
                <w:rFonts w:ascii="Aptos" w:hAnsi="Aptos"/>
                <w:b/>
                <w:bCs/>
                <w:sz w:val="22"/>
                <w:szCs w:val="22"/>
                <w:lang w:val="de-DE"/>
              </w:rPr>
              <w:t>Welche Initiativen und steuerlichen Maßnahmen planen Sie, um gleiche Wettbewerbsbedingungen im Binnenmarkt zu schaffen, indem Transaktionen in Steueroasen mit einer allgemeinen Transaktionssteuer belegt werden?</w:t>
            </w:r>
          </w:p>
        </w:tc>
      </w:tr>
      <w:tr w:rsidR="00623AF8" w:rsidRPr="001B4DFD" w14:paraId="5731937E" w14:textId="77777777" w:rsidTr="00875DD0">
        <w:tc>
          <w:tcPr>
            <w:tcW w:w="9060" w:type="dxa"/>
            <w:shd w:val="clear" w:color="auto" w:fill="D9D9D9" w:themeFill="background1" w:themeFillShade="D9"/>
          </w:tcPr>
          <w:p w14:paraId="63EB5BE7"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15FFAFDD" w14:textId="77777777" w:rsidTr="00875DD0">
        <w:tc>
          <w:tcPr>
            <w:tcW w:w="9060" w:type="dxa"/>
          </w:tcPr>
          <w:p w14:paraId="23F43C2A" w14:textId="77777777" w:rsidR="00623AF8" w:rsidRPr="001B4DFD" w:rsidRDefault="00623AF8" w:rsidP="00F63BE8">
            <w:pPr>
              <w:numPr>
                <w:ilvl w:val="0"/>
                <w:numId w:val="18"/>
              </w:numPr>
              <w:spacing w:before="120" w:after="120"/>
              <w:contextualSpacing/>
              <w:jc w:val="both"/>
              <w:rPr>
                <w:rFonts w:ascii="Aptos" w:hAnsi="Aptos"/>
                <w:sz w:val="22"/>
                <w:szCs w:val="22"/>
                <w:lang w:val="de-DE"/>
              </w:rPr>
            </w:pPr>
            <w:r w:rsidRPr="001B4DFD">
              <w:rPr>
                <w:rFonts w:ascii="Aptos" w:hAnsi="Aptos"/>
                <w:sz w:val="22"/>
                <w:szCs w:val="22"/>
                <w:lang w:val="de-DE"/>
              </w:rPr>
              <w:t>Wie wichtig ist für Sie das Thema Steuergerechtigkeit und welche Rolle spielen dabei Transaktionssteuern?</w:t>
            </w:r>
          </w:p>
          <w:p w14:paraId="6BB4E69B" w14:textId="77777777" w:rsidR="00623AF8" w:rsidRPr="001B4DFD" w:rsidRDefault="00623AF8" w:rsidP="00F63BE8">
            <w:pPr>
              <w:numPr>
                <w:ilvl w:val="0"/>
                <w:numId w:val="18"/>
              </w:numPr>
              <w:spacing w:before="120" w:after="120"/>
              <w:contextualSpacing/>
              <w:jc w:val="both"/>
              <w:rPr>
                <w:rFonts w:ascii="Aptos" w:hAnsi="Aptos"/>
                <w:sz w:val="22"/>
                <w:szCs w:val="22"/>
                <w:lang w:val="de-DE"/>
              </w:rPr>
            </w:pPr>
            <w:r w:rsidRPr="001B4DFD">
              <w:rPr>
                <w:rFonts w:ascii="Aptos" w:hAnsi="Aptos"/>
                <w:sz w:val="22"/>
                <w:szCs w:val="22"/>
                <w:lang w:val="de-DE"/>
              </w:rPr>
              <w:t>Planen Sie eine höhere Besteuerung des plattformbedingten Inverkehrbringens?</w:t>
            </w:r>
          </w:p>
        </w:tc>
      </w:tr>
    </w:tbl>
    <w:p w14:paraId="0D0A65F7"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20453F3B" w14:textId="77777777" w:rsidTr="00875DD0">
        <w:trPr>
          <w:trHeight w:val="277"/>
        </w:trPr>
        <w:tc>
          <w:tcPr>
            <w:tcW w:w="9066" w:type="dxa"/>
            <w:shd w:val="clear" w:color="auto" w:fill="D9D9D9"/>
          </w:tcPr>
          <w:p w14:paraId="62F65C71" w14:textId="77777777" w:rsidR="00623AF8" w:rsidRPr="001B4DFD" w:rsidRDefault="00623AF8" w:rsidP="00875DD0">
            <w:pPr>
              <w:spacing w:line="258" w:lineRule="exact"/>
              <w:jc w:val="both"/>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1B978EA8" w14:textId="77777777" w:rsidR="00623AF8" w:rsidRPr="001B4DFD" w:rsidRDefault="00623AF8" w:rsidP="00623AF8">
      <w:pPr>
        <w:jc w:val="both"/>
        <w:rPr>
          <w:rFonts w:ascii="Aptos" w:hAnsi="Aptos"/>
          <w:sz w:val="22"/>
          <w:szCs w:val="22"/>
        </w:rPr>
      </w:pPr>
      <w:r w:rsidRPr="001B4DFD">
        <w:rPr>
          <w:rFonts w:ascii="Aptos" w:hAnsi="Aptos"/>
          <w:sz w:val="22"/>
          <w:szCs w:val="22"/>
        </w:rPr>
        <w:t>Den EU-Staaten entgehen jährlich erhebliche Steuereinnahmen durch Steuervermeidung und Steuerhinterziehung über Steueroasen. Laut Schätzungen können die Verluste bis zu 170 Milliarden Euro pro Jahr betragen. Diese Verluste haben tiefgreifende Auswirkungen auf die öffentlichen Finanzen, den Wettbewerb und die soziale Gerechtigkeit. Zudem wird durch die Nutzung von Steueroasen und komplexen Steuergestaltungspraktiken die Steuerbasis vieler EU-Mitgliedsstaaten ausgehöhlt. Die Bekämpfung von Steueroasen erfordert daher ein umfassendes Maßnahmenpaket, das Transparenz erhöht, internationale Zusammenarbeit stärkt und nationale Steuerregelungen verbessert. Durch eine allgemeine Transaktionssteuer auf Steueroasen könnten EU-Mitgliedstaaten die negativen Auswirkungen von Steueroasen erheblich reduzieren und ein gerechteres globales Steuersystem schaffen.</w:t>
      </w:r>
    </w:p>
    <w:p w14:paraId="20487CCE" w14:textId="77777777" w:rsidR="00623AF8" w:rsidRPr="001B4DFD" w:rsidRDefault="00623AF8" w:rsidP="00623AF8">
      <w:pPr>
        <w:rPr>
          <w:rFonts w:ascii="Aptos" w:hAnsi="Aptos"/>
          <w:sz w:val="22"/>
          <w:szCs w:val="22"/>
        </w:rPr>
      </w:pPr>
    </w:p>
    <w:p w14:paraId="17E8A00A" w14:textId="77777777" w:rsidR="00623AF8" w:rsidRPr="001B4DFD" w:rsidRDefault="00623AF8" w:rsidP="00623AF8">
      <w:pPr>
        <w:rPr>
          <w:rFonts w:ascii="Aptos" w:hAnsi="Aptos"/>
          <w:bCs/>
          <w:sz w:val="22"/>
          <w:szCs w:val="22"/>
        </w:rPr>
      </w:pPr>
      <w:r w:rsidRPr="001B4DFD">
        <w:rPr>
          <w:rFonts w:ascii="Aptos" w:hAnsi="Aptos"/>
          <w:bCs/>
          <w:sz w:val="22"/>
          <w:szCs w:val="22"/>
        </w:rPr>
        <w:br w:type="page"/>
      </w:r>
    </w:p>
    <w:p w14:paraId="525051C2" w14:textId="77777777" w:rsidR="00623AF8" w:rsidRPr="001B4DFD" w:rsidRDefault="00623AF8" w:rsidP="00623AF8">
      <w:pPr>
        <w:spacing w:after="120"/>
        <w:jc w:val="both"/>
        <w:rPr>
          <w:rFonts w:ascii="Aptos" w:hAnsi="Aptos"/>
          <w:bCs/>
          <w:iCs/>
          <w:sz w:val="22"/>
          <w:szCs w:val="22"/>
        </w:rPr>
      </w:pPr>
    </w:p>
    <w:p w14:paraId="6E5D6D2B" w14:textId="77777777" w:rsidR="00623AF8" w:rsidRPr="001B4DFD" w:rsidRDefault="00623AF8" w:rsidP="00623AF8">
      <w:pPr>
        <w:spacing w:after="120"/>
        <w:jc w:val="both"/>
        <w:rPr>
          <w:rFonts w:ascii="Aptos" w:hAnsi="Aptos"/>
          <w:bCs/>
          <w:iCs/>
          <w:sz w:val="22"/>
          <w:szCs w:val="22"/>
        </w:rPr>
      </w:pPr>
    </w:p>
    <w:p w14:paraId="113207D4" w14:textId="77777777" w:rsidR="00623AF8" w:rsidRPr="001B4DFD" w:rsidRDefault="00623AF8" w:rsidP="00623AF8">
      <w:pPr>
        <w:rPr>
          <w:rFonts w:ascii="Aptos" w:hAnsi="Aptos"/>
        </w:rPr>
      </w:pPr>
    </w:p>
    <w:p w14:paraId="47631792" w14:textId="77777777" w:rsidR="00623AF8" w:rsidRDefault="00623AF8" w:rsidP="00623AF8">
      <w:pPr>
        <w:spacing w:after="120"/>
        <w:jc w:val="both"/>
        <w:outlineLvl w:val="0"/>
        <w:rPr>
          <w:rFonts w:ascii="Aptos" w:eastAsiaTheme="majorEastAsia" w:hAnsi="Aptos" w:cstheme="majorBidi"/>
          <w:b/>
          <w:color w:val="E4342D"/>
          <w:szCs w:val="32"/>
        </w:rPr>
      </w:pPr>
      <w:bookmarkStart w:id="418" w:name="_Toc164686694"/>
      <w:bookmarkStart w:id="419" w:name="_Toc164937476"/>
      <w:bookmarkStart w:id="420" w:name="_Toc167727009"/>
    </w:p>
    <w:p w14:paraId="3F8C27C9" w14:textId="77777777" w:rsidR="00623AF8" w:rsidRPr="001B4DFD" w:rsidRDefault="00623AF8" w:rsidP="00623AF8">
      <w:pPr>
        <w:spacing w:after="120"/>
        <w:jc w:val="both"/>
        <w:outlineLvl w:val="0"/>
        <w:rPr>
          <w:rFonts w:ascii="Aptos" w:eastAsiaTheme="majorEastAsia" w:hAnsi="Aptos" w:cstheme="majorBidi"/>
          <w:b/>
          <w:color w:val="E4342D"/>
          <w:szCs w:val="32"/>
        </w:rPr>
      </w:pPr>
      <w:bookmarkStart w:id="421" w:name="_Toc170983793"/>
      <w:r w:rsidRPr="001B4DFD">
        <w:rPr>
          <w:rFonts w:ascii="Aptos" w:eastAsiaTheme="majorEastAsia" w:hAnsi="Aptos" w:cstheme="majorBidi"/>
          <w:b/>
          <w:color w:val="E4342D"/>
          <w:szCs w:val="32"/>
        </w:rPr>
        <w:t>Widersprüche bei Digitalgesetzen</w:t>
      </w:r>
      <w:bookmarkEnd w:id="418"/>
      <w:bookmarkEnd w:id="419"/>
      <w:bookmarkEnd w:id="420"/>
      <w:bookmarkEnd w:id="421"/>
    </w:p>
    <w:p w14:paraId="7EDF2B7F" w14:textId="77777777" w:rsidR="00623AF8" w:rsidRPr="001B4DFD"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1B4DFD" w14:paraId="2DB35175" w14:textId="77777777" w:rsidTr="00875DD0">
        <w:tc>
          <w:tcPr>
            <w:tcW w:w="9060" w:type="dxa"/>
            <w:shd w:val="clear" w:color="auto" w:fill="D9D9D9" w:themeFill="background1" w:themeFillShade="D9"/>
          </w:tcPr>
          <w:p w14:paraId="5294B367" w14:textId="77777777" w:rsidR="00623AF8" w:rsidRPr="001B4DFD" w:rsidRDefault="00623AF8" w:rsidP="00875DD0">
            <w:pPr>
              <w:spacing w:before="120" w:after="120"/>
              <w:jc w:val="both"/>
              <w:rPr>
                <w:rFonts w:ascii="Aptos" w:hAnsi="Aptos"/>
                <w:b/>
                <w:iCs/>
                <w:sz w:val="22"/>
                <w:szCs w:val="22"/>
              </w:rPr>
            </w:pPr>
            <w:r w:rsidRPr="001B4DFD">
              <w:rPr>
                <w:rFonts w:ascii="Aptos" w:hAnsi="Aptos"/>
                <w:b/>
                <w:iCs/>
                <w:sz w:val="22"/>
                <w:szCs w:val="22"/>
              </w:rPr>
              <w:t xml:space="preserve">Frage </w:t>
            </w:r>
          </w:p>
        </w:tc>
      </w:tr>
      <w:tr w:rsidR="00623AF8" w:rsidRPr="001B4DFD" w14:paraId="2983E8F2" w14:textId="77777777" w:rsidTr="00875DD0">
        <w:tc>
          <w:tcPr>
            <w:tcW w:w="9060" w:type="dxa"/>
            <w:shd w:val="clear" w:color="auto" w:fill="auto"/>
          </w:tcPr>
          <w:p w14:paraId="5348C394" w14:textId="77777777" w:rsidR="00623AF8" w:rsidRPr="001B4DFD" w:rsidRDefault="00623AF8" w:rsidP="00875DD0">
            <w:pPr>
              <w:spacing w:after="160" w:line="259" w:lineRule="auto"/>
              <w:contextualSpacing/>
              <w:jc w:val="both"/>
              <w:rPr>
                <w:rFonts w:ascii="Aptos" w:eastAsia="Aptos" w:hAnsi="Aptos" w:cs="Times New Roman"/>
                <w:kern w:val="2"/>
                <w:sz w:val="22"/>
                <w:szCs w:val="22"/>
                <w14:ligatures w14:val="standardContextual"/>
              </w:rPr>
            </w:pPr>
            <w:r w:rsidRPr="001B4DFD">
              <w:rPr>
                <w:rFonts w:ascii="Aptos" w:eastAsia="Aptos" w:hAnsi="Aptos" w:cs="Times New Roman"/>
                <w:kern w:val="2"/>
                <w:sz w:val="22"/>
                <w:szCs w:val="22"/>
                <w14:ligatures w14:val="standardContextual"/>
              </w:rPr>
              <w:t xml:space="preserve">In den letzten Jahren wurden zahlreiche Digitalgesetze verabschiedet. Diese enthalten zum Teil widersprüchliche Formulierungen und Regelungen. Dies führt zu einer großen Rechtsunsicherheit bei den betroffenen Akteuren. </w:t>
            </w:r>
            <w:r w:rsidRPr="001B4DFD">
              <w:rPr>
                <w:rFonts w:ascii="Aptos" w:eastAsia="Aptos" w:hAnsi="Aptos" w:cs="Times New Roman"/>
                <w:b/>
                <w:bCs/>
                <w:kern w:val="2"/>
                <w:sz w:val="22"/>
                <w:szCs w:val="22"/>
                <w14:ligatures w14:val="standardContextual"/>
              </w:rPr>
              <w:t>Planen Sie ein „Legal Scrubbing“, um Widersprüche in den Digitalgesetzen aufzulösen?</w:t>
            </w:r>
          </w:p>
        </w:tc>
      </w:tr>
      <w:tr w:rsidR="00623AF8" w:rsidRPr="001B4DFD" w14:paraId="5850D87C" w14:textId="77777777" w:rsidTr="00875DD0">
        <w:tc>
          <w:tcPr>
            <w:tcW w:w="9060" w:type="dxa"/>
            <w:shd w:val="clear" w:color="auto" w:fill="D9D9D9" w:themeFill="background1" w:themeFillShade="D9"/>
          </w:tcPr>
          <w:p w14:paraId="448C6022" w14:textId="77777777" w:rsidR="00623AF8" w:rsidRPr="001B4DFD" w:rsidRDefault="00623AF8" w:rsidP="00875DD0">
            <w:pPr>
              <w:spacing w:before="120" w:after="120"/>
              <w:jc w:val="both"/>
              <w:rPr>
                <w:rFonts w:ascii="Aptos" w:hAnsi="Aptos"/>
                <w:b/>
                <w:bCs/>
                <w:sz w:val="22"/>
                <w:szCs w:val="22"/>
              </w:rPr>
            </w:pPr>
            <w:r w:rsidRPr="001B4DFD">
              <w:rPr>
                <w:rFonts w:ascii="Aptos" w:hAnsi="Aptos"/>
                <w:b/>
                <w:bCs/>
                <w:sz w:val="22"/>
                <w:szCs w:val="22"/>
              </w:rPr>
              <w:t>Nachfrage</w:t>
            </w:r>
          </w:p>
        </w:tc>
      </w:tr>
      <w:tr w:rsidR="00623AF8" w:rsidRPr="001B4DFD" w14:paraId="4F218129" w14:textId="77777777" w:rsidTr="00875DD0">
        <w:tc>
          <w:tcPr>
            <w:tcW w:w="9060" w:type="dxa"/>
          </w:tcPr>
          <w:p w14:paraId="308DE89C" w14:textId="77777777" w:rsidR="00623AF8" w:rsidRPr="001B4DFD" w:rsidRDefault="00623AF8" w:rsidP="00F63BE8">
            <w:pPr>
              <w:numPr>
                <w:ilvl w:val="0"/>
                <w:numId w:val="19"/>
              </w:numPr>
              <w:spacing w:before="120" w:after="120"/>
              <w:contextualSpacing/>
              <w:jc w:val="both"/>
              <w:rPr>
                <w:rFonts w:ascii="Aptos" w:hAnsi="Aptos"/>
                <w:sz w:val="22"/>
                <w:szCs w:val="22"/>
                <w:lang w:val="de-DE"/>
              </w:rPr>
            </w:pPr>
            <w:r w:rsidRPr="001B4DFD">
              <w:rPr>
                <w:rFonts w:ascii="Aptos" w:eastAsia="Aptos" w:hAnsi="Aptos" w:cs="Times New Roman"/>
                <w:kern w:val="2"/>
                <w:sz w:val="22"/>
                <w:szCs w:val="22"/>
                <w14:ligatures w14:val="standardContextual"/>
              </w:rPr>
              <w:t>Beabsichtigt Sie einen Mechanismus einzuführen, um Widersprüche in den Vorschriften aufzulösen?</w:t>
            </w:r>
          </w:p>
        </w:tc>
      </w:tr>
    </w:tbl>
    <w:p w14:paraId="5364EF97" w14:textId="77777777" w:rsidR="00623AF8" w:rsidRPr="001B4DFD"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1B4DFD" w14:paraId="0A667C83" w14:textId="77777777" w:rsidTr="00875DD0">
        <w:trPr>
          <w:trHeight w:val="277"/>
        </w:trPr>
        <w:tc>
          <w:tcPr>
            <w:tcW w:w="9066" w:type="dxa"/>
            <w:shd w:val="clear" w:color="auto" w:fill="D9D9D9"/>
          </w:tcPr>
          <w:p w14:paraId="62484AB2" w14:textId="77777777" w:rsidR="00623AF8" w:rsidRPr="001B4DFD" w:rsidRDefault="00623AF8" w:rsidP="00875DD0">
            <w:pPr>
              <w:spacing w:line="258" w:lineRule="exact"/>
              <w:jc w:val="both"/>
              <w:rPr>
                <w:rFonts w:ascii="Aptos" w:eastAsia="Arial MT" w:hAnsi="Aptos" w:cs="Arial MT"/>
                <w:b/>
                <w:szCs w:val="22"/>
                <w:lang w:val="en-GB"/>
              </w:rPr>
            </w:pPr>
            <w:r w:rsidRPr="001B4DFD">
              <w:rPr>
                <w:rFonts w:ascii="Aptos" w:eastAsia="Arial MT" w:hAnsi="Aptos" w:cs="Arial MT"/>
                <w:b/>
                <w:szCs w:val="22"/>
                <w:lang w:val="en-GB"/>
              </w:rPr>
              <w:t>Hintergrundinformationen</w:t>
            </w:r>
          </w:p>
        </w:tc>
      </w:tr>
    </w:tbl>
    <w:p w14:paraId="18C36C02" w14:textId="77777777" w:rsidR="00623AF8" w:rsidRPr="001B4DFD" w:rsidRDefault="00623AF8" w:rsidP="00623AF8">
      <w:pPr>
        <w:spacing w:after="120"/>
        <w:jc w:val="both"/>
        <w:rPr>
          <w:rFonts w:ascii="Aptos" w:hAnsi="Aptos"/>
          <w:bCs/>
          <w:iCs/>
          <w:sz w:val="22"/>
          <w:szCs w:val="22"/>
        </w:rPr>
      </w:pPr>
      <w:r w:rsidRPr="001B4DFD">
        <w:rPr>
          <w:rFonts w:ascii="Aptos" w:hAnsi="Aptos"/>
          <w:bCs/>
          <w:iCs/>
          <w:sz w:val="22"/>
          <w:szCs w:val="22"/>
        </w:rPr>
        <w:t>Aufgrund der großen Mengen an neuen Digitalrechtsakten in den vergangenen Jahren werden Rechtsanwender zusehends mit widersprüchlichen oder zumindest nicht vollständig harmonisierten Gesetzen konfrontiert. Dies liegt oft daran, dass neue Regelungen in einem schnelllebigen digitalen Umfeld entwickelt werden, in dem bestehende Gesetze möglicherweise noch nicht vollständig angepasst wurden. Die EU ist grundsätzlich bestrebt, ein kohärentes und harmonisiertes Regelwerk für den digitalen Binnenmarkt zu schaffen. Dennoch kann es aufgrund der Komplexität und der schnellen Entwicklung des digitalen Umfelds zu Widersprüchen und Spannungen zwischen verschiedenen Regelungen kommen. Diese Widersprüche erfordern eine kontinuierliche Anpassung und Koordination zwischen den verschiedenen Gesetzesinitiativen, um sicherzustellen, dass sie miteinander kompatibel sind und die übergeordneten Ziele der EU im Bereich Datenschutz, Wettbewerb, Innovation und Grundrechte fördern. Aus diesem Grund empfiehlt es sich, EU-Digitalgesetze einem sogenannten „legal scrubbing“ zu unterziehen. Unter "Legal Scrubbing" versteht man den Prozess der juristischen Überprüfung und Bereinigung von Texten, insbesondere von Verträgen, Gesetzesentwürfen, Vereinbarungen und anderen rechtlichen Dokumenten. Durch diesen Prozess werden die rechtliche Qualität und Klarheit von Dokumenten sichergestellt. Durch eine gründliche Überprüfung und Bereinigung können rechtliche Risiken minimiert und die Verständlichkeit und Konsistenz von Texten gewährleistet werden.</w:t>
      </w:r>
    </w:p>
    <w:p w14:paraId="1C1347F8" w14:textId="77777777" w:rsidR="00623AF8" w:rsidRPr="001B4DFD" w:rsidRDefault="00623AF8" w:rsidP="00623AF8">
      <w:pPr>
        <w:spacing w:after="120"/>
        <w:jc w:val="both"/>
        <w:rPr>
          <w:rFonts w:ascii="Aptos" w:hAnsi="Aptos"/>
          <w:b/>
          <w:iCs/>
          <w:sz w:val="22"/>
          <w:szCs w:val="22"/>
        </w:rPr>
      </w:pPr>
    </w:p>
    <w:p w14:paraId="2ABCB443" w14:textId="77777777" w:rsidR="00623AF8" w:rsidRPr="001B4DFD" w:rsidRDefault="00623AF8" w:rsidP="00623AF8">
      <w:pPr>
        <w:rPr>
          <w:rFonts w:ascii="Aptos" w:hAnsi="Aptos"/>
        </w:rPr>
      </w:pPr>
    </w:p>
    <w:p w14:paraId="245C268A" w14:textId="77777777" w:rsidR="00623AF8" w:rsidRPr="001B4DFD" w:rsidRDefault="00623AF8" w:rsidP="00623AF8">
      <w:pPr>
        <w:rPr>
          <w:rFonts w:ascii="Aptos" w:hAnsi="Aptos"/>
          <w:bCs/>
          <w:sz w:val="22"/>
          <w:szCs w:val="22"/>
        </w:rPr>
      </w:pPr>
    </w:p>
    <w:p w14:paraId="7E3F3872" w14:textId="77777777" w:rsidR="00623AF8" w:rsidRDefault="00623AF8" w:rsidP="00623AF8">
      <w:pPr>
        <w:tabs>
          <w:tab w:val="left" w:pos="2768"/>
        </w:tabs>
        <w:rPr>
          <w:rFonts w:ascii="Times New Roman" w:eastAsia="Times New Roman" w:hAnsi="Times New Roman" w:cstheme="minorHAnsi"/>
          <w:color w:val="A6A6A6" w:themeColor="background1" w:themeShade="A6"/>
          <w:spacing w:val="20"/>
          <w:sz w:val="28"/>
          <w:szCs w:val="28"/>
          <w:lang w:eastAsia="de-AT"/>
        </w:rPr>
      </w:pPr>
    </w:p>
    <w:p w14:paraId="5A657615" w14:textId="77777777" w:rsidR="00623AF8" w:rsidRDefault="00623AF8" w:rsidP="00623AF8">
      <w:pPr>
        <w:tabs>
          <w:tab w:val="left" w:pos="2768"/>
        </w:tabs>
        <w:rPr>
          <w:rFonts w:ascii="Times New Roman" w:eastAsia="Times New Roman" w:hAnsi="Times New Roman" w:cstheme="minorHAnsi"/>
          <w:color w:val="A6A6A6" w:themeColor="background1" w:themeShade="A6"/>
          <w:spacing w:val="20"/>
          <w:sz w:val="28"/>
          <w:szCs w:val="28"/>
          <w:lang w:eastAsia="de-AT"/>
        </w:rPr>
      </w:pPr>
    </w:p>
    <w:p w14:paraId="016FE976" w14:textId="77777777" w:rsidR="00623AF8" w:rsidRDefault="00623AF8" w:rsidP="00623AF8">
      <w:pPr>
        <w:tabs>
          <w:tab w:val="left" w:pos="2768"/>
        </w:tabs>
        <w:rPr>
          <w:rFonts w:ascii="Times New Roman" w:eastAsia="Times New Roman" w:hAnsi="Times New Roman" w:cstheme="minorHAnsi"/>
          <w:color w:val="A6A6A6" w:themeColor="background1" w:themeShade="A6"/>
          <w:spacing w:val="20"/>
          <w:sz w:val="28"/>
          <w:szCs w:val="28"/>
          <w:lang w:eastAsia="de-AT"/>
        </w:rPr>
      </w:pPr>
    </w:p>
    <w:p w14:paraId="3D5C0193" w14:textId="77777777" w:rsidR="00623AF8" w:rsidRDefault="00623AF8" w:rsidP="00623AF8">
      <w:pPr>
        <w:tabs>
          <w:tab w:val="left" w:pos="2768"/>
        </w:tabs>
        <w:rPr>
          <w:rFonts w:ascii="Times New Roman" w:eastAsia="Times New Roman" w:hAnsi="Times New Roman" w:cstheme="minorHAnsi"/>
          <w:color w:val="A6A6A6" w:themeColor="background1" w:themeShade="A6"/>
          <w:spacing w:val="20"/>
          <w:sz w:val="28"/>
          <w:szCs w:val="28"/>
          <w:lang w:eastAsia="de-AT"/>
        </w:rPr>
      </w:pPr>
    </w:p>
    <w:p w14:paraId="0DB5369A" w14:textId="77777777" w:rsidR="00623AF8" w:rsidRDefault="00623AF8" w:rsidP="00623AF8">
      <w:pPr>
        <w:tabs>
          <w:tab w:val="left" w:pos="2768"/>
        </w:tabs>
        <w:rPr>
          <w:rFonts w:ascii="Times New Roman" w:eastAsia="Times New Roman" w:hAnsi="Times New Roman" w:cstheme="minorHAnsi"/>
          <w:color w:val="A6A6A6" w:themeColor="background1" w:themeShade="A6"/>
          <w:spacing w:val="20"/>
          <w:sz w:val="28"/>
          <w:szCs w:val="28"/>
          <w:lang w:eastAsia="de-AT"/>
        </w:rPr>
      </w:pPr>
    </w:p>
    <w:p w14:paraId="7BFC7AD9" w14:textId="77777777" w:rsidR="00623AF8" w:rsidRDefault="00623AF8" w:rsidP="00623AF8">
      <w:pPr>
        <w:tabs>
          <w:tab w:val="left" w:pos="2768"/>
        </w:tabs>
        <w:rPr>
          <w:rFonts w:ascii="Times New Roman" w:eastAsia="Times New Roman" w:hAnsi="Times New Roman" w:cstheme="minorHAnsi"/>
          <w:color w:val="A6A6A6" w:themeColor="background1" w:themeShade="A6"/>
          <w:spacing w:val="20"/>
          <w:sz w:val="28"/>
          <w:szCs w:val="28"/>
          <w:lang w:eastAsia="de-AT"/>
        </w:rPr>
      </w:pPr>
    </w:p>
    <w:p w14:paraId="2001CCEC" w14:textId="77777777" w:rsidR="00623AF8" w:rsidRDefault="00623AF8" w:rsidP="00623AF8">
      <w:pPr>
        <w:tabs>
          <w:tab w:val="left" w:pos="2768"/>
        </w:tabs>
        <w:rPr>
          <w:rFonts w:ascii="Times New Roman" w:eastAsia="Times New Roman" w:hAnsi="Times New Roman" w:cstheme="minorHAnsi"/>
          <w:color w:val="A6A6A6" w:themeColor="background1" w:themeShade="A6"/>
          <w:spacing w:val="20"/>
          <w:sz w:val="28"/>
          <w:szCs w:val="28"/>
          <w:lang w:eastAsia="de-AT"/>
        </w:rPr>
      </w:pPr>
    </w:p>
    <w:p w14:paraId="001F3768" w14:textId="77777777" w:rsidR="00623AF8" w:rsidRDefault="00623AF8" w:rsidP="00623AF8">
      <w:pPr>
        <w:tabs>
          <w:tab w:val="left" w:pos="2768"/>
        </w:tabs>
        <w:rPr>
          <w:rFonts w:ascii="Times New Roman" w:eastAsia="Times New Roman" w:hAnsi="Times New Roman" w:cstheme="minorHAnsi"/>
          <w:color w:val="A6A6A6" w:themeColor="background1" w:themeShade="A6"/>
          <w:spacing w:val="20"/>
          <w:sz w:val="28"/>
          <w:szCs w:val="28"/>
          <w:lang w:eastAsia="de-AT"/>
        </w:rPr>
      </w:pPr>
    </w:p>
    <w:p w14:paraId="489D30B3" w14:textId="77777777" w:rsidR="00623AF8" w:rsidRDefault="00623AF8" w:rsidP="00623AF8">
      <w:pPr>
        <w:tabs>
          <w:tab w:val="left" w:pos="2768"/>
        </w:tabs>
        <w:rPr>
          <w:rFonts w:ascii="Times New Roman" w:eastAsia="Times New Roman" w:hAnsi="Times New Roman" w:cstheme="minorHAnsi"/>
          <w:color w:val="A6A6A6" w:themeColor="background1" w:themeShade="A6"/>
          <w:spacing w:val="20"/>
          <w:sz w:val="28"/>
          <w:szCs w:val="28"/>
          <w:lang w:eastAsia="de-AT"/>
        </w:rPr>
      </w:pPr>
    </w:p>
    <w:p w14:paraId="51622B67" w14:textId="77777777" w:rsidR="00623AF8" w:rsidRDefault="00623AF8" w:rsidP="00623AF8">
      <w:pPr>
        <w:rPr>
          <w:rFonts w:ascii="Aptos" w:hAnsi="Aptos"/>
        </w:rPr>
      </w:pPr>
    </w:p>
    <w:p w14:paraId="3E27F79E" w14:textId="77777777" w:rsidR="00623AF8" w:rsidRDefault="00623AF8" w:rsidP="00623AF8">
      <w:pPr>
        <w:rPr>
          <w:rFonts w:ascii="Aptos" w:hAnsi="Aptos"/>
        </w:rPr>
      </w:pPr>
    </w:p>
    <w:p w14:paraId="1E534324" w14:textId="77777777" w:rsidR="00623AF8" w:rsidRPr="00516474" w:rsidRDefault="00623AF8" w:rsidP="00623AF8">
      <w:pPr>
        <w:pStyle w:val="berschrift1"/>
        <w:jc w:val="center"/>
        <w:rPr>
          <w:rFonts w:ascii="Aptos" w:hAnsi="Aptos"/>
          <w:color w:val="A6A6A6" w:themeColor="background1" w:themeShade="A6"/>
          <w:sz w:val="28"/>
          <w:szCs w:val="28"/>
        </w:rPr>
      </w:pPr>
      <w:bookmarkStart w:id="422" w:name="_Toc170983794"/>
      <w:r w:rsidRPr="00516474">
        <w:rPr>
          <w:rFonts w:ascii="Aptos" w:hAnsi="Aptos"/>
          <w:color w:val="A6A6A6" w:themeColor="background1" w:themeShade="A6"/>
          <w:sz w:val="28"/>
          <w:szCs w:val="28"/>
        </w:rPr>
        <w:t xml:space="preserve">Ausarbeitung </w:t>
      </w:r>
      <w:r>
        <w:rPr>
          <w:rFonts w:ascii="Aptos" w:hAnsi="Aptos"/>
          <w:color w:val="A6A6A6" w:themeColor="background1" w:themeShade="A6"/>
          <w:sz w:val="28"/>
          <w:szCs w:val="28"/>
        </w:rPr>
        <w:t>der</w:t>
      </w:r>
      <w:r w:rsidRPr="00516474">
        <w:rPr>
          <w:rFonts w:ascii="Aptos" w:hAnsi="Aptos"/>
          <w:color w:val="A6A6A6" w:themeColor="background1" w:themeShade="A6"/>
          <w:sz w:val="28"/>
          <w:szCs w:val="28"/>
        </w:rPr>
        <w:t xml:space="preserve"> Fragen aus dem Bereich Wohn</w:t>
      </w:r>
      <w:bookmarkEnd w:id="422"/>
      <w:r>
        <w:rPr>
          <w:rFonts w:ascii="Aptos" w:hAnsi="Aptos"/>
          <w:color w:val="A6A6A6" w:themeColor="background1" w:themeShade="A6"/>
          <w:sz w:val="28"/>
          <w:szCs w:val="28"/>
        </w:rPr>
        <w:t>ungspolitik</w:t>
      </w:r>
    </w:p>
    <w:p w14:paraId="7B436E47" w14:textId="77777777" w:rsidR="00623AF8" w:rsidRDefault="00623AF8" w:rsidP="00623AF8"/>
    <w:p w14:paraId="64EA8E74" w14:textId="77777777" w:rsidR="00623AF8" w:rsidRDefault="00623AF8" w:rsidP="00623AF8">
      <w:pPr>
        <w:pStyle w:val="berschrift1"/>
      </w:pPr>
      <w:bookmarkStart w:id="423" w:name="_Toc170377492"/>
      <w:bookmarkStart w:id="424" w:name="_Toc170983795"/>
      <w:r w:rsidRPr="0050443A">
        <w:t>Arbeitsbedingungen in der Bauwirtschaft</w:t>
      </w:r>
      <w:bookmarkEnd w:id="423"/>
      <w:bookmarkEnd w:id="424"/>
    </w:p>
    <w:p w14:paraId="1567F14D" w14:textId="77777777" w:rsidR="00623AF8" w:rsidRPr="00C91F5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6A9CA03E" w14:textId="77777777" w:rsidTr="00875DD0">
        <w:tc>
          <w:tcPr>
            <w:tcW w:w="9060" w:type="dxa"/>
            <w:shd w:val="clear" w:color="auto" w:fill="D9D9D9" w:themeFill="background1" w:themeFillShade="D9"/>
          </w:tcPr>
          <w:p w14:paraId="4FA0E5CC"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771261DA" w14:textId="77777777" w:rsidTr="00875DD0">
        <w:tc>
          <w:tcPr>
            <w:tcW w:w="9060" w:type="dxa"/>
          </w:tcPr>
          <w:p w14:paraId="15BC6243" w14:textId="77777777" w:rsidR="00623AF8" w:rsidRPr="0050443A" w:rsidRDefault="00623AF8" w:rsidP="00875DD0">
            <w:pPr>
              <w:jc w:val="both"/>
              <w:rPr>
                <w:rFonts w:ascii="Aptos" w:hAnsi="Aptos"/>
                <w:b/>
                <w:bCs/>
                <w:sz w:val="22"/>
                <w:szCs w:val="22"/>
              </w:rPr>
            </w:pPr>
            <w:r w:rsidRPr="0088466A">
              <w:rPr>
                <w:rFonts w:ascii="Aptos" w:hAnsi="Aptos"/>
                <w:sz w:val="22"/>
                <w:szCs w:val="22"/>
              </w:rPr>
              <w:t>Die Bau- und Immobilienwirtschaft ist ein wichtiger Arbeitgeber in Europa und von entscheidender Bedeutung für den Wirtschaftsstandort Europa. Gerade in kleineren Mitgliedsstaaten mit vielen angrenzenden EU-Nachbarländern kann es auf Baustellen zu Sozial- und Lohndumping kommen. Die Gründung von Bauunternehmen, die nach Abschluss des Bauvorhabens direkt in den Konkurs gehen und/oder Steuerhinterziehung betreiben, schadet den öffentlichen Haushalten und verursacht hohe negative soziale Externalitäten.</w:t>
            </w:r>
            <w:r>
              <w:rPr>
                <w:rFonts w:ascii="Aptos" w:hAnsi="Aptos"/>
                <w:sz w:val="22"/>
                <w:szCs w:val="22"/>
              </w:rPr>
              <w:t xml:space="preserve"> </w:t>
            </w:r>
            <w:r w:rsidRPr="00325640">
              <w:rPr>
                <w:rFonts w:ascii="Aptos" w:hAnsi="Aptos"/>
                <w:b/>
                <w:bCs/>
                <w:sz w:val="22"/>
                <w:szCs w:val="22"/>
              </w:rPr>
              <w:t>Wie wollen Sie Sozial- und Lohndumping in der Bauwirtschaft verhindern?</w:t>
            </w:r>
          </w:p>
        </w:tc>
      </w:tr>
      <w:tr w:rsidR="00623AF8" w:rsidRPr="0050443A" w14:paraId="30DB3A52" w14:textId="77777777" w:rsidTr="00875DD0">
        <w:tc>
          <w:tcPr>
            <w:tcW w:w="9060" w:type="dxa"/>
            <w:shd w:val="clear" w:color="auto" w:fill="D9D9D9" w:themeFill="background1" w:themeFillShade="D9"/>
          </w:tcPr>
          <w:p w14:paraId="1740ED45"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3869C2F5" w14:textId="77777777" w:rsidTr="00875DD0">
        <w:tc>
          <w:tcPr>
            <w:tcW w:w="9060" w:type="dxa"/>
          </w:tcPr>
          <w:p w14:paraId="655935DA" w14:textId="77777777" w:rsidR="00623AF8" w:rsidRPr="00325640" w:rsidRDefault="00623AF8" w:rsidP="00F63BE8">
            <w:pPr>
              <w:pStyle w:val="Listenabsatz"/>
              <w:numPr>
                <w:ilvl w:val="0"/>
                <w:numId w:val="10"/>
              </w:numPr>
              <w:spacing w:before="120" w:after="120"/>
              <w:jc w:val="both"/>
              <w:rPr>
                <w:rFonts w:ascii="Aptos" w:hAnsi="Aptos"/>
                <w:sz w:val="22"/>
                <w:szCs w:val="22"/>
              </w:rPr>
            </w:pPr>
            <w:r w:rsidRPr="00325640">
              <w:rPr>
                <w:rFonts w:ascii="Aptos" w:hAnsi="Aptos"/>
                <w:sz w:val="22"/>
                <w:szCs w:val="22"/>
              </w:rPr>
              <w:t>Wie wollen Sie sichere Arbeitsbedingungen auf europäischen Baustellen gewährleisten?</w:t>
            </w:r>
          </w:p>
          <w:p w14:paraId="2A73D2C6" w14:textId="77777777" w:rsidR="00623AF8" w:rsidRPr="00325640" w:rsidRDefault="00623AF8" w:rsidP="00F63BE8">
            <w:pPr>
              <w:pStyle w:val="Listenabsatz"/>
              <w:numPr>
                <w:ilvl w:val="0"/>
                <w:numId w:val="10"/>
              </w:numPr>
              <w:spacing w:before="120" w:after="120"/>
              <w:jc w:val="both"/>
              <w:rPr>
                <w:rFonts w:ascii="Aptos" w:hAnsi="Aptos"/>
                <w:sz w:val="22"/>
                <w:szCs w:val="22"/>
              </w:rPr>
            </w:pPr>
            <w:r w:rsidRPr="00325640">
              <w:rPr>
                <w:rFonts w:ascii="Aptos" w:hAnsi="Aptos"/>
                <w:sz w:val="22"/>
                <w:szCs w:val="22"/>
              </w:rPr>
              <w:t xml:space="preserve">Wie möchten Sie sicherstellen, dass die Verantwortlichen auf europäischen Baustellen (Geschäftsführer:innen) </w:t>
            </w:r>
            <w:r>
              <w:rPr>
                <w:rFonts w:ascii="Aptos" w:hAnsi="Aptos"/>
                <w:sz w:val="22"/>
                <w:szCs w:val="22"/>
              </w:rPr>
              <w:t>z. B.</w:t>
            </w:r>
            <w:r w:rsidRPr="00325640">
              <w:rPr>
                <w:rFonts w:ascii="Aptos" w:hAnsi="Aptos"/>
                <w:sz w:val="22"/>
                <w:szCs w:val="22"/>
              </w:rPr>
              <w:t xml:space="preserve"> bei arbeitsrechtlichen Vergehen, Steuer- und Abgabenbetrug oder Umweltverschmutzung</w:t>
            </w:r>
            <w:r>
              <w:rPr>
                <w:rFonts w:ascii="Aptos" w:hAnsi="Aptos"/>
                <w:sz w:val="22"/>
                <w:szCs w:val="22"/>
              </w:rPr>
              <w:t xml:space="preserve"> belangt werden</w:t>
            </w:r>
            <w:r w:rsidRPr="00325640">
              <w:rPr>
                <w:rFonts w:ascii="Aptos" w:hAnsi="Aptos"/>
                <w:sz w:val="22"/>
                <w:szCs w:val="22"/>
              </w:rPr>
              <w:t>?</w:t>
            </w:r>
          </w:p>
        </w:tc>
      </w:tr>
    </w:tbl>
    <w:p w14:paraId="4C69005A" w14:textId="77777777" w:rsidR="00623AF8"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61F59FC6" w14:textId="77777777" w:rsidTr="00875DD0">
        <w:trPr>
          <w:trHeight w:val="277"/>
        </w:trPr>
        <w:tc>
          <w:tcPr>
            <w:tcW w:w="9066" w:type="dxa"/>
            <w:shd w:val="clear" w:color="auto" w:fill="D9D9D9"/>
          </w:tcPr>
          <w:p w14:paraId="733F643E"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26FF5582" w14:textId="77777777" w:rsidR="00623AF8" w:rsidRDefault="00623AF8" w:rsidP="00623AF8">
      <w:pPr>
        <w:jc w:val="both"/>
        <w:rPr>
          <w:rFonts w:ascii="Aptos" w:hAnsi="Aptos"/>
        </w:rPr>
      </w:pPr>
      <w:r w:rsidRPr="0088466A">
        <w:rPr>
          <w:rFonts w:ascii="Aptos" w:hAnsi="Aptos"/>
          <w:sz w:val="22"/>
          <w:szCs w:val="22"/>
        </w:rPr>
        <w:t xml:space="preserve">Sozial- und Lohndumping führen in Europa zu erheblichen Steuerausfällen und schwächen die Finanzkraft der öffentlichen Hand. Dies beeinträchtigt wiederum öffentliche Investitionen in Infrastruktur und soziale Dienstleistungen. Die Bau- und Immobilienwirtschaft </w:t>
      </w:r>
      <w:r>
        <w:rPr>
          <w:rFonts w:ascii="Aptos" w:hAnsi="Aptos"/>
          <w:sz w:val="22"/>
          <w:szCs w:val="22"/>
        </w:rPr>
        <w:t>ist ein</w:t>
      </w:r>
      <w:r w:rsidRPr="0088466A">
        <w:rPr>
          <w:rFonts w:ascii="Aptos" w:hAnsi="Aptos"/>
          <w:sz w:val="22"/>
          <w:szCs w:val="22"/>
        </w:rPr>
        <w:t xml:space="preserve"> wichtige</w:t>
      </w:r>
      <w:r>
        <w:rPr>
          <w:rFonts w:ascii="Aptos" w:hAnsi="Aptos"/>
          <w:sz w:val="22"/>
          <w:szCs w:val="22"/>
        </w:rPr>
        <w:t>r</w:t>
      </w:r>
      <w:r w:rsidRPr="0088466A">
        <w:rPr>
          <w:rFonts w:ascii="Aptos" w:hAnsi="Aptos"/>
          <w:sz w:val="22"/>
          <w:szCs w:val="22"/>
        </w:rPr>
        <w:t xml:space="preserve"> </w:t>
      </w:r>
      <w:r>
        <w:rPr>
          <w:rFonts w:ascii="Aptos" w:hAnsi="Aptos"/>
          <w:sz w:val="22"/>
          <w:szCs w:val="22"/>
        </w:rPr>
        <w:t>Sektor mit vielen Beschäftigten</w:t>
      </w:r>
      <w:r w:rsidRPr="0088466A">
        <w:rPr>
          <w:rFonts w:ascii="Aptos" w:hAnsi="Aptos"/>
          <w:sz w:val="22"/>
          <w:szCs w:val="22"/>
        </w:rPr>
        <w:t xml:space="preserve"> für den Wirtschaftsstandort Europa. Gerade in kleineren Mitgliedstaaten mit vielen angrenzenden EU-Nachbarländern kann es jedoch zu Sozial- und Lohndumping auf den Baustellen kommen. Neugründungen von Bauunternehmen, die nach Abschluss des Bauvorhabens direkt in die gewollte Insolvenz gehen und/oder Steuerhinterziehung betreiben, schädigen die öffentlichen Haushalte und verursachen hohe negative soziale Externalitäten. Um diesen Herausforderungen zu begegnen, sollten verstärkte Kontrollen und eine verbesserte Zusammenarbeit zwischen den nationalen Arbeitsinspektionen und den europäischen Institutionen etabliert werden. Dadurch kann die Einhaltung von Arbeits- und Sozialstandards gewährleistet werden. Eine Harmonisierung von Arbeitsbedingungen und Mindestlöhnen innerhalb der EU würde faire Wettbewerbsbedingungen schaffen und Lohndumping verhindern. Gute Arbeitsbedingungen sind aus Sicht der Daseinsvorsorge von großer Bedeutung, da sie zu höherer Produktivität, geringeren Fehlzeiten und höherer Mitarbeiterzufriedenheit führen. Dies stärkt </w:t>
      </w:r>
      <w:r>
        <w:rPr>
          <w:rFonts w:ascii="Aptos" w:hAnsi="Aptos"/>
          <w:sz w:val="22"/>
          <w:szCs w:val="22"/>
        </w:rPr>
        <w:t>insgesamt die Volkswirtschaft</w:t>
      </w:r>
      <w:r w:rsidRPr="0088466A">
        <w:rPr>
          <w:rFonts w:ascii="Aptos" w:hAnsi="Aptos"/>
          <w:sz w:val="22"/>
          <w:szCs w:val="22"/>
        </w:rPr>
        <w:t xml:space="preserve"> und trägt zur langfristigen Stabilität und Nachhaltigkeit des Wirtschaftsstandortes Europa bei.</w:t>
      </w:r>
    </w:p>
    <w:p w14:paraId="2C802941" w14:textId="77777777" w:rsidR="00623AF8" w:rsidRDefault="00623AF8" w:rsidP="00623AF8">
      <w:pPr>
        <w:rPr>
          <w:lang w:val="de-DE" w:eastAsia="de-AT"/>
        </w:rPr>
      </w:pPr>
    </w:p>
    <w:p w14:paraId="4BBB71F6" w14:textId="77777777" w:rsidR="00623AF8" w:rsidRDefault="00623AF8" w:rsidP="00623AF8">
      <w:pPr>
        <w:rPr>
          <w:lang w:val="de-DE" w:eastAsia="de-AT"/>
        </w:rPr>
      </w:pPr>
    </w:p>
    <w:p w14:paraId="710FD1EA" w14:textId="77777777" w:rsidR="00623AF8" w:rsidRDefault="00623AF8" w:rsidP="00623AF8">
      <w:pPr>
        <w:rPr>
          <w:lang w:val="de-DE" w:eastAsia="de-AT"/>
        </w:rPr>
      </w:pPr>
    </w:p>
    <w:p w14:paraId="06F4FF43" w14:textId="77777777" w:rsidR="00623AF8" w:rsidRDefault="00623AF8" w:rsidP="00623AF8">
      <w:pPr>
        <w:rPr>
          <w:lang w:val="de-DE" w:eastAsia="de-AT"/>
        </w:rPr>
      </w:pPr>
    </w:p>
    <w:p w14:paraId="7FF16D8D" w14:textId="77777777" w:rsidR="00623AF8" w:rsidRDefault="00623AF8" w:rsidP="00623AF8">
      <w:pPr>
        <w:rPr>
          <w:lang w:val="de-DE" w:eastAsia="de-AT"/>
        </w:rPr>
      </w:pPr>
    </w:p>
    <w:p w14:paraId="6C04AD9C" w14:textId="77777777" w:rsidR="00623AF8" w:rsidRDefault="00623AF8" w:rsidP="00623AF8">
      <w:pPr>
        <w:rPr>
          <w:lang w:val="de-DE" w:eastAsia="de-AT"/>
        </w:rPr>
      </w:pPr>
    </w:p>
    <w:p w14:paraId="0A852F63" w14:textId="77777777" w:rsidR="00623AF8" w:rsidRDefault="00623AF8" w:rsidP="00623AF8">
      <w:pPr>
        <w:rPr>
          <w:lang w:val="de-DE" w:eastAsia="de-AT"/>
        </w:rPr>
      </w:pPr>
    </w:p>
    <w:p w14:paraId="3277AA3B" w14:textId="77777777" w:rsidR="00623AF8" w:rsidRDefault="00623AF8" w:rsidP="00623AF8">
      <w:pPr>
        <w:rPr>
          <w:lang w:val="de-DE" w:eastAsia="de-AT"/>
        </w:rPr>
      </w:pPr>
    </w:p>
    <w:p w14:paraId="33CA54ED" w14:textId="77777777" w:rsidR="00623AF8" w:rsidRDefault="00623AF8" w:rsidP="00623AF8">
      <w:pPr>
        <w:pStyle w:val="berschrift1"/>
      </w:pPr>
    </w:p>
    <w:p w14:paraId="7428EA7A" w14:textId="77777777" w:rsidR="00623AF8" w:rsidRDefault="00623AF8" w:rsidP="00623AF8">
      <w:pPr>
        <w:pStyle w:val="berschrift1"/>
      </w:pPr>
      <w:bookmarkStart w:id="425" w:name="_Toc170377493"/>
      <w:bookmarkStart w:id="426" w:name="_Toc170983796"/>
      <w:r>
        <w:t>G</w:t>
      </w:r>
      <w:r w:rsidRPr="008A5FDC">
        <w:t>emeinnützige</w:t>
      </w:r>
      <w:r>
        <w:t xml:space="preserve">r </w:t>
      </w:r>
      <w:r w:rsidRPr="00325640">
        <w:t xml:space="preserve">Wohnungsbau </w:t>
      </w:r>
      <w:r>
        <w:t xml:space="preserve">als </w:t>
      </w:r>
      <w:r w:rsidRPr="00325640">
        <w:t>Inflation</w:t>
      </w:r>
      <w:r>
        <w:t>sbekämpfung</w:t>
      </w:r>
      <w:bookmarkEnd w:id="425"/>
      <w:bookmarkEnd w:id="426"/>
    </w:p>
    <w:p w14:paraId="60B8371D" w14:textId="77777777" w:rsidR="00623AF8" w:rsidRPr="00345954"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7C48DC66" w14:textId="77777777" w:rsidTr="00875DD0">
        <w:tc>
          <w:tcPr>
            <w:tcW w:w="9060" w:type="dxa"/>
            <w:shd w:val="clear" w:color="auto" w:fill="D9D9D9" w:themeFill="background1" w:themeFillShade="D9"/>
          </w:tcPr>
          <w:p w14:paraId="162749DA"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2BCB2B9A" w14:textId="77777777" w:rsidTr="00875DD0">
        <w:tc>
          <w:tcPr>
            <w:tcW w:w="9060" w:type="dxa"/>
          </w:tcPr>
          <w:p w14:paraId="123C3BB4" w14:textId="77777777" w:rsidR="00623AF8" w:rsidRPr="00325640" w:rsidRDefault="00623AF8" w:rsidP="00875DD0">
            <w:pPr>
              <w:jc w:val="both"/>
              <w:rPr>
                <w:rFonts w:ascii="Aptos" w:hAnsi="Aptos"/>
                <w:b/>
                <w:bCs/>
                <w:sz w:val="22"/>
                <w:szCs w:val="22"/>
              </w:rPr>
            </w:pPr>
            <w:r w:rsidRPr="00325640">
              <w:rPr>
                <w:rFonts w:ascii="Aptos" w:hAnsi="Aptos"/>
                <w:sz w:val="22"/>
                <w:szCs w:val="22"/>
              </w:rPr>
              <w:t xml:space="preserve">Leistbares Wohnen ist eine wesentliche Grundlage für </w:t>
            </w:r>
            <w:r>
              <w:rPr>
                <w:rFonts w:ascii="Aptos" w:hAnsi="Aptos"/>
                <w:sz w:val="22"/>
                <w:szCs w:val="22"/>
              </w:rPr>
              <w:t xml:space="preserve">die </w:t>
            </w:r>
            <w:r w:rsidRPr="00325640">
              <w:rPr>
                <w:rFonts w:ascii="Aptos" w:hAnsi="Aptos"/>
                <w:sz w:val="22"/>
                <w:szCs w:val="22"/>
              </w:rPr>
              <w:t xml:space="preserve">Versorgungssicherheit, </w:t>
            </w:r>
            <w:r>
              <w:rPr>
                <w:rFonts w:ascii="Aptos" w:hAnsi="Aptos"/>
                <w:sz w:val="22"/>
                <w:szCs w:val="22"/>
              </w:rPr>
              <w:t xml:space="preserve">den </w:t>
            </w:r>
            <w:r w:rsidRPr="00325640">
              <w:rPr>
                <w:rFonts w:ascii="Aptos" w:hAnsi="Aptos"/>
                <w:sz w:val="22"/>
                <w:szCs w:val="22"/>
              </w:rPr>
              <w:t xml:space="preserve">Wirtschaftsstandort und </w:t>
            </w:r>
            <w:r>
              <w:rPr>
                <w:rFonts w:ascii="Aptos" w:hAnsi="Aptos"/>
                <w:sz w:val="22"/>
                <w:szCs w:val="22"/>
              </w:rPr>
              <w:t xml:space="preserve">den </w:t>
            </w:r>
            <w:r w:rsidRPr="00325640">
              <w:rPr>
                <w:rFonts w:ascii="Aptos" w:hAnsi="Aptos"/>
                <w:sz w:val="22"/>
                <w:szCs w:val="22"/>
              </w:rPr>
              <w:t xml:space="preserve">Wohlstand in Europa. Steigende Wohnkosten können jedoch nicht nur die einzelnen Haushalte belasten, sondern auch gesamtwirtschaftliche Herausforderungen mit sich bringen. Insbesondere in Ländern, in denen die Mieten an die Inflationsrate gekoppelt sind, wie in Österreich, können hohe Mieten den Inflationsdruck verstärken. </w:t>
            </w:r>
            <w:r w:rsidRPr="0088466A">
              <w:rPr>
                <w:rFonts w:ascii="Aptos" w:hAnsi="Aptos"/>
                <w:sz w:val="22"/>
                <w:szCs w:val="22"/>
              </w:rPr>
              <w:t>Die gemeinnützige Wohnungswirtschaft kann daher einen wichtigen Beitrag zur Bekämpfung von Inflationsrisiken in Europa leisten, indem sie sowohl die einzelnen Haushalte als auch die gesamte Volkswirtschaft entlastet.</w:t>
            </w:r>
            <w:r w:rsidRPr="00325640">
              <w:rPr>
                <w:rFonts w:ascii="Aptos" w:hAnsi="Aptos"/>
                <w:sz w:val="22"/>
                <w:szCs w:val="22"/>
              </w:rPr>
              <w:t xml:space="preserve"> </w:t>
            </w:r>
            <w:r w:rsidRPr="00325640">
              <w:rPr>
                <w:rFonts w:ascii="Aptos" w:hAnsi="Aptos"/>
                <w:b/>
                <w:bCs/>
                <w:sz w:val="22"/>
                <w:szCs w:val="22"/>
              </w:rPr>
              <w:t xml:space="preserve">Welche Initiativen </w:t>
            </w:r>
            <w:r>
              <w:rPr>
                <w:rFonts w:ascii="Aptos" w:hAnsi="Aptos"/>
                <w:b/>
                <w:bCs/>
                <w:sz w:val="22"/>
                <w:szCs w:val="22"/>
              </w:rPr>
              <w:t>planen Sie,</w:t>
            </w:r>
            <w:r w:rsidRPr="00325640">
              <w:rPr>
                <w:rFonts w:ascii="Aptos" w:hAnsi="Aptos"/>
                <w:b/>
                <w:bCs/>
                <w:sz w:val="22"/>
                <w:szCs w:val="22"/>
              </w:rPr>
              <w:t xml:space="preserve"> um die Inflation in Europa einzudämmen und welche Rolle spiel</w:t>
            </w:r>
            <w:r>
              <w:rPr>
                <w:rFonts w:ascii="Aptos" w:hAnsi="Aptos"/>
                <w:b/>
                <w:bCs/>
                <w:sz w:val="22"/>
                <w:szCs w:val="22"/>
              </w:rPr>
              <w:t>en</w:t>
            </w:r>
            <w:r w:rsidRPr="00325640">
              <w:rPr>
                <w:rFonts w:ascii="Aptos" w:hAnsi="Aptos"/>
                <w:b/>
                <w:bCs/>
                <w:sz w:val="22"/>
                <w:szCs w:val="22"/>
              </w:rPr>
              <w:t xml:space="preserve"> Ihrer </w:t>
            </w:r>
            <w:r>
              <w:rPr>
                <w:rFonts w:ascii="Aptos" w:hAnsi="Aptos"/>
                <w:b/>
                <w:bCs/>
                <w:sz w:val="22"/>
                <w:szCs w:val="22"/>
              </w:rPr>
              <w:t>Auffassung</w:t>
            </w:r>
            <w:r w:rsidRPr="00325640">
              <w:rPr>
                <w:rFonts w:ascii="Aptos" w:hAnsi="Aptos"/>
                <w:b/>
                <w:bCs/>
                <w:sz w:val="22"/>
                <w:szCs w:val="22"/>
              </w:rPr>
              <w:t xml:space="preserve"> nach</w:t>
            </w:r>
            <w:r>
              <w:rPr>
                <w:rFonts w:ascii="Aptos" w:hAnsi="Aptos"/>
                <w:b/>
                <w:bCs/>
                <w:sz w:val="22"/>
                <w:szCs w:val="22"/>
              </w:rPr>
              <w:t xml:space="preserve"> dabei</w:t>
            </w:r>
            <w:r w:rsidRPr="00325640">
              <w:rPr>
                <w:rFonts w:ascii="Aptos" w:hAnsi="Aptos"/>
                <w:b/>
                <w:bCs/>
                <w:sz w:val="22"/>
                <w:szCs w:val="22"/>
              </w:rPr>
              <w:t xml:space="preserve"> </w:t>
            </w:r>
            <w:r>
              <w:rPr>
                <w:rFonts w:ascii="Aptos" w:hAnsi="Aptos"/>
                <w:b/>
                <w:bCs/>
                <w:sz w:val="22"/>
                <w:szCs w:val="22"/>
              </w:rPr>
              <w:t>der gemeinnützige Wohnungsbau</w:t>
            </w:r>
            <w:r w:rsidRPr="00325640">
              <w:rPr>
                <w:rFonts w:ascii="Aptos" w:hAnsi="Aptos"/>
                <w:b/>
                <w:bCs/>
                <w:sz w:val="22"/>
                <w:szCs w:val="22"/>
              </w:rPr>
              <w:t>?</w:t>
            </w:r>
          </w:p>
        </w:tc>
      </w:tr>
      <w:tr w:rsidR="00623AF8" w:rsidRPr="0050443A" w14:paraId="42453138" w14:textId="77777777" w:rsidTr="00875DD0">
        <w:tc>
          <w:tcPr>
            <w:tcW w:w="9060" w:type="dxa"/>
            <w:shd w:val="clear" w:color="auto" w:fill="D9D9D9" w:themeFill="background1" w:themeFillShade="D9"/>
          </w:tcPr>
          <w:p w14:paraId="2C548A2A"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52ABA13B" w14:textId="77777777" w:rsidTr="00875DD0">
        <w:tc>
          <w:tcPr>
            <w:tcW w:w="9060" w:type="dxa"/>
          </w:tcPr>
          <w:p w14:paraId="737E0184" w14:textId="77777777" w:rsidR="00623AF8" w:rsidRPr="00325640" w:rsidRDefault="00623AF8" w:rsidP="00F63BE8">
            <w:pPr>
              <w:pStyle w:val="Listenabsatz"/>
              <w:numPr>
                <w:ilvl w:val="0"/>
                <w:numId w:val="10"/>
              </w:numPr>
              <w:spacing w:before="120" w:after="120"/>
              <w:jc w:val="both"/>
              <w:rPr>
                <w:rFonts w:ascii="Aptos" w:hAnsi="Aptos"/>
                <w:sz w:val="22"/>
                <w:szCs w:val="22"/>
              </w:rPr>
            </w:pPr>
            <w:r w:rsidRPr="00325640">
              <w:rPr>
                <w:rFonts w:ascii="Aptos" w:hAnsi="Aptos"/>
                <w:sz w:val="22"/>
                <w:szCs w:val="22"/>
              </w:rPr>
              <w:t>Planen Sie EU-Programme, die den Ausbau des gemein</w:t>
            </w:r>
            <w:r>
              <w:rPr>
                <w:rFonts w:ascii="Aptos" w:hAnsi="Aptos"/>
                <w:sz w:val="22"/>
                <w:szCs w:val="22"/>
              </w:rPr>
              <w:t>nützigen</w:t>
            </w:r>
            <w:r w:rsidRPr="00325640">
              <w:rPr>
                <w:rFonts w:ascii="Aptos" w:hAnsi="Aptos"/>
                <w:sz w:val="22"/>
                <w:szCs w:val="22"/>
              </w:rPr>
              <w:t xml:space="preserve"> Wohnbaus fördern?</w:t>
            </w:r>
          </w:p>
          <w:p w14:paraId="440D0C6E" w14:textId="77777777" w:rsidR="00623AF8" w:rsidRPr="00325640" w:rsidRDefault="00623AF8" w:rsidP="00F63BE8">
            <w:pPr>
              <w:pStyle w:val="Listenabsatz"/>
              <w:numPr>
                <w:ilvl w:val="0"/>
                <w:numId w:val="10"/>
              </w:numPr>
              <w:spacing w:before="120" w:after="120"/>
              <w:jc w:val="both"/>
              <w:rPr>
                <w:rFonts w:ascii="Aptos" w:hAnsi="Aptos"/>
              </w:rPr>
            </w:pPr>
            <w:r w:rsidRPr="00325640">
              <w:rPr>
                <w:rFonts w:ascii="Aptos" w:hAnsi="Aptos"/>
                <w:sz w:val="22"/>
                <w:szCs w:val="22"/>
              </w:rPr>
              <w:t>Sehen Sie eine zweckgewidmete Förderung des gemein</w:t>
            </w:r>
            <w:r>
              <w:rPr>
                <w:rFonts w:ascii="Aptos" w:hAnsi="Aptos"/>
                <w:sz w:val="22"/>
                <w:szCs w:val="22"/>
              </w:rPr>
              <w:t>nützigen</w:t>
            </w:r>
            <w:r w:rsidRPr="00325640">
              <w:rPr>
                <w:rFonts w:ascii="Aptos" w:hAnsi="Aptos"/>
                <w:sz w:val="22"/>
                <w:szCs w:val="22"/>
              </w:rPr>
              <w:t xml:space="preserve"> Wohnbaus vor, um </w:t>
            </w:r>
            <w:r>
              <w:rPr>
                <w:rFonts w:ascii="Aptos" w:hAnsi="Aptos"/>
                <w:sz w:val="22"/>
                <w:szCs w:val="22"/>
              </w:rPr>
              <w:t>langfristig leistbaren Wohnraum abzusichern?</w:t>
            </w:r>
          </w:p>
          <w:p w14:paraId="43A2ABF5" w14:textId="77777777" w:rsidR="00623AF8" w:rsidRPr="00325640" w:rsidRDefault="00623AF8" w:rsidP="00F63BE8">
            <w:pPr>
              <w:pStyle w:val="Listenabsatz"/>
              <w:numPr>
                <w:ilvl w:val="0"/>
                <w:numId w:val="10"/>
              </w:numPr>
              <w:spacing w:before="120" w:after="120"/>
              <w:jc w:val="both"/>
              <w:rPr>
                <w:rFonts w:ascii="Aptos" w:hAnsi="Aptos"/>
              </w:rPr>
            </w:pPr>
            <w:r w:rsidRPr="00325640">
              <w:rPr>
                <w:rFonts w:ascii="Aptos" w:hAnsi="Aptos"/>
                <w:sz w:val="22"/>
                <w:szCs w:val="22"/>
              </w:rPr>
              <w:t>Planen Sie fixe Indexierungen in der Wohnwirtschaft, um den Inflationsdruck zu mindern?</w:t>
            </w:r>
          </w:p>
        </w:tc>
      </w:tr>
    </w:tbl>
    <w:p w14:paraId="1D553C5D" w14:textId="77777777" w:rsidR="00623AF8"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9B5839" w14:paraId="20CF5348" w14:textId="77777777" w:rsidTr="00875DD0">
        <w:trPr>
          <w:trHeight w:val="277"/>
        </w:trPr>
        <w:tc>
          <w:tcPr>
            <w:tcW w:w="9066" w:type="dxa"/>
            <w:shd w:val="clear" w:color="auto" w:fill="D9D9D9"/>
          </w:tcPr>
          <w:p w14:paraId="69F96CC9"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4CBAB916" w14:textId="77777777" w:rsidR="00623AF8" w:rsidRDefault="00623AF8" w:rsidP="00623AF8">
      <w:pPr>
        <w:jc w:val="both"/>
        <w:rPr>
          <w:rFonts w:ascii="Aptos" w:hAnsi="Aptos"/>
          <w:sz w:val="22"/>
          <w:szCs w:val="22"/>
        </w:rPr>
      </w:pPr>
      <w:r>
        <w:rPr>
          <w:rFonts w:ascii="Aptos" w:hAnsi="Aptos"/>
          <w:sz w:val="22"/>
          <w:szCs w:val="22"/>
        </w:rPr>
        <w:t>G</w:t>
      </w:r>
      <w:r w:rsidRPr="001A1F08">
        <w:rPr>
          <w:rFonts w:ascii="Aptos" w:hAnsi="Aptos"/>
          <w:sz w:val="22"/>
          <w:szCs w:val="22"/>
        </w:rPr>
        <w:t xml:space="preserve">emeinnützige </w:t>
      </w:r>
      <w:r>
        <w:rPr>
          <w:rFonts w:ascii="Aptos" w:hAnsi="Aptos"/>
          <w:sz w:val="22"/>
          <w:szCs w:val="22"/>
        </w:rPr>
        <w:t xml:space="preserve">Bauvereinigungen </w:t>
      </w:r>
      <w:r w:rsidRPr="001A1F08">
        <w:rPr>
          <w:rFonts w:ascii="Aptos" w:hAnsi="Aptos"/>
          <w:sz w:val="22"/>
          <w:szCs w:val="22"/>
        </w:rPr>
        <w:t>leisten einen wichtigen Beitrag zur sozialen Stabilität, indem sie leistbaren Wohnraum zur Verfügung stellen und verhindern, dass die Mietkosten überproportional steigen. Da sie nicht gewinnorientiert arbeiten, liegen die Mieten in der Regel unter dem Marktniveau und wirken somit dämpfend auf den gesamten Mietmarkt (</w:t>
      </w:r>
      <w:r w:rsidRPr="002F2207">
        <w:rPr>
          <w:rFonts w:ascii="Aptos" w:hAnsi="Aptos"/>
          <w:i/>
          <w:iCs/>
          <w:sz w:val="22"/>
          <w:szCs w:val="22"/>
        </w:rPr>
        <w:t>Kostenmiete</w:t>
      </w:r>
      <w:r w:rsidRPr="001A1F08">
        <w:rPr>
          <w:rFonts w:ascii="Aptos" w:hAnsi="Aptos"/>
          <w:sz w:val="22"/>
          <w:szCs w:val="22"/>
        </w:rPr>
        <w:t xml:space="preserve">) </w:t>
      </w:r>
      <w:r w:rsidRPr="001A1F08">
        <w:rPr>
          <w:rFonts w:ascii="Aptos" w:hAnsi="Aptos"/>
          <w:sz w:val="22"/>
          <w:szCs w:val="22"/>
          <w:vertAlign w:val="subscript"/>
        </w:rPr>
        <w:t>(1).</w:t>
      </w:r>
      <w:r w:rsidRPr="001A1F08">
        <w:rPr>
          <w:rFonts w:ascii="Aptos" w:hAnsi="Aptos"/>
          <w:sz w:val="22"/>
          <w:szCs w:val="22"/>
        </w:rPr>
        <w:t xml:space="preserve"> </w:t>
      </w:r>
      <w:r w:rsidRPr="00020036">
        <w:rPr>
          <w:rFonts w:ascii="Aptos" w:hAnsi="Aptos"/>
          <w:sz w:val="22"/>
          <w:szCs w:val="22"/>
        </w:rPr>
        <w:t xml:space="preserve">Die steuerliche Begünstigung gemeinnütziger Bauträger ist daher ein wirksames Instrument zur Stabilisierung des Wohnungsmarktes und zur langfristigen Sicherung leistbaren Wohnens. Gemeinnützige Bauträger entlasten damit die Haushalte bei den Wohnkosten und reduzieren den Inflationsdruck auf die Wirtschaft. Gemeinnützige Bauvereinigungen sind nicht nur ein wichtiger Auftraggeber in der Bauwirtschaft, sondern ermöglichen vielen EU-Bürger:innen den Zugang zu qualitativ hochwertigem und leistbarem Wohnraum. </w:t>
      </w:r>
      <w:r>
        <w:rPr>
          <w:rFonts w:ascii="Aptos" w:hAnsi="Aptos"/>
          <w:sz w:val="22"/>
          <w:szCs w:val="22"/>
        </w:rPr>
        <w:t xml:space="preserve">Aus Perspektive </w:t>
      </w:r>
      <w:r w:rsidRPr="00020036">
        <w:rPr>
          <w:rFonts w:ascii="Aptos" w:hAnsi="Aptos"/>
          <w:sz w:val="22"/>
          <w:szCs w:val="22"/>
        </w:rPr>
        <w:t>der Daseinsvorsorge ist leistbares Wohnen eine wesentliche Grundlage für die wirtschaftliche und soziale Entwicklung in Europa. In Ländern, in denen die Mieten an die Inflationsrate gekoppelt sind, wie in Österreich, können hohe Mieten den Inflationsdruck verstärken.</w:t>
      </w:r>
      <w:r>
        <w:rPr>
          <w:rFonts w:ascii="Aptos" w:hAnsi="Aptos"/>
          <w:sz w:val="22"/>
          <w:szCs w:val="22"/>
        </w:rPr>
        <w:t xml:space="preserve"> </w:t>
      </w:r>
      <w:r w:rsidRPr="00F0248A">
        <w:rPr>
          <w:rFonts w:ascii="Aptos" w:hAnsi="Aptos"/>
          <w:sz w:val="22"/>
          <w:szCs w:val="22"/>
        </w:rPr>
        <w:t>Die gemeinnützige Wohnungswirtschaft kann daher einen wichtigen Beitrag zur Bekämpfung von Inflationsrisiken in Europa leisten</w:t>
      </w:r>
      <w:r>
        <w:rPr>
          <w:rFonts w:ascii="Aptos" w:hAnsi="Aptos"/>
          <w:sz w:val="22"/>
          <w:szCs w:val="22"/>
        </w:rPr>
        <w:t xml:space="preserve"> und </w:t>
      </w:r>
      <w:r w:rsidRPr="00F0248A">
        <w:rPr>
          <w:rFonts w:ascii="Aptos" w:hAnsi="Aptos"/>
          <w:sz w:val="22"/>
          <w:szCs w:val="22"/>
        </w:rPr>
        <w:t>entlastet sowohl die einzelnen Haushalte als auch die gesamte Volkswirtschaft.</w:t>
      </w:r>
    </w:p>
    <w:p w14:paraId="325B6938" w14:textId="77777777" w:rsidR="00623AF8" w:rsidRDefault="00623AF8" w:rsidP="00623AF8">
      <w:pPr>
        <w:jc w:val="both"/>
        <w:rPr>
          <w:rFonts w:ascii="Aptos" w:hAnsi="Aptos"/>
          <w:sz w:val="22"/>
          <w:szCs w:val="22"/>
        </w:rPr>
      </w:pPr>
    </w:p>
    <w:p w14:paraId="77E05638" w14:textId="77777777" w:rsidR="00623AF8" w:rsidRPr="001A1F08" w:rsidRDefault="00623AF8" w:rsidP="00F63BE8">
      <w:pPr>
        <w:pStyle w:val="Listenabsatz"/>
        <w:numPr>
          <w:ilvl w:val="0"/>
          <w:numId w:val="55"/>
        </w:numPr>
        <w:jc w:val="both"/>
        <w:rPr>
          <w:rFonts w:ascii="Aptos" w:hAnsi="Aptos"/>
          <w:sz w:val="18"/>
          <w:szCs w:val="18"/>
          <w:lang w:val="en-GB"/>
        </w:rPr>
      </w:pPr>
      <w:r w:rsidRPr="001A1F08">
        <w:rPr>
          <w:rFonts w:ascii="Aptos" w:hAnsi="Aptos"/>
          <w:sz w:val="18"/>
          <w:szCs w:val="18"/>
          <w:lang w:val="en-GB"/>
        </w:rPr>
        <w:t>Klien/Kössl et al. 2023: The Price-Damping Effect of Non-Profit Housing</w:t>
      </w:r>
    </w:p>
    <w:p w14:paraId="74588A1E" w14:textId="77777777" w:rsidR="00623AF8" w:rsidRPr="001A1F08" w:rsidRDefault="00AC460E" w:rsidP="00623AF8">
      <w:pPr>
        <w:pStyle w:val="Listenabsatz"/>
        <w:ind w:left="360"/>
        <w:jc w:val="both"/>
        <w:rPr>
          <w:rFonts w:ascii="Aptos" w:hAnsi="Aptos"/>
          <w:sz w:val="18"/>
          <w:szCs w:val="18"/>
          <w:lang w:val="en-GB"/>
        </w:rPr>
      </w:pPr>
      <w:hyperlink r:id="rId102" w:anchor="download" w:history="1">
        <w:r w:rsidR="00623AF8" w:rsidRPr="001A1F08">
          <w:rPr>
            <w:rStyle w:val="Hyperlink"/>
            <w:rFonts w:ascii="Aptos" w:hAnsi="Aptos"/>
            <w:sz w:val="18"/>
            <w:szCs w:val="18"/>
            <w:lang w:val="en-GB"/>
          </w:rPr>
          <w:t>https://ideas.repec.org/p/wfo/rbrief/y2023i6.html#download</w:t>
        </w:r>
      </w:hyperlink>
    </w:p>
    <w:p w14:paraId="03B790C5" w14:textId="77777777" w:rsidR="00623AF8" w:rsidRPr="00715DD3" w:rsidRDefault="00623AF8" w:rsidP="00623AF8">
      <w:pPr>
        <w:spacing w:after="120"/>
        <w:jc w:val="both"/>
        <w:rPr>
          <w:rFonts w:ascii="Aptos" w:hAnsi="Aptos"/>
          <w:b/>
          <w:iCs/>
          <w:sz w:val="22"/>
          <w:szCs w:val="22"/>
          <w:lang w:val="en-GB"/>
        </w:rPr>
      </w:pPr>
    </w:p>
    <w:p w14:paraId="34399063" w14:textId="77777777" w:rsidR="00623AF8" w:rsidRPr="00C43FDD" w:rsidRDefault="00623AF8" w:rsidP="00623AF8">
      <w:pPr>
        <w:rPr>
          <w:rFonts w:ascii="Aptos" w:hAnsi="Aptos"/>
          <w:lang w:val="en-GB"/>
        </w:rPr>
        <w:sectPr w:rsidR="00623AF8" w:rsidRPr="00C43FDD" w:rsidSect="00C0412A">
          <w:headerReference w:type="even" r:id="rId103"/>
          <w:headerReference w:type="default" r:id="rId104"/>
          <w:footerReference w:type="even" r:id="rId105"/>
          <w:headerReference w:type="first" r:id="rId106"/>
          <w:footerReference w:type="first" r:id="rId107"/>
          <w:pgSz w:w="11906" w:h="16838"/>
          <w:pgMar w:top="1418" w:right="1418" w:bottom="1134" w:left="1418" w:header="708" w:footer="510" w:gutter="0"/>
          <w:cols w:space="708"/>
          <w:docGrid w:linePitch="360"/>
        </w:sectPr>
      </w:pPr>
    </w:p>
    <w:p w14:paraId="1F64EFFF" w14:textId="77777777" w:rsidR="00623AF8" w:rsidRPr="00C43FDD" w:rsidRDefault="00623AF8" w:rsidP="00623AF8">
      <w:pPr>
        <w:jc w:val="both"/>
        <w:rPr>
          <w:rFonts w:ascii="Aptos" w:hAnsi="Aptos"/>
          <w:bCs/>
          <w:sz w:val="22"/>
          <w:szCs w:val="22"/>
          <w:u w:val="single"/>
          <w:lang w:val="en-GB"/>
        </w:rPr>
      </w:pPr>
    </w:p>
    <w:p w14:paraId="7E57CECB" w14:textId="77777777" w:rsidR="00623AF8" w:rsidRDefault="00623AF8" w:rsidP="00623AF8">
      <w:pPr>
        <w:rPr>
          <w:rFonts w:ascii="Aptos" w:hAnsi="Aptos"/>
          <w:lang w:val="en-GB"/>
        </w:rPr>
      </w:pPr>
    </w:p>
    <w:p w14:paraId="09A534B1" w14:textId="77777777" w:rsidR="00623AF8" w:rsidRPr="00C43FDD" w:rsidRDefault="00623AF8" w:rsidP="00623AF8">
      <w:pPr>
        <w:rPr>
          <w:rFonts w:ascii="Aptos" w:hAnsi="Aptos"/>
          <w:lang w:val="en-GB"/>
        </w:rPr>
      </w:pPr>
    </w:p>
    <w:p w14:paraId="21E30FFE" w14:textId="77777777" w:rsidR="00623AF8" w:rsidRDefault="00623AF8" w:rsidP="00623AF8">
      <w:pPr>
        <w:pStyle w:val="berschrift1"/>
      </w:pPr>
      <w:bookmarkStart w:id="427" w:name="_Toc170377494"/>
      <w:bookmarkStart w:id="428" w:name="_Toc170983797"/>
      <w:r w:rsidRPr="0050443A">
        <w:t xml:space="preserve">Rahmenbedingungen für </w:t>
      </w:r>
      <w:r>
        <w:t>gemeinnützige</w:t>
      </w:r>
      <w:r w:rsidRPr="0050443A">
        <w:t xml:space="preserve"> Akteure am Wohnungsmarkt</w:t>
      </w:r>
      <w:bookmarkEnd w:id="427"/>
      <w:bookmarkEnd w:id="428"/>
    </w:p>
    <w:p w14:paraId="1EE944C3" w14:textId="77777777" w:rsidR="00623AF8" w:rsidRPr="00345954"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6F0BA32D" w14:textId="77777777" w:rsidTr="00875DD0">
        <w:tc>
          <w:tcPr>
            <w:tcW w:w="9060" w:type="dxa"/>
            <w:shd w:val="clear" w:color="auto" w:fill="D9D9D9" w:themeFill="background1" w:themeFillShade="D9"/>
          </w:tcPr>
          <w:p w14:paraId="75FFBD3C"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413E9386" w14:textId="77777777" w:rsidTr="00875DD0">
        <w:tc>
          <w:tcPr>
            <w:tcW w:w="9060" w:type="dxa"/>
          </w:tcPr>
          <w:p w14:paraId="2C7FE345" w14:textId="77777777" w:rsidR="00623AF8" w:rsidRPr="0050443A" w:rsidRDefault="00623AF8" w:rsidP="00875DD0">
            <w:pPr>
              <w:jc w:val="both"/>
              <w:rPr>
                <w:rFonts w:ascii="Aptos" w:hAnsi="Aptos"/>
                <w:b/>
                <w:bCs/>
                <w:sz w:val="22"/>
                <w:szCs w:val="22"/>
              </w:rPr>
            </w:pPr>
            <w:r>
              <w:rPr>
                <w:rFonts w:ascii="Aptos" w:hAnsi="Aptos"/>
                <w:sz w:val="22"/>
                <w:szCs w:val="22"/>
              </w:rPr>
              <w:t>G</w:t>
            </w:r>
            <w:r w:rsidRPr="00325640">
              <w:rPr>
                <w:rFonts w:ascii="Aptos" w:hAnsi="Aptos"/>
                <w:sz w:val="22"/>
                <w:szCs w:val="22"/>
              </w:rPr>
              <w:t>emein</w:t>
            </w:r>
            <w:r>
              <w:rPr>
                <w:rFonts w:ascii="Aptos" w:hAnsi="Aptos"/>
                <w:sz w:val="22"/>
                <w:szCs w:val="22"/>
              </w:rPr>
              <w:t>nützige</w:t>
            </w:r>
            <w:r w:rsidRPr="00325640">
              <w:rPr>
                <w:rFonts w:ascii="Aptos" w:hAnsi="Aptos"/>
                <w:sz w:val="22"/>
                <w:szCs w:val="22"/>
              </w:rPr>
              <w:t xml:space="preserve"> Bauträger stabilisieren die Nachfrage in der Bauwirtschaft, sind verlässliche Traditionsunternehmen und leisten einen wertvollen Beitrag zur nachhaltigen </w:t>
            </w:r>
            <w:r>
              <w:rPr>
                <w:rFonts w:ascii="Aptos" w:hAnsi="Aptos"/>
                <w:sz w:val="22"/>
                <w:szCs w:val="22"/>
              </w:rPr>
              <w:t>Wohnungsmarktentwicklung</w:t>
            </w:r>
            <w:r w:rsidRPr="00325640">
              <w:rPr>
                <w:rFonts w:ascii="Aptos" w:hAnsi="Aptos"/>
                <w:sz w:val="22"/>
                <w:szCs w:val="22"/>
              </w:rPr>
              <w:t xml:space="preserve">. </w:t>
            </w:r>
            <w:r w:rsidRPr="00F0248A">
              <w:rPr>
                <w:rFonts w:ascii="Aptos" w:hAnsi="Aptos"/>
                <w:sz w:val="22"/>
                <w:szCs w:val="22"/>
              </w:rPr>
              <w:t>Sie stellen sicher, dass auch sozial schwache Gruppen und die breite Mittelschicht leistbaren Wohnraum erhalten. Darüber hinaus stellen sie einen wichtigen Hebel für die sozial-ökologische Transformation dar und tragen somit zur Erreichung der europäischen Klimaziele bei.</w:t>
            </w:r>
            <w:r w:rsidRPr="00325640">
              <w:rPr>
                <w:rFonts w:ascii="Aptos" w:hAnsi="Aptos"/>
                <w:sz w:val="22"/>
                <w:szCs w:val="22"/>
              </w:rPr>
              <w:t xml:space="preserve"> </w:t>
            </w:r>
            <w:r w:rsidRPr="00325640">
              <w:rPr>
                <w:rFonts w:ascii="Aptos" w:hAnsi="Aptos"/>
                <w:b/>
                <w:bCs/>
                <w:sz w:val="22"/>
                <w:szCs w:val="22"/>
              </w:rPr>
              <w:t>Wie wollen Sie die wirtschaftlichen und rechtlichen Rahmenbedingungen für gemeinnützige Wohnbauträger fördern?</w:t>
            </w:r>
          </w:p>
        </w:tc>
      </w:tr>
      <w:tr w:rsidR="00623AF8" w:rsidRPr="0050443A" w14:paraId="754427C4" w14:textId="77777777" w:rsidTr="00875DD0">
        <w:tc>
          <w:tcPr>
            <w:tcW w:w="9060" w:type="dxa"/>
            <w:shd w:val="clear" w:color="auto" w:fill="D9D9D9" w:themeFill="background1" w:themeFillShade="D9"/>
          </w:tcPr>
          <w:p w14:paraId="18AE6422"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62B4B03B" w14:textId="77777777" w:rsidTr="00875DD0">
        <w:tc>
          <w:tcPr>
            <w:tcW w:w="9060" w:type="dxa"/>
          </w:tcPr>
          <w:p w14:paraId="52B68BFA" w14:textId="77777777" w:rsidR="00623AF8" w:rsidRPr="00325640" w:rsidRDefault="00623AF8" w:rsidP="00F63BE8">
            <w:pPr>
              <w:pStyle w:val="Listenabsatz"/>
              <w:numPr>
                <w:ilvl w:val="0"/>
                <w:numId w:val="12"/>
              </w:numPr>
              <w:spacing w:before="120" w:after="120"/>
              <w:jc w:val="both"/>
              <w:rPr>
                <w:rFonts w:ascii="Aptos" w:hAnsi="Aptos"/>
                <w:sz w:val="22"/>
                <w:szCs w:val="22"/>
              </w:rPr>
            </w:pPr>
            <w:r w:rsidRPr="00325640">
              <w:rPr>
                <w:rFonts w:ascii="Aptos" w:hAnsi="Aptos"/>
                <w:sz w:val="22"/>
                <w:szCs w:val="22"/>
              </w:rPr>
              <w:t>Welche Initiativen sehen Sie, um das Mietpreisniveau - insbesondere in den Ballungszentren - langfristig zu senken?</w:t>
            </w:r>
          </w:p>
          <w:p w14:paraId="4024E6BD" w14:textId="77777777" w:rsidR="00623AF8" w:rsidRPr="0050443A" w:rsidRDefault="00623AF8" w:rsidP="00F63BE8">
            <w:pPr>
              <w:pStyle w:val="Listenabsatz"/>
              <w:numPr>
                <w:ilvl w:val="0"/>
                <w:numId w:val="12"/>
              </w:numPr>
              <w:spacing w:before="120" w:after="120"/>
              <w:jc w:val="both"/>
              <w:rPr>
                <w:rFonts w:ascii="Aptos" w:hAnsi="Aptos"/>
                <w:sz w:val="22"/>
                <w:szCs w:val="22"/>
              </w:rPr>
            </w:pPr>
            <w:r w:rsidRPr="00325640">
              <w:rPr>
                <w:rFonts w:ascii="Aptos" w:hAnsi="Aptos"/>
                <w:sz w:val="22"/>
                <w:szCs w:val="22"/>
              </w:rPr>
              <w:t xml:space="preserve">Welche Rolle kommt Ihrer </w:t>
            </w:r>
            <w:r>
              <w:rPr>
                <w:rFonts w:ascii="Aptos" w:hAnsi="Aptos"/>
                <w:sz w:val="22"/>
                <w:szCs w:val="22"/>
              </w:rPr>
              <w:t xml:space="preserve">Auffassung </w:t>
            </w:r>
            <w:r w:rsidRPr="00325640">
              <w:rPr>
                <w:rFonts w:ascii="Aptos" w:hAnsi="Aptos"/>
                <w:sz w:val="22"/>
                <w:szCs w:val="22"/>
              </w:rPr>
              <w:t>nach dem gemeinnützigen</w:t>
            </w:r>
            <w:r>
              <w:rPr>
                <w:rFonts w:ascii="Aptos" w:hAnsi="Aptos"/>
                <w:sz w:val="22"/>
                <w:szCs w:val="22"/>
              </w:rPr>
              <w:t xml:space="preserve"> </w:t>
            </w:r>
            <w:r w:rsidRPr="00325640">
              <w:rPr>
                <w:rFonts w:ascii="Aptos" w:hAnsi="Aptos"/>
                <w:sz w:val="22"/>
                <w:szCs w:val="22"/>
              </w:rPr>
              <w:t xml:space="preserve">und dem kommunalen Wohnungsbau zu, um </w:t>
            </w:r>
            <w:r>
              <w:rPr>
                <w:rFonts w:ascii="Aptos" w:hAnsi="Aptos"/>
                <w:sz w:val="22"/>
                <w:szCs w:val="22"/>
              </w:rPr>
              <w:t xml:space="preserve">auch </w:t>
            </w:r>
            <w:r w:rsidRPr="00325640">
              <w:rPr>
                <w:rFonts w:ascii="Aptos" w:hAnsi="Aptos"/>
                <w:sz w:val="22"/>
                <w:szCs w:val="22"/>
              </w:rPr>
              <w:t>die „freien Mieten“ langfristig zu senken?</w:t>
            </w:r>
          </w:p>
        </w:tc>
      </w:tr>
    </w:tbl>
    <w:p w14:paraId="48D9C3E4" w14:textId="77777777" w:rsidR="00623AF8" w:rsidRPr="0050443A"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6911F452" w14:textId="77777777" w:rsidTr="00875DD0">
        <w:trPr>
          <w:trHeight w:val="277"/>
        </w:trPr>
        <w:tc>
          <w:tcPr>
            <w:tcW w:w="9066" w:type="dxa"/>
            <w:shd w:val="clear" w:color="auto" w:fill="D9D9D9"/>
          </w:tcPr>
          <w:p w14:paraId="653CD05A"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70D6CFA5" w14:textId="77777777" w:rsidR="00623AF8" w:rsidRDefault="00623AF8" w:rsidP="00623AF8">
      <w:pPr>
        <w:jc w:val="both"/>
        <w:rPr>
          <w:rFonts w:ascii="Aptos" w:hAnsi="Aptos"/>
          <w:sz w:val="22"/>
          <w:szCs w:val="22"/>
        </w:rPr>
      </w:pPr>
      <w:r>
        <w:rPr>
          <w:rFonts w:ascii="Aptos" w:hAnsi="Aptos"/>
          <w:sz w:val="22"/>
          <w:szCs w:val="22"/>
        </w:rPr>
        <w:t>G</w:t>
      </w:r>
      <w:r w:rsidRPr="001A1F08">
        <w:rPr>
          <w:rFonts w:ascii="Aptos" w:hAnsi="Aptos"/>
          <w:sz w:val="22"/>
          <w:szCs w:val="22"/>
        </w:rPr>
        <w:t xml:space="preserve">emeinnützige </w:t>
      </w:r>
      <w:r>
        <w:rPr>
          <w:rFonts w:ascii="Aptos" w:hAnsi="Aptos"/>
          <w:sz w:val="22"/>
          <w:szCs w:val="22"/>
        </w:rPr>
        <w:t xml:space="preserve">Bauvereinigungen </w:t>
      </w:r>
      <w:r w:rsidRPr="001A1F08">
        <w:rPr>
          <w:rFonts w:ascii="Aptos" w:hAnsi="Aptos"/>
          <w:sz w:val="22"/>
          <w:szCs w:val="22"/>
        </w:rPr>
        <w:t>leisten einen wichtigen Beitrag zur sozialen Stabilität, indem sie leistbaren Wohnraum zur Verfügung stellen und verhindern, dass die Mietkosten überproportional steigen. Da sie nicht gewinnorientiert arbeiten, liegen die Mieten in der Regel unter dem Marktniveau und wirken somit dämpfend auf den gesamten Mietmarkt (</w:t>
      </w:r>
      <w:r w:rsidRPr="002F2207">
        <w:rPr>
          <w:rFonts w:ascii="Aptos" w:hAnsi="Aptos"/>
          <w:i/>
          <w:iCs/>
          <w:sz w:val="22"/>
          <w:szCs w:val="22"/>
        </w:rPr>
        <w:t>Kostenmiete</w:t>
      </w:r>
      <w:r w:rsidRPr="001A1F08">
        <w:rPr>
          <w:rFonts w:ascii="Aptos" w:hAnsi="Aptos"/>
          <w:sz w:val="22"/>
          <w:szCs w:val="22"/>
        </w:rPr>
        <w:t xml:space="preserve">) </w:t>
      </w:r>
      <w:r w:rsidRPr="001A1F08">
        <w:rPr>
          <w:rFonts w:ascii="Aptos" w:hAnsi="Aptos"/>
          <w:sz w:val="22"/>
          <w:szCs w:val="22"/>
          <w:vertAlign w:val="subscript"/>
        </w:rPr>
        <w:t>(1).</w:t>
      </w:r>
      <w:r w:rsidRPr="001A1F08">
        <w:rPr>
          <w:rFonts w:ascii="Aptos" w:hAnsi="Aptos"/>
          <w:sz w:val="22"/>
          <w:szCs w:val="22"/>
        </w:rPr>
        <w:t xml:space="preserve"> </w:t>
      </w:r>
      <w:r w:rsidRPr="00020036">
        <w:rPr>
          <w:rFonts w:ascii="Aptos" w:hAnsi="Aptos"/>
          <w:sz w:val="22"/>
          <w:szCs w:val="22"/>
        </w:rPr>
        <w:t>Die steuerliche Begünstigung gemeinnütziger Bauträger ist daher ein wirksames Instrument zur Stabilisierung des Wohnungsmarktes und zur langfristigen Sicherung leistbaren Wohnens. Gemeinnützige Bauträger entlasten damit die Haushalte bei den Wohnkosten und reduzieren den Inflationsdruck auf die Wirtschaft. Gemeinnützige Bauvereinigungen sind nicht nur ein wichtiger Auftraggeber in der Bauwirtschaft, sondern ermöglichen vielen EU-Bürger:innen den Zugang zu qualitativ hochwertigem und leistbarem Wohnraum.</w:t>
      </w:r>
      <w:r>
        <w:rPr>
          <w:rFonts w:ascii="Aptos" w:hAnsi="Aptos"/>
          <w:sz w:val="22"/>
          <w:szCs w:val="22"/>
        </w:rPr>
        <w:t xml:space="preserve"> </w:t>
      </w:r>
      <w:r w:rsidRPr="00F0248A">
        <w:rPr>
          <w:rFonts w:ascii="Aptos" w:hAnsi="Aptos"/>
          <w:sz w:val="22"/>
          <w:szCs w:val="22"/>
        </w:rPr>
        <w:t>Aus Perspektive der Daseinsvorsorge stellt leistbarer Wohnraum eine wesentliche Grundlage für die wirtschaftliche und gesellschaftliche Entwicklung in Europa dar</w:t>
      </w:r>
      <w:r>
        <w:rPr>
          <w:rFonts w:ascii="Aptos" w:hAnsi="Aptos"/>
          <w:sz w:val="22"/>
          <w:szCs w:val="22"/>
        </w:rPr>
        <w:t xml:space="preserve"> und es braucht entsprechende rechtliche Rahmenbedingungen in Europa, damit gemeinnützige und kommunale Akteure diesen Wohnraum schaffen können. </w:t>
      </w:r>
    </w:p>
    <w:p w14:paraId="7BE8CF52" w14:textId="77777777" w:rsidR="00623AF8" w:rsidRDefault="00623AF8" w:rsidP="00623AF8">
      <w:pPr>
        <w:jc w:val="both"/>
        <w:rPr>
          <w:rFonts w:ascii="Aptos" w:hAnsi="Aptos"/>
          <w:bCs/>
          <w:sz w:val="22"/>
          <w:szCs w:val="22"/>
          <w:u w:val="single"/>
        </w:rPr>
      </w:pPr>
    </w:p>
    <w:p w14:paraId="2D6669A9" w14:textId="77777777" w:rsidR="00623AF8" w:rsidRPr="001A1F08" w:rsidRDefault="00623AF8" w:rsidP="00F63BE8">
      <w:pPr>
        <w:pStyle w:val="Listenabsatz"/>
        <w:numPr>
          <w:ilvl w:val="0"/>
          <w:numId w:val="56"/>
        </w:numPr>
        <w:jc w:val="both"/>
        <w:rPr>
          <w:rFonts w:ascii="Aptos" w:hAnsi="Aptos"/>
          <w:sz w:val="18"/>
          <w:szCs w:val="18"/>
          <w:lang w:val="en-GB"/>
        </w:rPr>
      </w:pPr>
      <w:r w:rsidRPr="001A1F08">
        <w:rPr>
          <w:rFonts w:ascii="Aptos" w:hAnsi="Aptos"/>
          <w:sz w:val="18"/>
          <w:szCs w:val="18"/>
          <w:lang w:val="en-GB"/>
        </w:rPr>
        <w:t>Klien/Kössl et al. 2023: The Price-Damping Effect of Non-Profit Housing</w:t>
      </w:r>
    </w:p>
    <w:p w14:paraId="4CF04F63" w14:textId="77777777" w:rsidR="00623AF8" w:rsidRPr="001A1F08" w:rsidRDefault="00AC460E" w:rsidP="00623AF8">
      <w:pPr>
        <w:pStyle w:val="Listenabsatz"/>
        <w:ind w:left="360"/>
        <w:jc w:val="both"/>
        <w:rPr>
          <w:rFonts w:ascii="Aptos" w:hAnsi="Aptos"/>
          <w:sz w:val="18"/>
          <w:szCs w:val="18"/>
          <w:lang w:val="en-GB"/>
        </w:rPr>
      </w:pPr>
      <w:hyperlink r:id="rId108" w:anchor="download" w:history="1">
        <w:r w:rsidR="00623AF8" w:rsidRPr="001A1F08">
          <w:rPr>
            <w:rStyle w:val="Hyperlink"/>
            <w:rFonts w:ascii="Aptos" w:hAnsi="Aptos"/>
            <w:sz w:val="18"/>
            <w:szCs w:val="18"/>
            <w:lang w:val="en-GB"/>
          </w:rPr>
          <w:t>https://ideas.repec.org/p/wfo/rbrief/y2023i6.html#download</w:t>
        </w:r>
      </w:hyperlink>
    </w:p>
    <w:p w14:paraId="3A225E62" w14:textId="77777777" w:rsidR="00623AF8" w:rsidRPr="00576C2A" w:rsidRDefault="00623AF8" w:rsidP="00623AF8">
      <w:pPr>
        <w:jc w:val="both"/>
        <w:rPr>
          <w:rFonts w:ascii="Aptos" w:hAnsi="Aptos"/>
          <w:bCs/>
          <w:sz w:val="22"/>
          <w:szCs w:val="22"/>
          <w:u w:val="single"/>
          <w:lang w:val="en-GB"/>
        </w:rPr>
      </w:pPr>
    </w:p>
    <w:p w14:paraId="538BB223" w14:textId="77777777" w:rsidR="00623AF8" w:rsidRPr="00576C2A" w:rsidRDefault="00623AF8" w:rsidP="00623AF8">
      <w:pPr>
        <w:jc w:val="both"/>
        <w:rPr>
          <w:rFonts w:ascii="Aptos" w:hAnsi="Aptos"/>
          <w:bCs/>
          <w:sz w:val="22"/>
          <w:szCs w:val="22"/>
          <w:u w:val="single"/>
          <w:lang w:val="en-GB"/>
        </w:rPr>
      </w:pPr>
    </w:p>
    <w:p w14:paraId="313DCF11" w14:textId="77777777" w:rsidR="00623AF8" w:rsidRDefault="00623AF8" w:rsidP="00623AF8">
      <w:pPr>
        <w:jc w:val="both"/>
        <w:rPr>
          <w:rFonts w:ascii="Aptos" w:hAnsi="Aptos"/>
          <w:bCs/>
          <w:sz w:val="22"/>
          <w:szCs w:val="22"/>
          <w:u w:val="single"/>
          <w:lang w:val="en-GB"/>
        </w:rPr>
      </w:pPr>
    </w:p>
    <w:p w14:paraId="2B3D9DA9" w14:textId="77777777" w:rsidR="00623AF8" w:rsidRDefault="00623AF8" w:rsidP="00623AF8">
      <w:pPr>
        <w:jc w:val="both"/>
        <w:rPr>
          <w:rFonts w:ascii="Aptos" w:hAnsi="Aptos"/>
          <w:bCs/>
          <w:sz w:val="22"/>
          <w:szCs w:val="22"/>
          <w:u w:val="single"/>
          <w:lang w:val="en-GB"/>
        </w:rPr>
      </w:pPr>
    </w:p>
    <w:p w14:paraId="75D6381B" w14:textId="77777777" w:rsidR="00623AF8" w:rsidRDefault="00623AF8" w:rsidP="00623AF8">
      <w:pPr>
        <w:jc w:val="both"/>
        <w:rPr>
          <w:rFonts w:ascii="Aptos" w:hAnsi="Aptos"/>
          <w:bCs/>
          <w:sz w:val="22"/>
          <w:szCs w:val="22"/>
          <w:u w:val="single"/>
          <w:lang w:val="en-GB"/>
        </w:rPr>
      </w:pPr>
    </w:p>
    <w:p w14:paraId="36334A3D" w14:textId="77777777" w:rsidR="00623AF8" w:rsidRDefault="00623AF8" w:rsidP="00623AF8">
      <w:pPr>
        <w:jc w:val="both"/>
        <w:rPr>
          <w:rFonts w:ascii="Aptos" w:hAnsi="Aptos"/>
          <w:bCs/>
          <w:sz w:val="22"/>
          <w:szCs w:val="22"/>
          <w:u w:val="single"/>
          <w:lang w:val="en-GB"/>
        </w:rPr>
      </w:pPr>
    </w:p>
    <w:p w14:paraId="68B3C553" w14:textId="77777777" w:rsidR="00623AF8" w:rsidRDefault="00623AF8" w:rsidP="00623AF8">
      <w:pPr>
        <w:jc w:val="both"/>
        <w:rPr>
          <w:rFonts w:ascii="Aptos" w:hAnsi="Aptos"/>
          <w:bCs/>
          <w:sz w:val="22"/>
          <w:szCs w:val="22"/>
          <w:u w:val="single"/>
          <w:lang w:val="en-GB"/>
        </w:rPr>
      </w:pPr>
    </w:p>
    <w:p w14:paraId="53A5DFB6" w14:textId="77777777" w:rsidR="00623AF8" w:rsidRDefault="00623AF8" w:rsidP="00623AF8">
      <w:pPr>
        <w:jc w:val="both"/>
        <w:rPr>
          <w:rFonts w:ascii="Aptos" w:hAnsi="Aptos"/>
          <w:bCs/>
          <w:sz w:val="22"/>
          <w:szCs w:val="22"/>
          <w:u w:val="single"/>
          <w:lang w:val="en-GB"/>
        </w:rPr>
      </w:pPr>
    </w:p>
    <w:p w14:paraId="1D842BCD" w14:textId="77777777" w:rsidR="00623AF8" w:rsidRDefault="00623AF8" w:rsidP="00623AF8">
      <w:pPr>
        <w:jc w:val="both"/>
        <w:rPr>
          <w:rFonts w:ascii="Aptos" w:hAnsi="Aptos"/>
          <w:bCs/>
          <w:sz w:val="22"/>
          <w:szCs w:val="22"/>
          <w:u w:val="single"/>
          <w:lang w:val="en-GB"/>
        </w:rPr>
      </w:pPr>
    </w:p>
    <w:p w14:paraId="7291136A" w14:textId="77777777" w:rsidR="00623AF8" w:rsidRPr="00576C2A" w:rsidRDefault="00623AF8" w:rsidP="00623AF8">
      <w:pPr>
        <w:jc w:val="both"/>
        <w:rPr>
          <w:rFonts w:ascii="Aptos" w:hAnsi="Aptos"/>
          <w:bCs/>
          <w:sz w:val="22"/>
          <w:szCs w:val="22"/>
          <w:u w:val="single"/>
          <w:lang w:val="en-GB"/>
        </w:rPr>
      </w:pPr>
    </w:p>
    <w:p w14:paraId="42A2AF56" w14:textId="77777777" w:rsidR="00623AF8" w:rsidRPr="00576C2A" w:rsidRDefault="00623AF8" w:rsidP="00623AF8">
      <w:pPr>
        <w:jc w:val="both"/>
        <w:rPr>
          <w:rFonts w:ascii="Aptos" w:hAnsi="Aptos"/>
          <w:bCs/>
          <w:sz w:val="22"/>
          <w:szCs w:val="22"/>
          <w:u w:val="single"/>
          <w:lang w:val="en-GB"/>
        </w:rPr>
      </w:pPr>
    </w:p>
    <w:p w14:paraId="762D4A62" w14:textId="77777777" w:rsidR="00623AF8" w:rsidRPr="00576C2A" w:rsidRDefault="00623AF8" w:rsidP="00623AF8">
      <w:pPr>
        <w:jc w:val="both"/>
        <w:rPr>
          <w:rFonts w:ascii="Aptos" w:hAnsi="Aptos"/>
          <w:bCs/>
          <w:sz w:val="22"/>
          <w:szCs w:val="22"/>
          <w:u w:val="single"/>
          <w:lang w:val="en-GB"/>
        </w:rPr>
      </w:pPr>
    </w:p>
    <w:p w14:paraId="428B9121" w14:textId="77777777" w:rsidR="00623AF8" w:rsidRDefault="00623AF8" w:rsidP="00623AF8">
      <w:pPr>
        <w:jc w:val="both"/>
        <w:rPr>
          <w:rFonts w:ascii="Aptos" w:hAnsi="Aptos"/>
          <w:bCs/>
          <w:sz w:val="22"/>
          <w:szCs w:val="22"/>
          <w:u w:val="single"/>
          <w:lang w:val="en-GB"/>
        </w:rPr>
      </w:pPr>
    </w:p>
    <w:p w14:paraId="7F4B7ED1" w14:textId="77777777" w:rsidR="00623AF8" w:rsidRPr="00576C2A" w:rsidRDefault="00623AF8" w:rsidP="00623AF8">
      <w:pPr>
        <w:jc w:val="both"/>
        <w:rPr>
          <w:rFonts w:ascii="Aptos" w:hAnsi="Aptos"/>
          <w:bCs/>
          <w:sz w:val="22"/>
          <w:szCs w:val="22"/>
          <w:u w:val="single"/>
          <w:lang w:val="en-GB"/>
        </w:rPr>
      </w:pPr>
    </w:p>
    <w:p w14:paraId="0E4D2458" w14:textId="77777777" w:rsidR="00623AF8" w:rsidRDefault="00623AF8" w:rsidP="00623AF8">
      <w:pPr>
        <w:pStyle w:val="berschrift1"/>
      </w:pPr>
      <w:bookmarkStart w:id="429" w:name="_Toc170377495"/>
      <w:bookmarkStart w:id="430" w:name="_Toc170983798"/>
      <w:r w:rsidRPr="0050443A">
        <w:t>Volkswirtschaftliche Effekte von leistbarem Wohnraum</w:t>
      </w:r>
      <w:bookmarkEnd w:id="429"/>
      <w:bookmarkEnd w:id="430"/>
    </w:p>
    <w:p w14:paraId="407806BB" w14:textId="77777777" w:rsidR="00623AF8" w:rsidRPr="00345954"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3DDF6114" w14:textId="77777777" w:rsidTr="00875DD0">
        <w:tc>
          <w:tcPr>
            <w:tcW w:w="9060" w:type="dxa"/>
            <w:shd w:val="clear" w:color="auto" w:fill="D9D9D9" w:themeFill="background1" w:themeFillShade="D9"/>
          </w:tcPr>
          <w:p w14:paraId="57A707B4"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263FD00C" w14:textId="77777777" w:rsidTr="00875DD0">
        <w:tc>
          <w:tcPr>
            <w:tcW w:w="9060" w:type="dxa"/>
          </w:tcPr>
          <w:p w14:paraId="3D9C0A31" w14:textId="77777777" w:rsidR="00623AF8" w:rsidRPr="0050443A" w:rsidRDefault="00623AF8" w:rsidP="00875DD0">
            <w:pPr>
              <w:jc w:val="both"/>
              <w:rPr>
                <w:rFonts w:ascii="Aptos" w:hAnsi="Aptos"/>
                <w:b/>
                <w:bCs/>
                <w:sz w:val="22"/>
                <w:szCs w:val="22"/>
              </w:rPr>
            </w:pPr>
            <w:r w:rsidRPr="00AD0FA2">
              <w:rPr>
                <w:rFonts w:ascii="Aptos" w:hAnsi="Aptos"/>
                <w:sz w:val="22"/>
                <w:szCs w:val="22"/>
              </w:rPr>
              <w:t>Die Bauwirtschaft spielt für den Wirtschaftsstandort Europa eine zentrale Rolle, da sie nicht nur einen be</w:t>
            </w:r>
            <w:r>
              <w:rPr>
                <w:rFonts w:ascii="Aptos" w:hAnsi="Aptos"/>
                <w:sz w:val="22"/>
                <w:szCs w:val="22"/>
              </w:rPr>
              <w:t>achtlichen</w:t>
            </w:r>
            <w:r w:rsidRPr="00AD0FA2">
              <w:rPr>
                <w:rFonts w:ascii="Aptos" w:hAnsi="Aptos"/>
                <w:sz w:val="22"/>
                <w:szCs w:val="22"/>
              </w:rPr>
              <w:t xml:space="preserve"> Anteil am Bruttoinlandsprodukt hat, sondern auch eine Vielzahl von Arbeitsplätzen schafft. Eine ausgewogene Wohnungspolitik, die auf leistbares Wohnen setzt, trägt dazu bei, die Ausgaben der privaten Haushalte zu stabilisieren. Der </w:t>
            </w:r>
            <w:r w:rsidRPr="00325640">
              <w:rPr>
                <w:rFonts w:ascii="Aptos" w:hAnsi="Aptos"/>
                <w:sz w:val="22"/>
                <w:szCs w:val="22"/>
              </w:rPr>
              <w:t>gemein</w:t>
            </w:r>
            <w:r>
              <w:rPr>
                <w:rFonts w:ascii="Aptos" w:hAnsi="Aptos"/>
                <w:sz w:val="22"/>
                <w:szCs w:val="22"/>
              </w:rPr>
              <w:t>nützige und kommunale Wohnbau</w:t>
            </w:r>
            <w:r w:rsidRPr="00325640">
              <w:rPr>
                <w:rFonts w:ascii="Aptos" w:hAnsi="Aptos"/>
                <w:sz w:val="22"/>
                <w:szCs w:val="22"/>
              </w:rPr>
              <w:t xml:space="preserve"> </w:t>
            </w:r>
            <w:r w:rsidRPr="00AD0FA2">
              <w:rPr>
                <w:rFonts w:ascii="Aptos" w:hAnsi="Aptos"/>
                <w:sz w:val="22"/>
                <w:szCs w:val="22"/>
              </w:rPr>
              <w:t xml:space="preserve">senkt somit die Ausgaben für Wohnen, was wiederum die Konsumausgaben und damit die gesamtwirtschaftliche Nachfrage stützen kann. Leistbares Wohnen ist somit eine wesentliche Grundlage für die Versorgungssicherheit Europas, einen stabilen und widerstandsfähigen Wirtschaftsstandort und Wohlstand. </w:t>
            </w:r>
            <w:r w:rsidRPr="00AD0FA2">
              <w:rPr>
                <w:rFonts w:ascii="Aptos" w:hAnsi="Aptos"/>
                <w:b/>
                <w:bCs/>
                <w:sz w:val="22"/>
                <w:szCs w:val="22"/>
              </w:rPr>
              <w:t>Welche Rolle spielt aus Ihrer Sicht die Wohnungspolitik für die Entwicklung des Wirtschaftsstandortes Europa</w:t>
            </w:r>
            <w:r>
              <w:rPr>
                <w:rFonts w:ascii="Aptos" w:hAnsi="Aptos"/>
                <w:b/>
                <w:bCs/>
                <w:sz w:val="22"/>
                <w:szCs w:val="22"/>
              </w:rPr>
              <w:t xml:space="preserve"> und welche Anreize möchten Sie für den Ausbau leistbaren Wohnraums setzen</w:t>
            </w:r>
            <w:r w:rsidRPr="00AD0FA2">
              <w:rPr>
                <w:rFonts w:ascii="Aptos" w:hAnsi="Aptos"/>
                <w:b/>
                <w:bCs/>
                <w:sz w:val="22"/>
                <w:szCs w:val="22"/>
              </w:rPr>
              <w:t>?</w:t>
            </w:r>
          </w:p>
        </w:tc>
      </w:tr>
      <w:tr w:rsidR="00623AF8" w:rsidRPr="0050443A" w14:paraId="6B59F1E3" w14:textId="77777777" w:rsidTr="00875DD0">
        <w:tc>
          <w:tcPr>
            <w:tcW w:w="9060" w:type="dxa"/>
            <w:shd w:val="clear" w:color="auto" w:fill="D9D9D9" w:themeFill="background1" w:themeFillShade="D9"/>
          </w:tcPr>
          <w:p w14:paraId="791D1274"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45E985E3" w14:textId="77777777" w:rsidTr="00875DD0">
        <w:tc>
          <w:tcPr>
            <w:tcW w:w="9060" w:type="dxa"/>
          </w:tcPr>
          <w:p w14:paraId="74A17424" w14:textId="77777777" w:rsidR="00623AF8" w:rsidRPr="00AD0FA2" w:rsidRDefault="00623AF8" w:rsidP="00F63BE8">
            <w:pPr>
              <w:pStyle w:val="Listenabsatz"/>
              <w:numPr>
                <w:ilvl w:val="0"/>
                <w:numId w:val="10"/>
              </w:numPr>
              <w:spacing w:before="120" w:after="120"/>
              <w:jc w:val="both"/>
              <w:rPr>
                <w:rFonts w:ascii="Aptos" w:hAnsi="Aptos"/>
                <w:sz w:val="22"/>
                <w:szCs w:val="22"/>
              </w:rPr>
            </w:pPr>
            <w:r w:rsidRPr="00AD0FA2">
              <w:rPr>
                <w:rFonts w:ascii="Aptos" w:hAnsi="Aptos"/>
                <w:sz w:val="22"/>
                <w:szCs w:val="22"/>
              </w:rPr>
              <w:t xml:space="preserve">Planen Sie Initiativen und EU-Programme, die insbesondere </w:t>
            </w:r>
            <w:r w:rsidRPr="00325640">
              <w:rPr>
                <w:rFonts w:ascii="Aptos" w:hAnsi="Aptos"/>
                <w:sz w:val="22"/>
                <w:szCs w:val="22"/>
              </w:rPr>
              <w:t>gemein</w:t>
            </w:r>
            <w:r>
              <w:rPr>
                <w:rFonts w:ascii="Aptos" w:hAnsi="Aptos"/>
                <w:sz w:val="22"/>
                <w:szCs w:val="22"/>
              </w:rPr>
              <w:t>nützige und kommunale</w:t>
            </w:r>
            <w:r w:rsidRPr="00325640">
              <w:rPr>
                <w:rFonts w:ascii="Aptos" w:hAnsi="Aptos"/>
                <w:sz w:val="22"/>
                <w:szCs w:val="22"/>
              </w:rPr>
              <w:t xml:space="preserve"> </w:t>
            </w:r>
            <w:r w:rsidRPr="00AD0FA2">
              <w:rPr>
                <w:rFonts w:ascii="Aptos" w:hAnsi="Aptos"/>
                <w:sz w:val="22"/>
                <w:szCs w:val="22"/>
              </w:rPr>
              <w:t>Akteure bei der Schaffung von leistbarem Wohnraum unterstützen?</w:t>
            </w:r>
          </w:p>
          <w:p w14:paraId="70F191D2" w14:textId="77777777" w:rsidR="00623AF8" w:rsidRDefault="00623AF8" w:rsidP="00F63BE8">
            <w:pPr>
              <w:pStyle w:val="Listenabsatz"/>
              <w:numPr>
                <w:ilvl w:val="0"/>
                <w:numId w:val="10"/>
              </w:numPr>
              <w:spacing w:before="120" w:after="120"/>
              <w:jc w:val="both"/>
              <w:rPr>
                <w:rFonts w:ascii="Aptos" w:hAnsi="Aptos"/>
                <w:sz w:val="22"/>
                <w:szCs w:val="22"/>
              </w:rPr>
            </w:pPr>
            <w:r w:rsidRPr="00AD0FA2">
              <w:rPr>
                <w:rFonts w:ascii="Aptos" w:hAnsi="Aptos"/>
                <w:sz w:val="22"/>
                <w:szCs w:val="22"/>
              </w:rPr>
              <w:t>Wie wollen Sie in Ihrer Legislaturperiode die volkswirtschaftlichen Effekte des leistbaren Wohnens optimieren?</w:t>
            </w:r>
          </w:p>
          <w:p w14:paraId="7E741228" w14:textId="77777777" w:rsidR="00623AF8" w:rsidRPr="0050443A" w:rsidRDefault="00623AF8" w:rsidP="00F63BE8">
            <w:pPr>
              <w:pStyle w:val="Listenabsatz"/>
              <w:numPr>
                <w:ilvl w:val="0"/>
                <w:numId w:val="10"/>
              </w:numPr>
              <w:spacing w:before="120" w:after="120"/>
              <w:jc w:val="both"/>
              <w:rPr>
                <w:rFonts w:ascii="Aptos" w:hAnsi="Aptos"/>
                <w:sz w:val="22"/>
                <w:szCs w:val="22"/>
              </w:rPr>
            </w:pPr>
            <w:r w:rsidRPr="007F132E">
              <w:rPr>
                <w:rFonts w:ascii="Aptos" w:hAnsi="Aptos"/>
                <w:sz w:val="22"/>
                <w:szCs w:val="22"/>
              </w:rPr>
              <w:t>Planen Sie die Einrichtung eines zweckgebundenen Wohnbau-Fonds auf europäischer Ebene, um Investitionen in den Ausbau des sozialen Wohnbaus und die thermische Sanierung zu fördern?</w:t>
            </w:r>
          </w:p>
        </w:tc>
      </w:tr>
    </w:tbl>
    <w:p w14:paraId="2AC22AF6" w14:textId="77777777" w:rsidR="00623AF8"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9B5839" w14:paraId="1A764976" w14:textId="77777777" w:rsidTr="00875DD0">
        <w:trPr>
          <w:trHeight w:val="277"/>
        </w:trPr>
        <w:tc>
          <w:tcPr>
            <w:tcW w:w="9066" w:type="dxa"/>
            <w:shd w:val="clear" w:color="auto" w:fill="D9D9D9"/>
          </w:tcPr>
          <w:p w14:paraId="75F6DC81"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46ECEC70" w14:textId="77777777" w:rsidR="00623AF8" w:rsidRDefault="00623AF8" w:rsidP="00623AF8">
      <w:pPr>
        <w:jc w:val="both"/>
        <w:rPr>
          <w:rFonts w:ascii="Aptos" w:hAnsi="Aptos"/>
          <w:sz w:val="22"/>
          <w:szCs w:val="22"/>
        </w:rPr>
      </w:pPr>
      <w:r>
        <w:rPr>
          <w:rFonts w:ascii="Aptos" w:hAnsi="Aptos"/>
          <w:sz w:val="22"/>
          <w:szCs w:val="22"/>
        </w:rPr>
        <w:t xml:space="preserve">Kommunale und gemeinnützige Bauvereinigungen </w:t>
      </w:r>
      <w:r w:rsidRPr="001A1F08">
        <w:rPr>
          <w:rFonts w:ascii="Aptos" w:hAnsi="Aptos"/>
          <w:sz w:val="22"/>
          <w:szCs w:val="22"/>
        </w:rPr>
        <w:t xml:space="preserve">leisten einen wichtigen Beitrag zur sozialen Stabilität, indem sie leistbaren Wohnraum zur Verfügung stellen und verhindern, dass die Mietkosten überproportional steigen. Da sie nicht gewinnorientiert arbeiten, liegen die Mieten in der Regel unter dem Marktniveau und wirken somit dämpfend auf den gesamten Mietmarkt (Kostenmiete) </w:t>
      </w:r>
      <w:r w:rsidRPr="001A1F08">
        <w:rPr>
          <w:rFonts w:ascii="Aptos" w:hAnsi="Aptos"/>
          <w:sz w:val="22"/>
          <w:szCs w:val="22"/>
          <w:vertAlign w:val="subscript"/>
        </w:rPr>
        <w:t>(1).</w:t>
      </w:r>
      <w:r w:rsidRPr="001A1F08">
        <w:rPr>
          <w:rFonts w:ascii="Aptos" w:hAnsi="Aptos"/>
          <w:sz w:val="22"/>
          <w:szCs w:val="22"/>
        </w:rPr>
        <w:t xml:space="preserve"> </w:t>
      </w:r>
      <w:r w:rsidRPr="00020036">
        <w:rPr>
          <w:rFonts w:ascii="Aptos" w:hAnsi="Aptos"/>
          <w:sz w:val="22"/>
          <w:szCs w:val="22"/>
        </w:rPr>
        <w:t>Die steuerliche Begünstigung gemeinnütziger Bauträger ist daher ein wirksames Instrument zur Stabilisierung des Wohnungsmarktes und zur langfristigen Sicherung leistbaren Wohnens. Gemeinnützige Bauträger entlasten damit die Haushalte bei den Wohnkosten und reduzieren den Inflationsdruck auf die Wirtschaft. Gemeinnützige Bauvereinigungen sind nicht nur ein wichtiger Auftraggeber in der Bauwirtschaft, sondern ermöglichen vielen EU-Bürger:innen den Zugang zu qualitativ hochwertigem und leistbarem Wohnraum.</w:t>
      </w:r>
      <w:r>
        <w:rPr>
          <w:rFonts w:ascii="Aptos" w:hAnsi="Aptos"/>
          <w:sz w:val="22"/>
          <w:szCs w:val="22"/>
        </w:rPr>
        <w:t xml:space="preserve"> </w:t>
      </w:r>
      <w:r w:rsidRPr="00F0248A">
        <w:rPr>
          <w:rFonts w:ascii="Aptos" w:hAnsi="Aptos"/>
          <w:sz w:val="22"/>
          <w:szCs w:val="22"/>
        </w:rPr>
        <w:t>Aus Perspektive der Daseinsvorsorge stellt leistbarer Wohnraum eine wesentliche Grundlage für die wirtschaftliche und gesellschaftliche Entwicklung in Europa dar</w:t>
      </w:r>
      <w:r>
        <w:rPr>
          <w:rFonts w:ascii="Aptos" w:hAnsi="Aptos"/>
          <w:sz w:val="22"/>
          <w:szCs w:val="22"/>
        </w:rPr>
        <w:t xml:space="preserve"> und es braucht entsprechende rechtliche Rahmenbedingungen in Europa, damit gemeinnützige und kommunale Akteure diesen Wohnraum schaffen können.</w:t>
      </w:r>
    </w:p>
    <w:p w14:paraId="0A3763DA" w14:textId="77777777" w:rsidR="00623AF8" w:rsidRDefault="00623AF8" w:rsidP="00623AF8">
      <w:pPr>
        <w:jc w:val="both"/>
        <w:rPr>
          <w:rFonts w:ascii="Aptos" w:hAnsi="Aptos"/>
          <w:bCs/>
          <w:sz w:val="22"/>
          <w:szCs w:val="22"/>
          <w:u w:val="single"/>
        </w:rPr>
      </w:pPr>
    </w:p>
    <w:p w14:paraId="09FE4989" w14:textId="77777777" w:rsidR="00623AF8" w:rsidRPr="001A1F08" w:rsidRDefault="00623AF8" w:rsidP="00F63BE8">
      <w:pPr>
        <w:pStyle w:val="Listenabsatz"/>
        <w:numPr>
          <w:ilvl w:val="0"/>
          <w:numId w:val="57"/>
        </w:numPr>
        <w:ind w:left="360"/>
        <w:jc w:val="both"/>
        <w:rPr>
          <w:rFonts w:ascii="Aptos" w:hAnsi="Aptos"/>
          <w:sz w:val="18"/>
          <w:szCs w:val="18"/>
          <w:lang w:val="en-GB"/>
        </w:rPr>
      </w:pPr>
      <w:r w:rsidRPr="001A1F08">
        <w:rPr>
          <w:rFonts w:ascii="Aptos" w:hAnsi="Aptos"/>
          <w:sz w:val="18"/>
          <w:szCs w:val="18"/>
          <w:lang w:val="en-GB"/>
        </w:rPr>
        <w:t>Klien/Kössl et al. 2023: The Price-Damping Effect of Non-Profit Housing</w:t>
      </w:r>
    </w:p>
    <w:p w14:paraId="7B57CE1B" w14:textId="77777777" w:rsidR="00623AF8" w:rsidRPr="001A1F08" w:rsidRDefault="00AC460E" w:rsidP="00623AF8">
      <w:pPr>
        <w:pStyle w:val="Listenabsatz"/>
        <w:ind w:left="360"/>
        <w:jc w:val="both"/>
        <w:rPr>
          <w:rFonts w:ascii="Aptos" w:hAnsi="Aptos"/>
          <w:sz w:val="18"/>
          <w:szCs w:val="18"/>
          <w:lang w:val="en-GB"/>
        </w:rPr>
      </w:pPr>
      <w:hyperlink r:id="rId109" w:anchor="download" w:history="1">
        <w:r w:rsidR="00623AF8" w:rsidRPr="001A1F08">
          <w:rPr>
            <w:rStyle w:val="Hyperlink"/>
            <w:rFonts w:ascii="Aptos" w:hAnsi="Aptos"/>
            <w:sz w:val="18"/>
            <w:szCs w:val="18"/>
            <w:lang w:val="en-GB"/>
          </w:rPr>
          <w:t>https://ideas.repec.org/p/wfo/rbrief/y2023i6.html#download</w:t>
        </w:r>
      </w:hyperlink>
    </w:p>
    <w:p w14:paraId="728ACAA1" w14:textId="77777777" w:rsidR="00623AF8" w:rsidRPr="00576C2A" w:rsidRDefault="00623AF8" w:rsidP="00623AF8">
      <w:pPr>
        <w:rPr>
          <w:rFonts w:ascii="Aptos" w:hAnsi="Aptos"/>
          <w:i/>
          <w:iCs/>
          <w:sz w:val="22"/>
          <w:szCs w:val="22"/>
          <w:u w:val="single"/>
          <w:lang w:val="en-GB"/>
        </w:rPr>
      </w:pPr>
    </w:p>
    <w:p w14:paraId="518C872F" w14:textId="77777777" w:rsidR="00623AF8" w:rsidRPr="00576C2A" w:rsidRDefault="00623AF8" w:rsidP="00623AF8">
      <w:pPr>
        <w:jc w:val="both"/>
        <w:rPr>
          <w:rFonts w:ascii="Aptos" w:hAnsi="Aptos"/>
          <w:bCs/>
          <w:sz w:val="22"/>
          <w:szCs w:val="22"/>
          <w:u w:val="single"/>
          <w:lang w:val="en-GB"/>
        </w:rPr>
      </w:pPr>
    </w:p>
    <w:p w14:paraId="172B0A4A" w14:textId="77777777" w:rsidR="00623AF8" w:rsidRPr="00576C2A" w:rsidRDefault="00623AF8" w:rsidP="00623AF8">
      <w:pPr>
        <w:jc w:val="both"/>
        <w:rPr>
          <w:rFonts w:ascii="Aptos" w:hAnsi="Aptos"/>
          <w:bCs/>
          <w:sz w:val="22"/>
          <w:szCs w:val="22"/>
          <w:u w:val="single"/>
          <w:lang w:val="en-GB"/>
        </w:rPr>
      </w:pPr>
    </w:p>
    <w:p w14:paraId="69368828" w14:textId="77777777" w:rsidR="00623AF8" w:rsidRPr="00576C2A" w:rsidRDefault="00623AF8" w:rsidP="00623AF8">
      <w:pPr>
        <w:jc w:val="both"/>
        <w:rPr>
          <w:rFonts w:ascii="Aptos" w:hAnsi="Aptos"/>
          <w:bCs/>
          <w:sz w:val="22"/>
          <w:szCs w:val="22"/>
          <w:u w:val="single"/>
          <w:lang w:val="en-GB"/>
        </w:rPr>
      </w:pPr>
    </w:p>
    <w:p w14:paraId="6C12471D" w14:textId="77777777" w:rsidR="00623AF8" w:rsidRDefault="00623AF8" w:rsidP="00623AF8">
      <w:pPr>
        <w:jc w:val="both"/>
        <w:rPr>
          <w:rFonts w:ascii="Aptos" w:hAnsi="Aptos"/>
          <w:bCs/>
          <w:sz w:val="22"/>
          <w:szCs w:val="22"/>
          <w:u w:val="single"/>
          <w:lang w:val="en-GB"/>
        </w:rPr>
      </w:pPr>
    </w:p>
    <w:p w14:paraId="143F028C" w14:textId="77777777" w:rsidR="00623AF8" w:rsidRDefault="00623AF8" w:rsidP="00623AF8">
      <w:pPr>
        <w:jc w:val="both"/>
        <w:rPr>
          <w:rFonts w:ascii="Aptos" w:hAnsi="Aptos"/>
          <w:bCs/>
          <w:sz w:val="22"/>
          <w:szCs w:val="22"/>
          <w:u w:val="single"/>
          <w:lang w:val="en-GB"/>
        </w:rPr>
      </w:pPr>
    </w:p>
    <w:p w14:paraId="5051749F" w14:textId="77777777" w:rsidR="00623AF8" w:rsidRDefault="00623AF8" w:rsidP="00623AF8">
      <w:pPr>
        <w:jc w:val="both"/>
        <w:rPr>
          <w:rFonts w:ascii="Aptos" w:hAnsi="Aptos"/>
          <w:bCs/>
          <w:sz w:val="22"/>
          <w:szCs w:val="22"/>
          <w:u w:val="single"/>
          <w:lang w:val="en-GB"/>
        </w:rPr>
      </w:pPr>
    </w:p>
    <w:p w14:paraId="5FF3E7B4" w14:textId="77777777" w:rsidR="00623AF8" w:rsidRDefault="00623AF8" w:rsidP="00623AF8">
      <w:pPr>
        <w:jc w:val="both"/>
        <w:rPr>
          <w:rFonts w:ascii="Aptos" w:hAnsi="Aptos"/>
          <w:bCs/>
          <w:sz w:val="22"/>
          <w:szCs w:val="22"/>
          <w:u w:val="single"/>
          <w:lang w:val="en-GB"/>
        </w:rPr>
      </w:pPr>
    </w:p>
    <w:p w14:paraId="2B0CCC78" w14:textId="77777777" w:rsidR="00623AF8" w:rsidRDefault="00623AF8" w:rsidP="00623AF8">
      <w:pPr>
        <w:pStyle w:val="berschrift1"/>
      </w:pPr>
      <w:bookmarkStart w:id="431" w:name="_Toc170377496"/>
      <w:bookmarkStart w:id="432" w:name="_Toc170983799"/>
      <w:r w:rsidRPr="0050443A">
        <w:t>Zinswende und nachhaltige Wohnungswirtschaft</w:t>
      </w:r>
      <w:bookmarkEnd w:id="431"/>
      <w:bookmarkEnd w:id="432"/>
    </w:p>
    <w:p w14:paraId="250CD689" w14:textId="77777777" w:rsidR="00623AF8" w:rsidRPr="00345954"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234F9148" w14:textId="77777777" w:rsidTr="00875DD0">
        <w:tc>
          <w:tcPr>
            <w:tcW w:w="9060" w:type="dxa"/>
            <w:shd w:val="clear" w:color="auto" w:fill="D9D9D9" w:themeFill="background1" w:themeFillShade="D9"/>
          </w:tcPr>
          <w:p w14:paraId="788F0F6C"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16E0CD98" w14:textId="77777777" w:rsidTr="00875DD0">
        <w:tc>
          <w:tcPr>
            <w:tcW w:w="9060" w:type="dxa"/>
          </w:tcPr>
          <w:p w14:paraId="3E853220" w14:textId="77777777" w:rsidR="00623AF8" w:rsidRPr="00AD0FA2" w:rsidRDefault="00623AF8" w:rsidP="00875DD0">
            <w:pPr>
              <w:jc w:val="both"/>
              <w:rPr>
                <w:rFonts w:ascii="Aptos" w:hAnsi="Aptos"/>
                <w:i/>
                <w:iCs/>
                <w:sz w:val="22"/>
                <w:szCs w:val="22"/>
              </w:rPr>
            </w:pPr>
            <w:r w:rsidRPr="00AD0FA2">
              <w:rPr>
                <w:rFonts w:ascii="Aptos" w:hAnsi="Aptos"/>
                <w:sz w:val="22"/>
                <w:szCs w:val="22"/>
              </w:rPr>
              <w:t xml:space="preserve">Der Immobiliensektor spielt eine entscheidende Rolle auf den Finanzmärkten, und die Erfahrungen der Vergangenheit haben gezeigt, dass Finanzmarktkrisen durch </w:t>
            </w:r>
            <w:r>
              <w:rPr>
                <w:rFonts w:ascii="Aptos" w:hAnsi="Aptos"/>
                <w:sz w:val="22"/>
                <w:szCs w:val="22"/>
              </w:rPr>
              <w:t>ausfallende</w:t>
            </w:r>
            <w:r w:rsidRPr="00AD0FA2">
              <w:rPr>
                <w:rFonts w:ascii="Aptos" w:hAnsi="Aptos"/>
                <w:sz w:val="22"/>
                <w:szCs w:val="22"/>
              </w:rPr>
              <w:t xml:space="preserve"> Vermögenswerte in diesem Sektor ausgelöst oder verschärft werden können. </w:t>
            </w:r>
            <w:r w:rsidRPr="00020036">
              <w:rPr>
                <w:rFonts w:ascii="Aptos" w:hAnsi="Aptos"/>
                <w:sz w:val="22"/>
                <w:szCs w:val="22"/>
              </w:rPr>
              <w:t>Angesichts der Immobilienpreisentwicklung vor und nach der Zinswende und der jüngsten Rezession stellt sich die Frage, wie Spekulationen und Finanzblasen auf dem Immobilienmarkt vermieden werden können, um langfristig Stabilität zu gewährleisten.</w:t>
            </w:r>
            <w:r w:rsidRPr="00AD0FA2">
              <w:rPr>
                <w:rFonts w:ascii="Aptos" w:hAnsi="Aptos"/>
                <w:sz w:val="22"/>
                <w:szCs w:val="22"/>
              </w:rPr>
              <w:t xml:space="preserve"> </w:t>
            </w:r>
            <w:r w:rsidRPr="00AD0FA2">
              <w:rPr>
                <w:rFonts w:ascii="Aptos" w:hAnsi="Aptos"/>
                <w:b/>
                <w:bCs/>
                <w:sz w:val="22"/>
                <w:szCs w:val="22"/>
              </w:rPr>
              <w:t>Welche Initiativen und Steuerungsinstrumente planen Sie, dass der überhitzte Immobilienmarkt in Europa keine neue Finanzkrise auslöst?</w:t>
            </w:r>
          </w:p>
        </w:tc>
      </w:tr>
      <w:tr w:rsidR="00623AF8" w:rsidRPr="0050443A" w14:paraId="1D6AF50B" w14:textId="77777777" w:rsidTr="00875DD0">
        <w:tc>
          <w:tcPr>
            <w:tcW w:w="9060" w:type="dxa"/>
            <w:shd w:val="clear" w:color="auto" w:fill="D9D9D9" w:themeFill="background1" w:themeFillShade="D9"/>
          </w:tcPr>
          <w:p w14:paraId="493BFD23"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4BBCE183" w14:textId="77777777" w:rsidTr="00875DD0">
        <w:tc>
          <w:tcPr>
            <w:tcW w:w="9060" w:type="dxa"/>
          </w:tcPr>
          <w:p w14:paraId="2B476BDB" w14:textId="77777777" w:rsidR="00623AF8" w:rsidRPr="00AD0FA2" w:rsidRDefault="00623AF8" w:rsidP="00F63BE8">
            <w:pPr>
              <w:pStyle w:val="Listenabsatz"/>
              <w:numPr>
                <w:ilvl w:val="0"/>
                <w:numId w:val="10"/>
              </w:numPr>
              <w:spacing w:before="120" w:after="120"/>
              <w:jc w:val="both"/>
              <w:rPr>
                <w:rFonts w:ascii="Aptos" w:hAnsi="Aptos"/>
                <w:sz w:val="22"/>
                <w:szCs w:val="22"/>
              </w:rPr>
            </w:pPr>
            <w:r w:rsidRPr="00AD0FA2">
              <w:rPr>
                <w:rFonts w:ascii="Aptos" w:hAnsi="Aptos"/>
                <w:sz w:val="22"/>
                <w:szCs w:val="22"/>
              </w:rPr>
              <w:t>Wie wollen Sie verhindern, dass bei der nächsten Niedrigzinspolitik wieder eine Spekulationsblase im Wohnungsbau entsteht und das Geld in den spekulativen Wohnungsbau fließt?</w:t>
            </w:r>
          </w:p>
          <w:p w14:paraId="6E01879F" w14:textId="77777777" w:rsidR="00623AF8" w:rsidRPr="0050443A" w:rsidRDefault="00623AF8" w:rsidP="00F63BE8">
            <w:pPr>
              <w:pStyle w:val="Listenabsatz"/>
              <w:numPr>
                <w:ilvl w:val="0"/>
                <w:numId w:val="10"/>
              </w:numPr>
              <w:spacing w:before="120" w:after="120"/>
              <w:jc w:val="both"/>
              <w:rPr>
                <w:rFonts w:ascii="Aptos" w:hAnsi="Aptos"/>
                <w:sz w:val="22"/>
                <w:szCs w:val="22"/>
              </w:rPr>
            </w:pPr>
            <w:r w:rsidRPr="00AD0FA2">
              <w:rPr>
                <w:rFonts w:ascii="Aptos" w:hAnsi="Aptos"/>
                <w:sz w:val="22"/>
                <w:szCs w:val="22"/>
              </w:rPr>
              <w:t xml:space="preserve">Welche Rolle spielen in Ihren Überlegungen </w:t>
            </w:r>
            <w:r w:rsidRPr="00325640">
              <w:rPr>
                <w:rFonts w:ascii="Aptos" w:hAnsi="Aptos"/>
                <w:sz w:val="22"/>
                <w:szCs w:val="22"/>
              </w:rPr>
              <w:t>gemein</w:t>
            </w:r>
            <w:r>
              <w:rPr>
                <w:rFonts w:ascii="Aptos" w:hAnsi="Aptos"/>
                <w:sz w:val="22"/>
                <w:szCs w:val="22"/>
              </w:rPr>
              <w:t>nützige</w:t>
            </w:r>
            <w:r w:rsidRPr="00325640">
              <w:rPr>
                <w:rFonts w:ascii="Aptos" w:hAnsi="Aptos"/>
                <w:sz w:val="22"/>
                <w:szCs w:val="22"/>
              </w:rPr>
              <w:t xml:space="preserve"> </w:t>
            </w:r>
            <w:r w:rsidRPr="00AD0FA2">
              <w:rPr>
                <w:rFonts w:ascii="Aptos" w:hAnsi="Aptos"/>
                <w:sz w:val="22"/>
                <w:szCs w:val="22"/>
              </w:rPr>
              <w:t>Akteure für eine nachhaltige Wohnungswirtschaft?</w:t>
            </w:r>
          </w:p>
        </w:tc>
      </w:tr>
    </w:tbl>
    <w:p w14:paraId="28243715" w14:textId="77777777" w:rsidR="00623AF8"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170C9F36" w14:textId="77777777" w:rsidTr="00875DD0">
        <w:trPr>
          <w:trHeight w:val="277"/>
        </w:trPr>
        <w:tc>
          <w:tcPr>
            <w:tcW w:w="9066" w:type="dxa"/>
            <w:shd w:val="clear" w:color="auto" w:fill="D9D9D9"/>
          </w:tcPr>
          <w:p w14:paraId="1061E7F7"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5A44A219" w14:textId="77777777" w:rsidR="00623AF8" w:rsidRPr="00D14E6F" w:rsidRDefault="00623AF8" w:rsidP="00623AF8">
      <w:pPr>
        <w:jc w:val="both"/>
        <w:rPr>
          <w:rFonts w:ascii="Aptos" w:hAnsi="Aptos"/>
          <w:sz w:val="22"/>
          <w:szCs w:val="22"/>
        </w:rPr>
      </w:pPr>
      <w:r w:rsidRPr="00D14E6F">
        <w:rPr>
          <w:rFonts w:ascii="Aptos" w:hAnsi="Aptos"/>
          <w:sz w:val="22"/>
          <w:szCs w:val="22"/>
        </w:rPr>
        <w:t xml:space="preserve">Die Zinswende seit Juli 2022, d.h. die Umkehr der langjährigen Niedrigzinspolitik hin zu steigenden Zinsen, hatte erhebliche Auswirkungen auf die Immobilienwirtschaft. Obwohl der Leitzins der EZB </w:t>
      </w:r>
      <w:r>
        <w:rPr>
          <w:rFonts w:ascii="Aptos" w:hAnsi="Aptos"/>
          <w:sz w:val="22"/>
          <w:szCs w:val="22"/>
        </w:rPr>
        <w:t xml:space="preserve">Mitte des </w:t>
      </w:r>
      <w:r w:rsidRPr="00D14E6F">
        <w:rPr>
          <w:rFonts w:ascii="Aptos" w:hAnsi="Aptos"/>
          <w:sz w:val="22"/>
          <w:szCs w:val="22"/>
        </w:rPr>
        <w:t>Jahr</w:t>
      </w:r>
      <w:r>
        <w:rPr>
          <w:rFonts w:ascii="Aptos" w:hAnsi="Aptos"/>
          <w:sz w:val="22"/>
          <w:szCs w:val="22"/>
        </w:rPr>
        <w:t>es</w:t>
      </w:r>
      <w:r w:rsidRPr="00D14E6F">
        <w:rPr>
          <w:rFonts w:ascii="Aptos" w:hAnsi="Aptos"/>
          <w:sz w:val="22"/>
          <w:szCs w:val="22"/>
        </w:rPr>
        <w:t xml:space="preserve"> 2024 leicht gesenkt wurde, kämpft die Branche weiterhin mit den steigenden Zinsen der letzten zwei Jahre. Diese steigenden Finanzierungskosten für Bauvorhaben und Hypotheken dämpfen die Nachfrage nach Immobilien und üben Druck auf die Preise aus, insbesondere in Zeiten wirtschaftlicher Unsicherheit wie nach der jüngsten Rezession</w:t>
      </w:r>
      <w:r>
        <w:rPr>
          <w:rFonts w:ascii="Aptos" w:hAnsi="Aptos"/>
          <w:sz w:val="22"/>
          <w:szCs w:val="22"/>
        </w:rPr>
        <w:t xml:space="preserve"> </w:t>
      </w:r>
      <w:r w:rsidRPr="00395C5B">
        <w:rPr>
          <w:rFonts w:ascii="Aptos" w:hAnsi="Aptos"/>
          <w:sz w:val="22"/>
          <w:szCs w:val="22"/>
          <w:vertAlign w:val="subscript"/>
        </w:rPr>
        <w:t>(1)</w:t>
      </w:r>
      <w:r w:rsidRPr="00D14E6F">
        <w:rPr>
          <w:rFonts w:ascii="Aptos" w:hAnsi="Aptos"/>
          <w:sz w:val="22"/>
          <w:szCs w:val="22"/>
        </w:rPr>
        <w:t xml:space="preserve">. Ein Rückgang der </w:t>
      </w:r>
      <w:r>
        <w:rPr>
          <w:rFonts w:ascii="Aptos" w:hAnsi="Aptos"/>
          <w:sz w:val="22"/>
          <w:szCs w:val="22"/>
        </w:rPr>
        <w:t>Wirtschaftsaktivität</w:t>
      </w:r>
      <w:r w:rsidRPr="00D14E6F">
        <w:rPr>
          <w:rFonts w:ascii="Aptos" w:hAnsi="Aptos"/>
          <w:sz w:val="22"/>
          <w:szCs w:val="22"/>
        </w:rPr>
        <w:t xml:space="preserve"> im Immobiliensektor hat direkte Auswirkungen auf die Beschäftigung, die Zulieferbranchen und die Verfügbarkeit von bezahlbarem Wohnraum. Angesichts dieser Entwicklungen stellt sich die Frage, wie Spekulation und Finanzblasen auf dem Immobilienmarkt vermieden werden können, um langfristige Stabilität zu gewährleisten. Der Immobiliensektor ist ein sehr relevanter Faktor auf den Finanzmärkten. Die Finanzkrise 2007/2008 hat gezeigt, dass faule Hypothekenkredite große Banken und Kreditinstitute ins Wanken bringen und damit das gesamte Finanzsystem destabilisieren können. Eine Rückkehr zur Niedrigzinspolitik könnte erneut zu Spekulationsblasen gewinnorientierter Akteure führen. Aus Sicht der Daseinsvorsorge ist nachhaltige</w:t>
      </w:r>
      <w:r>
        <w:rPr>
          <w:rFonts w:ascii="Aptos" w:hAnsi="Aptos"/>
          <w:sz w:val="22"/>
          <w:szCs w:val="22"/>
        </w:rPr>
        <w:t xml:space="preserve"> Investitionen in leistbaren Wohnraum </w:t>
      </w:r>
      <w:r w:rsidRPr="00D14E6F">
        <w:rPr>
          <w:rFonts w:ascii="Aptos" w:hAnsi="Aptos"/>
          <w:sz w:val="22"/>
          <w:szCs w:val="22"/>
        </w:rPr>
        <w:t xml:space="preserve">ein wichtiger Hebel für langfristiges Wachstum, wirtschaftliche Stabilität und </w:t>
      </w:r>
      <w:r>
        <w:rPr>
          <w:rFonts w:ascii="Aptos" w:hAnsi="Aptos"/>
          <w:sz w:val="22"/>
          <w:szCs w:val="22"/>
        </w:rPr>
        <w:t>gesellschaftspolitischen Zusammenhalt</w:t>
      </w:r>
      <w:r w:rsidRPr="00D14E6F">
        <w:rPr>
          <w:rFonts w:ascii="Aptos" w:hAnsi="Aptos"/>
          <w:sz w:val="22"/>
          <w:szCs w:val="22"/>
        </w:rPr>
        <w:t>. Insbesondere gemeinnützige Bauträger bieten ein gutes Gegengewicht zur Immobilienspekulation und sind verlässliche Partner in wirtschaftlich unsicheren Zeiten.</w:t>
      </w:r>
    </w:p>
    <w:p w14:paraId="160B7DDD" w14:textId="77777777" w:rsidR="00623AF8" w:rsidRDefault="00623AF8" w:rsidP="00623AF8">
      <w:pPr>
        <w:jc w:val="both"/>
        <w:rPr>
          <w:rFonts w:ascii="Aptos" w:hAnsi="Aptos"/>
        </w:rPr>
      </w:pPr>
    </w:p>
    <w:p w14:paraId="51E84686" w14:textId="77777777" w:rsidR="00623AF8" w:rsidRDefault="00623AF8" w:rsidP="00F63BE8">
      <w:pPr>
        <w:pStyle w:val="Listenabsatz"/>
        <w:numPr>
          <w:ilvl w:val="0"/>
          <w:numId w:val="58"/>
        </w:numPr>
        <w:jc w:val="both"/>
        <w:rPr>
          <w:rFonts w:ascii="Aptos" w:hAnsi="Aptos"/>
          <w:sz w:val="18"/>
          <w:szCs w:val="18"/>
          <w:lang w:val="en-GB"/>
        </w:rPr>
      </w:pPr>
      <w:r>
        <w:rPr>
          <w:rFonts w:ascii="Aptos" w:hAnsi="Aptos"/>
          <w:sz w:val="18"/>
          <w:szCs w:val="18"/>
          <w:lang w:val="en-GB"/>
        </w:rPr>
        <w:t>US Bank 2024</w:t>
      </w:r>
      <w:r w:rsidRPr="001A1F08">
        <w:rPr>
          <w:rFonts w:ascii="Aptos" w:hAnsi="Aptos"/>
          <w:sz w:val="18"/>
          <w:szCs w:val="18"/>
          <w:lang w:val="en-GB"/>
        </w:rPr>
        <w:t xml:space="preserve">: </w:t>
      </w:r>
      <w:r w:rsidRPr="00395C5B">
        <w:rPr>
          <w:rFonts w:ascii="Aptos" w:hAnsi="Aptos"/>
          <w:sz w:val="18"/>
          <w:szCs w:val="18"/>
          <w:lang w:val="en-GB"/>
        </w:rPr>
        <w:t>The impact of today’s higher interest rates on the housing market</w:t>
      </w:r>
    </w:p>
    <w:p w14:paraId="56E66835" w14:textId="77777777" w:rsidR="00623AF8" w:rsidRPr="00395C5B" w:rsidRDefault="00AC460E" w:rsidP="00623AF8">
      <w:pPr>
        <w:pStyle w:val="Listenabsatz"/>
        <w:ind w:left="360"/>
        <w:jc w:val="both"/>
        <w:rPr>
          <w:rStyle w:val="Hyperlink"/>
          <w:lang w:val="en-GB"/>
        </w:rPr>
      </w:pPr>
      <w:hyperlink r:id="rId110" w:history="1">
        <w:r w:rsidR="00623AF8">
          <w:rPr>
            <w:rStyle w:val="Hyperlink"/>
            <w:rFonts w:ascii="Aptos" w:hAnsi="Aptos"/>
            <w:sz w:val="18"/>
            <w:szCs w:val="18"/>
            <w:lang w:val="en-GB"/>
          </w:rPr>
          <w:t>https://www.usbank.com/investing/financial-perspectives/investing-insights/interest-rates-impact-on-housing-market.html</w:t>
        </w:r>
      </w:hyperlink>
    </w:p>
    <w:p w14:paraId="603897D0" w14:textId="77777777" w:rsidR="00623AF8" w:rsidRPr="00395C5B" w:rsidRDefault="00623AF8" w:rsidP="00623AF8">
      <w:pPr>
        <w:jc w:val="both"/>
        <w:rPr>
          <w:rFonts w:ascii="Aptos" w:hAnsi="Aptos"/>
          <w:lang w:val="en-GB"/>
        </w:rPr>
      </w:pPr>
    </w:p>
    <w:p w14:paraId="7624E93D" w14:textId="77777777" w:rsidR="00623AF8" w:rsidRPr="00395C5B" w:rsidRDefault="00623AF8" w:rsidP="00623AF8">
      <w:pPr>
        <w:jc w:val="both"/>
        <w:rPr>
          <w:rFonts w:ascii="Aptos" w:hAnsi="Aptos"/>
          <w:lang w:val="en-GB"/>
        </w:rPr>
      </w:pPr>
    </w:p>
    <w:p w14:paraId="0114D1D5" w14:textId="77777777" w:rsidR="00623AF8" w:rsidRPr="00395C5B" w:rsidRDefault="00623AF8" w:rsidP="00623AF8">
      <w:pPr>
        <w:jc w:val="both"/>
        <w:rPr>
          <w:rFonts w:ascii="Aptos" w:hAnsi="Aptos"/>
          <w:lang w:val="en-GB"/>
        </w:rPr>
      </w:pPr>
    </w:p>
    <w:p w14:paraId="16C297D9" w14:textId="77777777" w:rsidR="00623AF8" w:rsidRDefault="00623AF8" w:rsidP="00623AF8">
      <w:pPr>
        <w:jc w:val="both"/>
        <w:rPr>
          <w:rFonts w:ascii="Aptos" w:hAnsi="Aptos"/>
          <w:lang w:val="en-GB"/>
        </w:rPr>
      </w:pPr>
    </w:p>
    <w:p w14:paraId="42480D8A" w14:textId="77777777" w:rsidR="00623AF8" w:rsidRPr="00395C5B" w:rsidRDefault="00623AF8" w:rsidP="00623AF8">
      <w:pPr>
        <w:jc w:val="both"/>
        <w:rPr>
          <w:rFonts w:ascii="Aptos" w:hAnsi="Aptos"/>
          <w:lang w:val="en-GB"/>
        </w:rPr>
      </w:pPr>
    </w:p>
    <w:p w14:paraId="613C44D4" w14:textId="77777777" w:rsidR="00623AF8" w:rsidRDefault="00623AF8" w:rsidP="00623AF8">
      <w:pPr>
        <w:pStyle w:val="berschrift1"/>
      </w:pPr>
      <w:bookmarkStart w:id="433" w:name="_Toc170377497"/>
      <w:bookmarkStart w:id="434" w:name="_Toc170983800"/>
      <w:r>
        <w:t>Förderung des s</w:t>
      </w:r>
      <w:r w:rsidRPr="0050443A">
        <w:t>erielle</w:t>
      </w:r>
      <w:r>
        <w:t>n</w:t>
      </w:r>
      <w:r w:rsidRPr="0050443A">
        <w:t xml:space="preserve"> und </w:t>
      </w:r>
      <w:r>
        <w:t>m</w:t>
      </w:r>
      <w:r w:rsidRPr="0050443A">
        <w:t>odulare</w:t>
      </w:r>
      <w:r>
        <w:t>n</w:t>
      </w:r>
      <w:r w:rsidRPr="0050443A">
        <w:t xml:space="preserve"> Baue</w:t>
      </w:r>
      <w:r>
        <w:t>s</w:t>
      </w:r>
      <w:bookmarkEnd w:id="433"/>
      <w:bookmarkEnd w:id="434"/>
      <w:r w:rsidRPr="0050443A">
        <w:t xml:space="preserve"> </w:t>
      </w:r>
    </w:p>
    <w:p w14:paraId="60296B81" w14:textId="77777777" w:rsidR="00623AF8" w:rsidRPr="00947286" w:rsidRDefault="00623AF8" w:rsidP="00623AF8"/>
    <w:tbl>
      <w:tblPr>
        <w:tblStyle w:val="Tabellenraster"/>
        <w:tblW w:w="9060" w:type="dxa"/>
        <w:tblInd w:w="108" w:type="dxa"/>
        <w:tblLook w:val="04A0" w:firstRow="1" w:lastRow="0" w:firstColumn="1" w:lastColumn="0" w:noHBand="0" w:noVBand="1"/>
      </w:tblPr>
      <w:tblGrid>
        <w:gridCol w:w="9060"/>
      </w:tblGrid>
      <w:tr w:rsidR="00623AF8" w:rsidRPr="0050443A" w14:paraId="29555FDA" w14:textId="77777777" w:rsidTr="00875DD0">
        <w:tc>
          <w:tcPr>
            <w:tcW w:w="9060" w:type="dxa"/>
            <w:shd w:val="clear" w:color="auto" w:fill="D9D9D9" w:themeFill="background1" w:themeFillShade="D9"/>
          </w:tcPr>
          <w:p w14:paraId="300E22AF"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17FBD8E5" w14:textId="77777777" w:rsidTr="00875DD0">
        <w:tc>
          <w:tcPr>
            <w:tcW w:w="9060" w:type="dxa"/>
          </w:tcPr>
          <w:p w14:paraId="4B4B0496" w14:textId="77777777" w:rsidR="00623AF8" w:rsidRPr="000753E6" w:rsidRDefault="00623AF8" w:rsidP="00875DD0">
            <w:pPr>
              <w:spacing w:before="120" w:after="120"/>
              <w:jc w:val="both"/>
              <w:rPr>
                <w:rFonts w:ascii="Aptos" w:hAnsi="Aptos" w:cs="Open Sans"/>
                <w:sz w:val="22"/>
                <w:szCs w:val="22"/>
              </w:rPr>
            </w:pPr>
            <w:r w:rsidRPr="000E5ACC">
              <w:rPr>
                <w:rFonts w:ascii="Aptos" w:hAnsi="Aptos" w:cs="Open Sans"/>
                <w:sz w:val="22"/>
                <w:szCs w:val="22"/>
              </w:rPr>
              <w:t>Der Gebäudesektor ist derzeit für 40 % des Energieverbrauchs und 36 % der Treibhausgasemissionen in der EU verantwortlich. Die EU hat sich zum Ziel gesetzt, dass ab 2030 alle Neubauten Nullemissionsgebäude sein sollen. Serielles und modulares Bauen ermöglicht es, klimafreundliches Bauen durch einen ganzheitlichen Produktansatz stärker in den Fokus zu rücken. Durch die Vorfertigung der Bauteile im Werk verkürzt sich die Bauzeit vor Ort auf durchschnittlich rund sechs Monate und ermöglicht einen effizienten Einsatz knapper Ressourcen wie Personal und Material. Serielles und modulares Bauen ist ein wichtiger Hebel, um die derzeit hohen Baukosten in den Griff zu bekommen und kostengünstigen Wohnraum zu schaffen. Ein weiterer wesentlicher Vorteil ist die Planungssicherheit und Kalkulierbarkeit.</w:t>
            </w:r>
            <w:r>
              <w:rPr>
                <w:rFonts w:ascii="Aptos" w:hAnsi="Aptos" w:cs="Open Sans"/>
                <w:sz w:val="22"/>
                <w:szCs w:val="22"/>
              </w:rPr>
              <w:t xml:space="preserve"> </w:t>
            </w:r>
            <w:r w:rsidRPr="000753E6">
              <w:rPr>
                <w:rFonts w:ascii="Aptos" w:hAnsi="Aptos" w:cs="Open Sans"/>
                <w:b/>
                <w:bCs/>
                <w:sz w:val="22"/>
                <w:szCs w:val="22"/>
              </w:rPr>
              <w:t>Welche Rolle spielt serielles und modulares Bauen in Ihren Überlegungen, um die Ziele des emissionsfreien und leistbaren Wohnbaus zu ermöglichen?</w:t>
            </w:r>
          </w:p>
        </w:tc>
      </w:tr>
      <w:tr w:rsidR="00623AF8" w:rsidRPr="0050443A" w14:paraId="60A00272" w14:textId="77777777" w:rsidTr="00875DD0">
        <w:tc>
          <w:tcPr>
            <w:tcW w:w="9060" w:type="dxa"/>
            <w:shd w:val="clear" w:color="auto" w:fill="D9D9D9" w:themeFill="background1" w:themeFillShade="D9"/>
          </w:tcPr>
          <w:p w14:paraId="33BC79F9"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6876FBA3" w14:textId="77777777" w:rsidTr="00875DD0">
        <w:tc>
          <w:tcPr>
            <w:tcW w:w="9060" w:type="dxa"/>
          </w:tcPr>
          <w:p w14:paraId="758ACA12" w14:textId="77777777" w:rsidR="00623AF8" w:rsidRPr="000753E6" w:rsidRDefault="00623AF8" w:rsidP="00F63BE8">
            <w:pPr>
              <w:pStyle w:val="Listenabsatz"/>
              <w:numPr>
                <w:ilvl w:val="0"/>
                <w:numId w:val="14"/>
              </w:numPr>
              <w:spacing w:after="160" w:line="259" w:lineRule="auto"/>
              <w:rPr>
                <w:rFonts w:ascii="Aptos" w:hAnsi="Aptos"/>
                <w:sz w:val="22"/>
                <w:szCs w:val="22"/>
              </w:rPr>
            </w:pPr>
            <w:r>
              <w:rPr>
                <w:rFonts w:ascii="Aptos" w:hAnsi="Aptos"/>
                <w:sz w:val="22"/>
                <w:szCs w:val="22"/>
              </w:rPr>
              <w:t xml:space="preserve">Welche EU-Programme und Initiativen planen Sie, um </w:t>
            </w:r>
            <w:r w:rsidRPr="000753E6">
              <w:rPr>
                <w:rFonts w:ascii="Aptos" w:hAnsi="Aptos"/>
                <w:sz w:val="22"/>
                <w:szCs w:val="22"/>
              </w:rPr>
              <w:t>kreislaufwirtschaftliche und ressourcenschonende Bauweisen</w:t>
            </w:r>
            <w:r>
              <w:rPr>
                <w:rFonts w:ascii="Aptos" w:hAnsi="Aptos"/>
                <w:sz w:val="22"/>
                <w:szCs w:val="22"/>
              </w:rPr>
              <w:t xml:space="preserve"> zu fördern</w:t>
            </w:r>
            <w:r w:rsidRPr="000753E6">
              <w:rPr>
                <w:rFonts w:ascii="Aptos" w:hAnsi="Aptos"/>
                <w:sz w:val="22"/>
                <w:szCs w:val="22"/>
              </w:rPr>
              <w:t>?</w:t>
            </w:r>
          </w:p>
        </w:tc>
      </w:tr>
    </w:tbl>
    <w:p w14:paraId="37A09A05" w14:textId="77777777" w:rsidR="00623AF8"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9B5839" w14:paraId="18721F63" w14:textId="77777777" w:rsidTr="00875DD0">
        <w:trPr>
          <w:trHeight w:val="277"/>
        </w:trPr>
        <w:tc>
          <w:tcPr>
            <w:tcW w:w="9066" w:type="dxa"/>
            <w:shd w:val="clear" w:color="auto" w:fill="D9D9D9"/>
          </w:tcPr>
          <w:p w14:paraId="27418AAF"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6D2ADB33" w14:textId="77777777" w:rsidR="00623AF8" w:rsidRPr="0050443A" w:rsidRDefault="00623AF8" w:rsidP="00623AF8">
      <w:pPr>
        <w:jc w:val="both"/>
        <w:rPr>
          <w:rFonts w:ascii="Aptos" w:hAnsi="Aptos"/>
          <w:i/>
          <w:iCs/>
          <w:sz w:val="22"/>
          <w:szCs w:val="22"/>
          <w:u w:val="single"/>
        </w:rPr>
      </w:pPr>
      <w:r w:rsidRPr="00A0603B">
        <w:rPr>
          <w:rFonts w:ascii="Aptos" w:hAnsi="Aptos"/>
          <w:sz w:val="22"/>
          <w:szCs w:val="22"/>
        </w:rPr>
        <w:t xml:space="preserve">Serielles und modulares Bauen kann einen wertvollen Beitrag zum Klimaschutz im Gebäudesektor leisten. Der Gebäudesektor ist derzeit für 40 </w:t>
      </w:r>
      <w:r>
        <w:rPr>
          <w:rFonts w:ascii="Aptos" w:hAnsi="Aptos"/>
          <w:sz w:val="22"/>
          <w:szCs w:val="22"/>
        </w:rPr>
        <w:t>%</w:t>
      </w:r>
      <w:r w:rsidRPr="00A0603B">
        <w:rPr>
          <w:rFonts w:ascii="Aptos" w:hAnsi="Aptos"/>
          <w:sz w:val="22"/>
          <w:szCs w:val="22"/>
        </w:rPr>
        <w:t xml:space="preserve"> des Energieverbrauchs und 36 </w:t>
      </w:r>
      <w:r>
        <w:rPr>
          <w:rFonts w:ascii="Aptos" w:hAnsi="Aptos"/>
          <w:sz w:val="22"/>
          <w:szCs w:val="22"/>
        </w:rPr>
        <w:t xml:space="preserve">% </w:t>
      </w:r>
      <w:r w:rsidRPr="00A0603B">
        <w:rPr>
          <w:rFonts w:ascii="Aptos" w:hAnsi="Aptos"/>
          <w:sz w:val="22"/>
          <w:szCs w:val="22"/>
        </w:rPr>
        <w:t>der Treibhausgasemissionen in der EU verantwortlich</w:t>
      </w:r>
      <w:r>
        <w:rPr>
          <w:rFonts w:ascii="Aptos" w:hAnsi="Aptos"/>
          <w:sz w:val="22"/>
          <w:szCs w:val="22"/>
        </w:rPr>
        <w:t xml:space="preserve"> </w:t>
      </w:r>
      <w:r w:rsidRPr="00A0603B">
        <w:rPr>
          <w:rFonts w:ascii="Aptos" w:hAnsi="Aptos"/>
          <w:sz w:val="22"/>
          <w:szCs w:val="22"/>
          <w:vertAlign w:val="subscript"/>
        </w:rPr>
        <w:t>(1)</w:t>
      </w:r>
      <w:r>
        <w:rPr>
          <w:rFonts w:ascii="Aptos" w:hAnsi="Aptos"/>
          <w:sz w:val="22"/>
          <w:szCs w:val="22"/>
        </w:rPr>
        <w:t xml:space="preserve"> </w:t>
      </w:r>
      <w:r w:rsidRPr="00A0603B">
        <w:rPr>
          <w:rFonts w:ascii="Aptos" w:hAnsi="Aptos"/>
          <w:sz w:val="22"/>
          <w:szCs w:val="22"/>
        </w:rPr>
        <w:t xml:space="preserve">. </w:t>
      </w:r>
      <w:r w:rsidRPr="000E5ACC">
        <w:rPr>
          <w:rFonts w:ascii="Aptos" w:hAnsi="Aptos"/>
          <w:sz w:val="22"/>
          <w:szCs w:val="22"/>
        </w:rPr>
        <w:t>Vor diesem Hintergrund besteht ein enormes Einsparpotenzial zur Bekämpfung des Klimawandels und zur Erreichung der EU-Klimaziele.</w:t>
      </w:r>
      <w:r w:rsidRPr="00A0603B">
        <w:rPr>
          <w:rFonts w:ascii="Aptos" w:hAnsi="Aptos"/>
          <w:sz w:val="22"/>
          <w:szCs w:val="22"/>
        </w:rPr>
        <w:t xml:space="preserve"> In diesem Zusammenhang hat sich die EU das ehrgeizige Ziel gesetzt, dass ab 2030 alle Neubauten Nullemissionsgebäude sein sollen. </w:t>
      </w:r>
      <w:r>
        <w:rPr>
          <w:rFonts w:ascii="Aptos" w:hAnsi="Aptos"/>
          <w:sz w:val="22"/>
          <w:szCs w:val="22"/>
        </w:rPr>
        <w:t>V</w:t>
      </w:r>
      <w:r w:rsidRPr="00A0603B">
        <w:rPr>
          <w:rFonts w:ascii="Aptos" w:hAnsi="Aptos"/>
          <w:sz w:val="22"/>
          <w:szCs w:val="22"/>
        </w:rPr>
        <w:t xml:space="preserve">orgefertigte Bauteile </w:t>
      </w:r>
      <w:r>
        <w:rPr>
          <w:rFonts w:ascii="Aptos" w:hAnsi="Aptos"/>
          <w:sz w:val="22"/>
          <w:szCs w:val="22"/>
        </w:rPr>
        <w:t xml:space="preserve">können dabei </w:t>
      </w:r>
      <w:r w:rsidRPr="00A0603B">
        <w:rPr>
          <w:rFonts w:ascii="Aptos" w:hAnsi="Aptos"/>
          <w:sz w:val="22"/>
          <w:szCs w:val="22"/>
        </w:rPr>
        <w:t>den Bauprozess optimieren und die Bauzeit insgesamt verkürzen. Im Durchschnitt verkürzt sich die Bauzeit auf rund sechs Monate, was nicht nur die Effizienz steigert, sondern auch den Einsatz knapper Ressourcen wie Personal und Material optimiert</w:t>
      </w:r>
      <w:r>
        <w:rPr>
          <w:rFonts w:ascii="Aptos" w:hAnsi="Aptos"/>
          <w:sz w:val="22"/>
          <w:szCs w:val="22"/>
        </w:rPr>
        <w:t xml:space="preserve"> </w:t>
      </w:r>
      <w:r w:rsidRPr="000E5ACC">
        <w:rPr>
          <w:rFonts w:ascii="Aptos" w:hAnsi="Aptos"/>
          <w:sz w:val="22"/>
          <w:szCs w:val="22"/>
          <w:vertAlign w:val="subscript"/>
        </w:rPr>
        <w:t>(2)</w:t>
      </w:r>
      <w:r w:rsidRPr="00A0603B">
        <w:rPr>
          <w:rFonts w:ascii="Aptos" w:hAnsi="Aptos"/>
          <w:sz w:val="22"/>
          <w:szCs w:val="22"/>
        </w:rPr>
        <w:t>. Dies ist insbesondere vor dem Hintergrund des Fachkräftemangels in der Baubranche und der begrenzten Verfügbarkeit von Baumaterialien von Bedeutung. Darüber hinaus ermöglicht die industrielle Fertigung der Bauteile höhere Qualitätsstandards und eine bessere Kontrolle der Produktionsprozesse, was letztlich zu langlebigeren und nachhaltigeren Gebäuden führt. Aus Sicht der Daseinsvorsorge ist leistbares Wohnen ein wesentlicher Eckpfeiler des sozialen Wohlergehens. Im Hinblick auf die Klima- und Energieziele der EU kann serielles und modulares Bauen eine vielversprechende Lösung sein, um die hohen Anforderungen an den Klimaschutz im Gebäudesektor zu erfüllen und gleichzeitig kostengünstigen und qualitativ hochwertigen Wohnraum zu schaffen.</w:t>
      </w:r>
    </w:p>
    <w:p w14:paraId="2028233F" w14:textId="77777777" w:rsidR="00623AF8" w:rsidRDefault="00623AF8" w:rsidP="00623AF8">
      <w:pPr>
        <w:jc w:val="both"/>
        <w:rPr>
          <w:rFonts w:ascii="Aptos" w:hAnsi="Aptos"/>
          <w:sz w:val="22"/>
          <w:szCs w:val="22"/>
        </w:rPr>
      </w:pPr>
    </w:p>
    <w:p w14:paraId="3EDCFB22" w14:textId="77777777" w:rsidR="00623AF8" w:rsidRPr="00A0603B" w:rsidRDefault="00623AF8" w:rsidP="00F63BE8">
      <w:pPr>
        <w:pStyle w:val="Listenabsatz"/>
        <w:numPr>
          <w:ilvl w:val="0"/>
          <w:numId w:val="59"/>
        </w:numPr>
        <w:ind w:left="360"/>
        <w:jc w:val="both"/>
        <w:rPr>
          <w:rFonts w:ascii="Aptos" w:hAnsi="Aptos"/>
          <w:sz w:val="18"/>
          <w:szCs w:val="18"/>
          <w:lang w:val="en-GB"/>
        </w:rPr>
      </w:pPr>
      <w:r w:rsidRPr="00A0603B">
        <w:rPr>
          <w:rFonts w:ascii="Aptos" w:hAnsi="Aptos"/>
          <w:sz w:val="18"/>
          <w:szCs w:val="18"/>
          <w:lang w:val="en-GB"/>
        </w:rPr>
        <w:t>European Commission 2020: In focus: Energy efficiency in buildings</w:t>
      </w:r>
    </w:p>
    <w:p w14:paraId="3E9B19A0" w14:textId="77777777" w:rsidR="00623AF8" w:rsidRDefault="00AC460E" w:rsidP="00623AF8">
      <w:pPr>
        <w:pStyle w:val="Listenabsatz"/>
        <w:ind w:left="360"/>
        <w:jc w:val="both"/>
        <w:rPr>
          <w:rStyle w:val="Hyperlink"/>
          <w:rFonts w:ascii="Aptos" w:hAnsi="Aptos"/>
          <w:sz w:val="18"/>
          <w:szCs w:val="18"/>
          <w:lang w:val="en-GB"/>
        </w:rPr>
      </w:pPr>
      <w:hyperlink r:id="rId111" w:history="1">
        <w:r w:rsidR="00623AF8" w:rsidRPr="00A0603B">
          <w:rPr>
            <w:rStyle w:val="Hyperlink"/>
            <w:rFonts w:ascii="Aptos" w:hAnsi="Aptos"/>
            <w:sz w:val="18"/>
            <w:szCs w:val="18"/>
            <w:lang w:val="en-GB"/>
          </w:rPr>
          <w:t>https://commission.europa.eu/news/focus-energy-efficiency-buildings-2020-02-17_en</w:t>
        </w:r>
      </w:hyperlink>
    </w:p>
    <w:p w14:paraId="5F32D388" w14:textId="77777777" w:rsidR="00623AF8" w:rsidRPr="00A0603B" w:rsidRDefault="00623AF8" w:rsidP="00F63BE8">
      <w:pPr>
        <w:pStyle w:val="Listenabsatz"/>
        <w:numPr>
          <w:ilvl w:val="0"/>
          <w:numId w:val="59"/>
        </w:numPr>
        <w:ind w:left="360"/>
        <w:jc w:val="both"/>
        <w:rPr>
          <w:rFonts w:ascii="Aptos" w:hAnsi="Aptos"/>
          <w:sz w:val="18"/>
          <w:szCs w:val="18"/>
          <w:lang w:val="en-GB"/>
        </w:rPr>
      </w:pPr>
      <w:r>
        <w:rPr>
          <w:rFonts w:ascii="Aptos" w:hAnsi="Aptos"/>
          <w:sz w:val="18"/>
          <w:szCs w:val="18"/>
          <w:lang w:val="en-GB"/>
        </w:rPr>
        <w:t>Build Review 2023</w:t>
      </w:r>
      <w:r w:rsidRPr="00A0603B">
        <w:rPr>
          <w:rFonts w:ascii="Aptos" w:hAnsi="Aptos"/>
          <w:sz w:val="18"/>
          <w:szCs w:val="18"/>
          <w:lang w:val="en-GB"/>
        </w:rPr>
        <w:t xml:space="preserve">: In focus: </w:t>
      </w:r>
      <w:r>
        <w:rPr>
          <w:rFonts w:ascii="Aptos" w:hAnsi="Aptos"/>
          <w:sz w:val="18"/>
          <w:szCs w:val="18"/>
          <w:lang w:val="en-GB"/>
        </w:rPr>
        <w:t>Modular Building, serial, prefabricated building – the solution to the housing problem?</w:t>
      </w:r>
    </w:p>
    <w:p w14:paraId="3BEA0264" w14:textId="77777777" w:rsidR="00623AF8" w:rsidRDefault="00AC460E" w:rsidP="00623AF8">
      <w:pPr>
        <w:pStyle w:val="Listenabsatz"/>
        <w:ind w:left="360"/>
        <w:jc w:val="both"/>
        <w:rPr>
          <w:rStyle w:val="Hyperlink"/>
          <w:rFonts w:ascii="Aptos" w:hAnsi="Aptos"/>
          <w:sz w:val="18"/>
          <w:szCs w:val="18"/>
          <w:lang w:val="en-GB"/>
        </w:rPr>
      </w:pPr>
      <w:hyperlink r:id="rId112" w:history="1">
        <w:r w:rsidR="00623AF8">
          <w:rPr>
            <w:rStyle w:val="Hyperlink"/>
            <w:rFonts w:ascii="Aptos" w:hAnsi="Aptos"/>
            <w:sz w:val="18"/>
            <w:szCs w:val="18"/>
            <w:lang w:val="en-GB"/>
          </w:rPr>
          <w:t>https://buildreview.org/modular-building-serial-prefabricated-building-the-solution-to-the-housing-problem/</w:t>
        </w:r>
      </w:hyperlink>
    </w:p>
    <w:p w14:paraId="1B6A8515" w14:textId="77777777" w:rsidR="00623AF8" w:rsidRDefault="00623AF8" w:rsidP="00623AF8">
      <w:pPr>
        <w:pStyle w:val="Listenabsatz"/>
        <w:jc w:val="both"/>
        <w:rPr>
          <w:rStyle w:val="Hyperlink"/>
          <w:rFonts w:ascii="Aptos" w:hAnsi="Aptos"/>
          <w:sz w:val="18"/>
          <w:szCs w:val="18"/>
          <w:lang w:val="en-GB"/>
        </w:rPr>
      </w:pPr>
    </w:p>
    <w:p w14:paraId="2679ED25" w14:textId="77777777" w:rsidR="00B00F29" w:rsidRDefault="00B00F29" w:rsidP="00623AF8">
      <w:pPr>
        <w:rPr>
          <w:rFonts w:ascii="Aptos" w:hAnsi="Aptos"/>
          <w:sz w:val="22"/>
          <w:szCs w:val="22"/>
          <w:lang w:val="en-GB"/>
        </w:rPr>
      </w:pPr>
    </w:p>
    <w:p w14:paraId="5527B5D1" w14:textId="77777777" w:rsidR="00B00F29" w:rsidRDefault="00B00F29" w:rsidP="00623AF8">
      <w:pPr>
        <w:rPr>
          <w:lang w:val="en-GB"/>
        </w:rPr>
      </w:pPr>
    </w:p>
    <w:p w14:paraId="70B5F595" w14:textId="77777777" w:rsidR="00623AF8" w:rsidRDefault="00623AF8" w:rsidP="00623AF8">
      <w:pPr>
        <w:pStyle w:val="berschrift1"/>
      </w:pPr>
      <w:bookmarkStart w:id="435" w:name="_Toc170377498"/>
      <w:bookmarkStart w:id="436" w:name="_Toc170983801"/>
      <w:r w:rsidRPr="0050443A">
        <w:t xml:space="preserve">Energiewende in der Wohnungswirtschaft </w:t>
      </w:r>
      <w:r>
        <w:t>–</w:t>
      </w:r>
      <w:r w:rsidRPr="0050443A">
        <w:t xml:space="preserve"> Bestand</w:t>
      </w:r>
      <w:r>
        <w:t>sgebäude</w:t>
      </w:r>
      <w:bookmarkEnd w:id="435"/>
      <w:bookmarkEnd w:id="436"/>
    </w:p>
    <w:p w14:paraId="0F9B4D51" w14:textId="77777777" w:rsidR="00623AF8" w:rsidRPr="0094728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00C70B51" w14:textId="77777777" w:rsidTr="00875DD0">
        <w:tc>
          <w:tcPr>
            <w:tcW w:w="9060" w:type="dxa"/>
            <w:shd w:val="clear" w:color="auto" w:fill="D9D9D9" w:themeFill="background1" w:themeFillShade="D9"/>
          </w:tcPr>
          <w:p w14:paraId="53F1DD63"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6560279C" w14:textId="77777777" w:rsidTr="00875DD0">
        <w:tc>
          <w:tcPr>
            <w:tcW w:w="9060" w:type="dxa"/>
          </w:tcPr>
          <w:p w14:paraId="6F09C890" w14:textId="77777777" w:rsidR="00623AF8" w:rsidRPr="0050443A" w:rsidRDefault="00623AF8" w:rsidP="00875DD0">
            <w:pPr>
              <w:spacing w:before="120" w:after="120"/>
              <w:jc w:val="both"/>
              <w:rPr>
                <w:rFonts w:ascii="Aptos" w:hAnsi="Aptos"/>
                <w:b/>
                <w:bCs/>
                <w:sz w:val="22"/>
                <w:szCs w:val="22"/>
                <w:lang w:val="de-DE"/>
              </w:rPr>
            </w:pPr>
            <w:r w:rsidRPr="002A1DA7">
              <w:rPr>
                <w:rFonts w:ascii="Aptos" w:hAnsi="Aptos" w:cs="Open Sans"/>
                <w:sz w:val="22"/>
                <w:szCs w:val="22"/>
              </w:rPr>
              <w:t xml:space="preserve">Bezahlbarer Wohnraum ist eine Grundvoraussetzung dafür, dass Gesellschaften florieren und Menschen dort leben können, wo sie arbeiten möchten. </w:t>
            </w:r>
            <w:r w:rsidRPr="000E5ACC">
              <w:rPr>
                <w:rFonts w:ascii="Aptos" w:hAnsi="Aptos" w:cs="Open Sans"/>
                <w:sz w:val="22"/>
                <w:szCs w:val="22"/>
              </w:rPr>
              <w:t>Derzeit entfallen jedoch 40 % des Energieverbrauchs und 36 % der Treibhausgasemissionen in der EU auf den Gebäudesektor.</w:t>
            </w:r>
            <w:r w:rsidRPr="002A1DA7">
              <w:rPr>
                <w:rFonts w:ascii="Aptos" w:hAnsi="Aptos" w:cs="Open Sans"/>
                <w:sz w:val="22"/>
                <w:szCs w:val="22"/>
              </w:rPr>
              <w:t xml:space="preserve"> Die Energie- und Wärmeversorgung in bestehenden Wohngebäuden spielt in dieser </w:t>
            </w:r>
            <w:r>
              <w:rPr>
                <w:rFonts w:ascii="Aptos" w:hAnsi="Aptos" w:cs="Open Sans"/>
                <w:sz w:val="22"/>
                <w:szCs w:val="22"/>
              </w:rPr>
              <w:t>Emissionsb</w:t>
            </w:r>
            <w:r w:rsidRPr="002A1DA7">
              <w:rPr>
                <w:rFonts w:ascii="Aptos" w:hAnsi="Aptos" w:cs="Open Sans"/>
                <w:sz w:val="22"/>
                <w:szCs w:val="22"/>
              </w:rPr>
              <w:t xml:space="preserve">ilanz eine nicht zu vernachlässigende Rolle. </w:t>
            </w:r>
            <w:r w:rsidRPr="002A1DA7">
              <w:rPr>
                <w:rFonts w:ascii="Aptos" w:hAnsi="Aptos" w:cs="Open Sans"/>
                <w:b/>
                <w:bCs/>
                <w:sz w:val="22"/>
                <w:szCs w:val="22"/>
              </w:rPr>
              <w:t>Welche Anreizsysteme wollen Sie europaweit schaffen, um die Energiewende im Wohnungsbestand zu beschleunigen?</w:t>
            </w:r>
          </w:p>
        </w:tc>
      </w:tr>
      <w:tr w:rsidR="00623AF8" w:rsidRPr="0050443A" w14:paraId="088AC91B" w14:textId="77777777" w:rsidTr="00875DD0">
        <w:tc>
          <w:tcPr>
            <w:tcW w:w="9060" w:type="dxa"/>
            <w:shd w:val="clear" w:color="auto" w:fill="D9D9D9" w:themeFill="background1" w:themeFillShade="D9"/>
          </w:tcPr>
          <w:p w14:paraId="34DC753F"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1EEB8F23" w14:textId="77777777" w:rsidTr="00875DD0">
        <w:tc>
          <w:tcPr>
            <w:tcW w:w="9060" w:type="dxa"/>
          </w:tcPr>
          <w:p w14:paraId="4F51D4C5" w14:textId="77777777" w:rsidR="00623AF8" w:rsidRDefault="00623AF8" w:rsidP="00F63BE8">
            <w:pPr>
              <w:pStyle w:val="Listenabsatz"/>
              <w:numPr>
                <w:ilvl w:val="0"/>
                <w:numId w:val="15"/>
              </w:numPr>
              <w:spacing w:before="120" w:after="120"/>
              <w:jc w:val="both"/>
              <w:rPr>
                <w:rFonts w:ascii="Aptos" w:hAnsi="Aptos"/>
                <w:sz w:val="22"/>
                <w:szCs w:val="22"/>
              </w:rPr>
            </w:pPr>
            <w:r w:rsidRPr="002A1DA7">
              <w:rPr>
                <w:rFonts w:ascii="Aptos" w:hAnsi="Aptos"/>
                <w:sz w:val="22"/>
                <w:szCs w:val="22"/>
              </w:rPr>
              <w:t>Planen Sie eine Verschärfung der Richtlinie über die Gesamtenergieeffizienz von Gebäuden (EPBD)</w:t>
            </w:r>
            <w:r>
              <w:rPr>
                <w:rFonts w:ascii="Aptos" w:hAnsi="Aptos"/>
                <w:sz w:val="22"/>
                <w:szCs w:val="22"/>
              </w:rPr>
              <w:t xml:space="preserve"> und wird diese auch für den Wohngebäudesektor gelten?</w:t>
            </w:r>
          </w:p>
          <w:p w14:paraId="115C59BE" w14:textId="77777777" w:rsidR="00623AF8" w:rsidRPr="0050443A" w:rsidRDefault="00623AF8" w:rsidP="00F63BE8">
            <w:pPr>
              <w:pStyle w:val="Listenabsatz"/>
              <w:numPr>
                <w:ilvl w:val="0"/>
                <w:numId w:val="15"/>
              </w:numPr>
              <w:spacing w:before="120" w:after="120"/>
              <w:jc w:val="both"/>
              <w:rPr>
                <w:rFonts w:ascii="Aptos" w:hAnsi="Aptos"/>
                <w:sz w:val="22"/>
                <w:szCs w:val="22"/>
              </w:rPr>
            </w:pPr>
            <w:r w:rsidRPr="00595E05">
              <w:rPr>
                <w:rFonts w:ascii="Aptos" w:hAnsi="Aptos"/>
                <w:sz w:val="22"/>
                <w:szCs w:val="22"/>
              </w:rPr>
              <w:t>Planen Sie die Einrichtung eines zweckgebundenen Wohnbau-Fonds auf europäischer Ebene, um Investitionen in den Ausbau des sozialen Wohnbaus und die thermische Sanierung zu fördern?</w:t>
            </w:r>
          </w:p>
        </w:tc>
      </w:tr>
    </w:tbl>
    <w:p w14:paraId="4DDF05A2" w14:textId="77777777" w:rsidR="00623AF8" w:rsidRDefault="00623AF8" w:rsidP="00623AF8">
      <w:pPr>
        <w:spacing w:after="120"/>
        <w:jc w:val="both"/>
        <w:rPr>
          <w:rFonts w:ascii="Aptos" w:hAnsi="Aptos"/>
          <w:b/>
          <w:iCs/>
          <w:sz w:val="22"/>
          <w:szCs w:val="22"/>
        </w:rPr>
      </w:pPr>
    </w:p>
    <w:tbl>
      <w:tblPr>
        <w:tblStyle w:val="TableNormal2"/>
        <w:tblW w:w="0" w:type="auto"/>
        <w:tblLayout w:type="fixed"/>
        <w:tblLook w:val="01E0" w:firstRow="1" w:lastRow="1" w:firstColumn="1" w:lastColumn="1" w:noHBand="0" w:noVBand="0"/>
      </w:tblPr>
      <w:tblGrid>
        <w:gridCol w:w="9066"/>
      </w:tblGrid>
      <w:tr w:rsidR="00623AF8" w:rsidRPr="009B5839" w14:paraId="02B3C802" w14:textId="77777777" w:rsidTr="00875DD0">
        <w:trPr>
          <w:trHeight w:val="277"/>
        </w:trPr>
        <w:tc>
          <w:tcPr>
            <w:tcW w:w="9066" w:type="dxa"/>
            <w:shd w:val="clear" w:color="auto" w:fill="D9D9D9"/>
          </w:tcPr>
          <w:p w14:paraId="7FE80279"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460CA581" w14:textId="77777777" w:rsidR="00623AF8" w:rsidRDefault="00623AF8" w:rsidP="00623AF8">
      <w:pPr>
        <w:jc w:val="both"/>
        <w:rPr>
          <w:rFonts w:ascii="Aptos" w:hAnsi="Aptos"/>
          <w:sz w:val="22"/>
          <w:szCs w:val="22"/>
        </w:rPr>
      </w:pPr>
      <w:r w:rsidRPr="003A063E">
        <w:rPr>
          <w:rFonts w:ascii="Aptos" w:hAnsi="Aptos"/>
          <w:sz w:val="22"/>
          <w:szCs w:val="22"/>
        </w:rPr>
        <w:t>Auf den Gebäudesektor entfallen derzeit 40 % des Energieverbrauchs und 36 % der Treibhausgasemissionen in der EU</w:t>
      </w:r>
      <w:r>
        <w:rPr>
          <w:rFonts w:ascii="Aptos" w:hAnsi="Aptos"/>
          <w:sz w:val="22"/>
          <w:szCs w:val="22"/>
        </w:rPr>
        <w:t xml:space="preserve">, weshalb die Richtlinie über die Gesamtenergieeffizienz von Gebäuden überarbeitet wurde </w:t>
      </w:r>
      <w:r w:rsidRPr="003A063E">
        <w:rPr>
          <w:rFonts w:ascii="Aptos" w:hAnsi="Aptos"/>
          <w:sz w:val="22"/>
          <w:szCs w:val="22"/>
          <w:vertAlign w:val="subscript"/>
        </w:rPr>
        <w:t>(1</w:t>
      </w:r>
      <w:r>
        <w:rPr>
          <w:rFonts w:ascii="Aptos" w:hAnsi="Aptos"/>
          <w:sz w:val="22"/>
          <w:szCs w:val="22"/>
          <w:vertAlign w:val="subscript"/>
        </w:rPr>
        <w:t>,2</w:t>
      </w:r>
      <w:r w:rsidRPr="003A063E">
        <w:rPr>
          <w:rFonts w:ascii="Aptos" w:hAnsi="Aptos"/>
          <w:sz w:val="22"/>
          <w:szCs w:val="22"/>
          <w:vertAlign w:val="subscript"/>
        </w:rPr>
        <w:t>)</w:t>
      </w:r>
      <w:r w:rsidRPr="003A063E">
        <w:rPr>
          <w:rFonts w:ascii="Aptos" w:hAnsi="Aptos"/>
          <w:sz w:val="22"/>
          <w:szCs w:val="22"/>
        </w:rPr>
        <w:t>. Ein erheblicher Teil dieser Emissionen und des Energieverbrauchs entfällt auf bestehende Wohngebäude, die häufig mit veralteten und ineffizienten Heiz- und Kühlsystemen ausgestattet sind. Im Gegensatz dazu können Neubauten nach den neuesten Energieeffizienzstandards geplant und gebaut werden, was zu einer erheblichen Verringerung des Energieverbrauchs und der Emissionen führt. Moderne Neubauten profitieren von fortschrittlichen Baumaterialien und -techniken, die eine bessere Isolierung, effizientere Heiz- und Kühlsysteme und den Einsatz erneuerbarer Energien umfassen.</w:t>
      </w:r>
      <w:r>
        <w:rPr>
          <w:rFonts w:ascii="Aptos" w:hAnsi="Aptos"/>
          <w:sz w:val="22"/>
          <w:szCs w:val="22"/>
        </w:rPr>
        <w:t xml:space="preserve"> </w:t>
      </w:r>
      <w:r w:rsidRPr="003A063E">
        <w:rPr>
          <w:rFonts w:ascii="Aptos" w:hAnsi="Aptos"/>
          <w:sz w:val="22"/>
          <w:szCs w:val="22"/>
        </w:rPr>
        <w:t>Bestehende Gebäude stellen dagegen eine besondere Herausforderung dar, da ihre Nachrüstung auf moderne Energiestandards oft mit hohen Kosten und baulichen Einschränkungen verbunden ist. Dennoch ist die Sanierung und Modernisierung dieser Gebäude entscheidend, um die Klimaziele zu erreichen und den Energieverbrauch im Gebäudesektor zu senken. Staatliche Förderprogramme und Anreize sind notwendig, um die Sanierung des Gebäudebestandes zu unterstützen und die finanziellen Belastungen für Eigentümer und Mieter zu reduzieren.</w:t>
      </w:r>
      <w:r>
        <w:rPr>
          <w:rFonts w:ascii="Aptos" w:hAnsi="Aptos"/>
          <w:sz w:val="22"/>
          <w:szCs w:val="22"/>
        </w:rPr>
        <w:t xml:space="preserve"> Aus Perspektive der</w:t>
      </w:r>
      <w:r w:rsidRPr="003A063E">
        <w:rPr>
          <w:rFonts w:ascii="Aptos" w:hAnsi="Aptos"/>
          <w:sz w:val="22"/>
          <w:szCs w:val="22"/>
        </w:rPr>
        <w:t xml:space="preserve"> Daseinsvorsorge ist bezahlbarer Wohnraum eine Grundvoraussetzung dafür, dass Gesellschaften prosperieren und Menschen dort leben können, wo sie arbeiten wollen. Auch unter dem Aspekt der Klimagerechtigkeit dürfen sozial benachteiligte Bevölkerungsgruppen nicht vernachlässigt werden. Um die sozial-ökologischen Ziele der EU zu erreichen, ist es daher dringend erforderlich, den Gebäudebestand im Hinblick auf die Energie- und Wärmeversorgung im Bestand zu sanieren und auszubauen.</w:t>
      </w:r>
    </w:p>
    <w:p w14:paraId="6E362938" w14:textId="77777777" w:rsidR="00623AF8" w:rsidRPr="0050443A" w:rsidRDefault="00623AF8" w:rsidP="00623AF8">
      <w:pPr>
        <w:rPr>
          <w:rFonts w:ascii="Aptos" w:hAnsi="Aptos"/>
        </w:rPr>
      </w:pPr>
    </w:p>
    <w:p w14:paraId="2ED834A4" w14:textId="77777777" w:rsidR="00623AF8" w:rsidRPr="00A0603B" w:rsidRDefault="00623AF8" w:rsidP="00F63BE8">
      <w:pPr>
        <w:pStyle w:val="Listenabsatz"/>
        <w:numPr>
          <w:ilvl w:val="0"/>
          <w:numId w:val="60"/>
        </w:numPr>
        <w:jc w:val="both"/>
        <w:rPr>
          <w:rFonts w:ascii="Aptos" w:hAnsi="Aptos"/>
          <w:sz w:val="18"/>
          <w:szCs w:val="18"/>
          <w:lang w:val="en-GB"/>
        </w:rPr>
      </w:pPr>
      <w:r w:rsidRPr="00A0603B">
        <w:rPr>
          <w:rFonts w:ascii="Aptos" w:hAnsi="Aptos"/>
          <w:sz w:val="18"/>
          <w:szCs w:val="18"/>
          <w:lang w:val="en-GB"/>
        </w:rPr>
        <w:t>European Commission 2020: In focus: Energy efficiency in buildings</w:t>
      </w:r>
    </w:p>
    <w:p w14:paraId="3768559D" w14:textId="77777777" w:rsidR="00623AF8" w:rsidRDefault="00AC460E" w:rsidP="00623AF8">
      <w:pPr>
        <w:ind w:firstLine="360"/>
        <w:jc w:val="both"/>
        <w:rPr>
          <w:rStyle w:val="Hyperlink"/>
          <w:rFonts w:ascii="Aptos" w:hAnsi="Aptos"/>
          <w:sz w:val="18"/>
          <w:szCs w:val="18"/>
          <w:lang w:val="en-GB"/>
        </w:rPr>
      </w:pPr>
      <w:hyperlink r:id="rId113" w:history="1">
        <w:r w:rsidR="00623AF8" w:rsidRPr="00B83BAA">
          <w:rPr>
            <w:rStyle w:val="Hyperlink"/>
            <w:rFonts w:ascii="Aptos" w:hAnsi="Aptos"/>
            <w:sz w:val="18"/>
            <w:szCs w:val="18"/>
            <w:lang w:val="en-GB"/>
          </w:rPr>
          <w:t>https://commission.europa.eu/news/focus-energy-efficiency-buildings-2020-02-17_en</w:t>
        </w:r>
      </w:hyperlink>
    </w:p>
    <w:p w14:paraId="38A9404D" w14:textId="77777777" w:rsidR="00623AF8" w:rsidRDefault="00623AF8" w:rsidP="00F63BE8">
      <w:pPr>
        <w:pStyle w:val="Listenabsatz"/>
        <w:numPr>
          <w:ilvl w:val="0"/>
          <w:numId w:val="60"/>
        </w:numPr>
        <w:jc w:val="both"/>
        <w:rPr>
          <w:rFonts w:ascii="Aptos" w:hAnsi="Aptos"/>
          <w:sz w:val="18"/>
          <w:szCs w:val="18"/>
          <w:lang w:val="en-GB"/>
        </w:rPr>
      </w:pPr>
      <w:r>
        <w:rPr>
          <w:rFonts w:ascii="Aptos" w:hAnsi="Aptos"/>
          <w:sz w:val="18"/>
          <w:szCs w:val="18"/>
          <w:lang w:val="en-GB"/>
        </w:rPr>
        <w:t>European Commission 2024: R</w:t>
      </w:r>
      <w:r w:rsidRPr="00BB42B4">
        <w:rPr>
          <w:rFonts w:ascii="Aptos" w:hAnsi="Aptos"/>
          <w:sz w:val="18"/>
          <w:szCs w:val="18"/>
          <w:lang w:val="en-GB"/>
        </w:rPr>
        <w:t>evised Energy Performance of Buildings Directive (EU/2024/1275)</w:t>
      </w:r>
    </w:p>
    <w:p w14:paraId="5014A2C3" w14:textId="77777777" w:rsidR="00623AF8" w:rsidRPr="0095671E" w:rsidRDefault="00AC460E" w:rsidP="00623AF8">
      <w:pPr>
        <w:ind w:left="360"/>
        <w:jc w:val="both"/>
        <w:rPr>
          <w:rFonts w:ascii="Aptos" w:hAnsi="Aptos"/>
          <w:sz w:val="18"/>
          <w:szCs w:val="18"/>
          <w:lang w:val="en-GB"/>
        </w:rPr>
      </w:pPr>
      <w:hyperlink r:id="rId114" w:history="1">
        <w:r w:rsidR="00623AF8" w:rsidRPr="0095671E">
          <w:rPr>
            <w:rStyle w:val="Hyperlink"/>
            <w:rFonts w:ascii="Aptos" w:hAnsi="Aptos"/>
            <w:sz w:val="18"/>
            <w:szCs w:val="18"/>
            <w:lang w:val="en-GB"/>
          </w:rPr>
          <w:t>https://eur-lex.europa.eu/legal-content/EN/TXT/PDF/?uri=OJ:L_202401275</w:t>
        </w:r>
      </w:hyperlink>
    </w:p>
    <w:p w14:paraId="42B4F60C" w14:textId="77777777" w:rsidR="00623AF8" w:rsidRPr="00B5737F" w:rsidRDefault="00623AF8" w:rsidP="00623AF8">
      <w:pPr>
        <w:ind w:firstLine="360"/>
        <w:jc w:val="both"/>
        <w:rPr>
          <w:rStyle w:val="Hyperlink"/>
          <w:sz w:val="18"/>
          <w:szCs w:val="18"/>
          <w:lang w:val="en-GB"/>
        </w:rPr>
      </w:pPr>
    </w:p>
    <w:p w14:paraId="334FF0B8" w14:textId="77777777" w:rsidR="00623AF8" w:rsidRDefault="00623AF8" w:rsidP="00623AF8">
      <w:pPr>
        <w:rPr>
          <w:rFonts w:ascii="Aptos" w:hAnsi="Aptos"/>
          <w:lang w:val="en-GB"/>
        </w:rPr>
      </w:pPr>
    </w:p>
    <w:p w14:paraId="1CD28BD4" w14:textId="77777777" w:rsidR="00623AF8" w:rsidRDefault="00623AF8" w:rsidP="00623AF8">
      <w:pPr>
        <w:rPr>
          <w:rFonts w:ascii="Aptos" w:hAnsi="Aptos"/>
          <w:lang w:val="en-GB"/>
        </w:rPr>
      </w:pPr>
    </w:p>
    <w:p w14:paraId="5A8CB3E0" w14:textId="77777777" w:rsidR="00623AF8" w:rsidRPr="00B5737F" w:rsidRDefault="00623AF8" w:rsidP="00623AF8">
      <w:pPr>
        <w:rPr>
          <w:rFonts w:ascii="Aptos" w:hAnsi="Aptos"/>
          <w:lang w:val="en-GB"/>
        </w:rPr>
      </w:pPr>
    </w:p>
    <w:p w14:paraId="62DD8565" w14:textId="77777777" w:rsidR="00623AF8" w:rsidRDefault="00623AF8" w:rsidP="00623AF8">
      <w:pPr>
        <w:pStyle w:val="berschrift1"/>
      </w:pPr>
      <w:bookmarkStart w:id="437" w:name="_Toc170377499"/>
      <w:bookmarkStart w:id="438" w:name="_Toc170983802"/>
      <w:r w:rsidRPr="0050443A">
        <w:t>Soziale Aspekte der Energiewende in der Wohnungswirtschaft</w:t>
      </w:r>
      <w:bookmarkEnd w:id="437"/>
      <w:bookmarkEnd w:id="438"/>
      <w:r w:rsidRPr="0050443A">
        <w:t xml:space="preserve"> </w:t>
      </w:r>
    </w:p>
    <w:p w14:paraId="6753588B" w14:textId="77777777" w:rsidR="00623AF8" w:rsidRPr="00947286" w:rsidRDefault="00623AF8" w:rsidP="00623AF8"/>
    <w:tbl>
      <w:tblPr>
        <w:tblStyle w:val="Tabellenraster"/>
        <w:tblW w:w="9060" w:type="dxa"/>
        <w:tblInd w:w="108" w:type="dxa"/>
        <w:tblLook w:val="04A0" w:firstRow="1" w:lastRow="0" w:firstColumn="1" w:lastColumn="0" w:noHBand="0" w:noVBand="1"/>
      </w:tblPr>
      <w:tblGrid>
        <w:gridCol w:w="9060"/>
      </w:tblGrid>
      <w:tr w:rsidR="00623AF8" w:rsidRPr="0050443A" w14:paraId="4960A295" w14:textId="77777777" w:rsidTr="00875DD0">
        <w:tc>
          <w:tcPr>
            <w:tcW w:w="9060" w:type="dxa"/>
            <w:shd w:val="clear" w:color="auto" w:fill="D9D9D9" w:themeFill="background1" w:themeFillShade="D9"/>
          </w:tcPr>
          <w:p w14:paraId="0378B912"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02E3FDFA" w14:textId="77777777" w:rsidTr="00875DD0">
        <w:tc>
          <w:tcPr>
            <w:tcW w:w="9060" w:type="dxa"/>
          </w:tcPr>
          <w:p w14:paraId="1B4A0D11" w14:textId="77777777" w:rsidR="00623AF8" w:rsidRPr="0050443A" w:rsidRDefault="00623AF8" w:rsidP="00875DD0">
            <w:pPr>
              <w:spacing w:before="120" w:after="120"/>
              <w:jc w:val="both"/>
              <w:rPr>
                <w:rFonts w:ascii="Aptos" w:hAnsi="Aptos"/>
                <w:b/>
                <w:bCs/>
                <w:sz w:val="22"/>
                <w:szCs w:val="22"/>
              </w:rPr>
            </w:pPr>
            <w:r w:rsidRPr="005545F3">
              <w:rPr>
                <w:rFonts w:ascii="Aptos" w:hAnsi="Aptos"/>
                <w:sz w:val="22"/>
                <w:szCs w:val="22"/>
              </w:rPr>
              <w:t xml:space="preserve">Die Dekarbonisierung des Gebäudesektors ist notwendig, um die Klimakrise einzudämmen. Derzeit ist der Gebäudesektor für 40 </w:t>
            </w:r>
            <w:r>
              <w:rPr>
                <w:rFonts w:ascii="Aptos" w:hAnsi="Aptos"/>
                <w:sz w:val="22"/>
                <w:szCs w:val="22"/>
              </w:rPr>
              <w:t>%</w:t>
            </w:r>
            <w:r w:rsidRPr="005545F3">
              <w:rPr>
                <w:rFonts w:ascii="Aptos" w:hAnsi="Aptos"/>
                <w:sz w:val="22"/>
                <w:szCs w:val="22"/>
              </w:rPr>
              <w:t xml:space="preserve"> des Energieverbrauchs und 36 </w:t>
            </w:r>
            <w:r>
              <w:rPr>
                <w:rFonts w:ascii="Aptos" w:hAnsi="Aptos"/>
                <w:sz w:val="22"/>
                <w:szCs w:val="22"/>
              </w:rPr>
              <w:t>%</w:t>
            </w:r>
            <w:r w:rsidRPr="005545F3">
              <w:rPr>
                <w:rFonts w:ascii="Aptos" w:hAnsi="Aptos"/>
                <w:sz w:val="22"/>
                <w:szCs w:val="22"/>
              </w:rPr>
              <w:t xml:space="preserve"> der Treibhausgasemissionen in der EU verantwortlich. </w:t>
            </w:r>
            <w:r w:rsidRPr="00C2297F">
              <w:rPr>
                <w:rFonts w:ascii="Aptos" w:hAnsi="Aptos"/>
                <w:sz w:val="22"/>
                <w:szCs w:val="22"/>
              </w:rPr>
              <w:t>Die überarbeitete Richtlinie über die Gesamtenergieeffizienz von Gebäuden (EPBD) soll Europa auf den Weg zu einem vollständig kohlenstofffreien Gebäudebestand bis 2050 bringen. Um dies zu erreichen, werden in allen Mitgliedsstaaten Sanierungen und Renovierungen vorangetrieben, insbesondere bei Gebäuden mit der schlechtesten Gesamtenergieeffizienz.</w:t>
            </w:r>
            <w:r w:rsidRPr="005545F3">
              <w:rPr>
                <w:rFonts w:ascii="Aptos" w:hAnsi="Aptos"/>
                <w:sz w:val="22"/>
                <w:szCs w:val="22"/>
              </w:rPr>
              <w:t xml:space="preserve"> Energieeffizienzmaßnahmen dürfen jedoch nicht zu sozialen Problemen und unleistbarem/unbezahlbarem Wohnraum führen, wenn die Kosten dafür </w:t>
            </w:r>
            <w:r>
              <w:rPr>
                <w:rFonts w:ascii="Aptos" w:hAnsi="Aptos"/>
                <w:sz w:val="22"/>
                <w:szCs w:val="22"/>
              </w:rPr>
              <w:t>auf</w:t>
            </w:r>
            <w:r w:rsidRPr="005545F3">
              <w:rPr>
                <w:rFonts w:ascii="Aptos" w:hAnsi="Aptos"/>
                <w:sz w:val="22"/>
                <w:szCs w:val="22"/>
              </w:rPr>
              <w:t xml:space="preserve"> die Mieter:innen abgewälzt/umgelegt werden. </w:t>
            </w:r>
            <w:r w:rsidRPr="005545F3">
              <w:rPr>
                <w:rFonts w:ascii="Aptos" w:hAnsi="Aptos"/>
                <w:b/>
                <w:bCs/>
                <w:sz w:val="22"/>
                <w:szCs w:val="22"/>
              </w:rPr>
              <w:t>Wie wollen Sie sicherstellen, dass Energieziele im Wohnungsbereich keine negativen Auswirkungen auf sozial schwache Gruppen haben?</w:t>
            </w:r>
          </w:p>
        </w:tc>
      </w:tr>
      <w:tr w:rsidR="00623AF8" w:rsidRPr="0050443A" w14:paraId="4686713C" w14:textId="77777777" w:rsidTr="00875DD0">
        <w:tc>
          <w:tcPr>
            <w:tcW w:w="9060" w:type="dxa"/>
            <w:shd w:val="clear" w:color="auto" w:fill="D9D9D9" w:themeFill="background1" w:themeFillShade="D9"/>
          </w:tcPr>
          <w:p w14:paraId="7F930727"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4DBB2F4C" w14:textId="77777777" w:rsidTr="00875DD0">
        <w:tc>
          <w:tcPr>
            <w:tcW w:w="9060" w:type="dxa"/>
          </w:tcPr>
          <w:p w14:paraId="2EB2E456" w14:textId="77777777" w:rsidR="00623AF8" w:rsidRDefault="00623AF8" w:rsidP="00F63BE8">
            <w:pPr>
              <w:pStyle w:val="Listenabsatz"/>
              <w:numPr>
                <w:ilvl w:val="0"/>
                <w:numId w:val="15"/>
              </w:numPr>
              <w:spacing w:before="120" w:after="120"/>
              <w:jc w:val="both"/>
              <w:rPr>
                <w:rFonts w:ascii="Aptos" w:hAnsi="Aptos"/>
                <w:sz w:val="22"/>
                <w:szCs w:val="22"/>
              </w:rPr>
            </w:pPr>
            <w:r w:rsidRPr="005545F3">
              <w:rPr>
                <w:rFonts w:ascii="Aptos" w:hAnsi="Aptos"/>
                <w:sz w:val="22"/>
                <w:szCs w:val="22"/>
              </w:rPr>
              <w:t>Wie wollen Sie verhindern, dass invasive Eingriffe in den Gebäudebestand im Sinne der Energiewende eine Ökogentrifizierung</w:t>
            </w:r>
            <w:r>
              <w:rPr>
                <w:rFonts w:ascii="Aptos" w:hAnsi="Aptos"/>
                <w:sz w:val="22"/>
                <w:szCs w:val="22"/>
              </w:rPr>
              <w:t>“</w:t>
            </w:r>
            <w:r w:rsidRPr="005545F3">
              <w:rPr>
                <w:rFonts w:ascii="Aptos" w:hAnsi="Aptos"/>
                <w:sz w:val="22"/>
                <w:szCs w:val="22"/>
              </w:rPr>
              <w:t xml:space="preserve"> </w:t>
            </w:r>
            <w:r>
              <w:rPr>
                <w:rFonts w:ascii="Aptos" w:hAnsi="Aptos"/>
                <w:sz w:val="22"/>
                <w:szCs w:val="22"/>
              </w:rPr>
              <w:t>aufgrund</w:t>
            </w:r>
            <w:r w:rsidRPr="005545F3">
              <w:rPr>
                <w:rFonts w:ascii="Aptos" w:hAnsi="Aptos"/>
                <w:sz w:val="22"/>
                <w:szCs w:val="22"/>
              </w:rPr>
              <w:t xml:space="preserve"> steigende</w:t>
            </w:r>
            <w:r>
              <w:rPr>
                <w:rFonts w:ascii="Aptos" w:hAnsi="Aptos"/>
                <w:sz w:val="22"/>
                <w:szCs w:val="22"/>
              </w:rPr>
              <w:t>r</w:t>
            </w:r>
            <w:r w:rsidRPr="005545F3">
              <w:rPr>
                <w:rFonts w:ascii="Aptos" w:hAnsi="Aptos"/>
                <w:sz w:val="22"/>
                <w:szCs w:val="22"/>
              </w:rPr>
              <w:t xml:space="preserve"> Mieten auslösen?</w:t>
            </w:r>
          </w:p>
          <w:p w14:paraId="1FEE9368" w14:textId="77777777" w:rsidR="00623AF8" w:rsidRPr="005545F3" w:rsidRDefault="00623AF8" w:rsidP="00F63BE8">
            <w:pPr>
              <w:pStyle w:val="Listenabsatz"/>
              <w:numPr>
                <w:ilvl w:val="0"/>
                <w:numId w:val="15"/>
              </w:numPr>
              <w:spacing w:before="120" w:after="120"/>
              <w:jc w:val="both"/>
              <w:rPr>
                <w:rFonts w:ascii="Aptos" w:hAnsi="Aptos"/>
                <w:sz w:val="22"/>
                <w:szCs w:val="22"/>
              </w:rPr>
            </w:pPr>
            <w:r w:rsidRPr="00595E05">
              <w:rPr>
                <w:rFonts w:ascii="Aptos" w:hAnsi="Aptos"/>
                <w:sz w:val="22"/>
                <w:szCs w:val="22"/>
              </w:rPr>
              <w:t>Wie wollen sie sogenannten „renovictions“, also der Delogierung von Mieter:innen nach erfolgten häuslichen Renovierungs- oder thermischen Sanierungsmaßnahmen entgegentreten?</w:t>
            </w:r>
          </w:p>
          <w:p w14:paraId="1E99C04B" w14:textId="77777777" w:rsidR="00623AF8" w:rsidRPr="005545F3" w:rsidRDefault="00623AF8" w:rsidP="00F63BE8">
            <w:pPr>
              <w:pStyle w:val="Listenabsatz"/>
              <w:numPr>
                <w:ilvl w:val="0"/>
                <w:numId w:val="15"/>
              </w:numPr>
              <w:spacing w:before="120" w:after="120"/>
              <w:jc w:val="both"/>
              <w:rPr>
                <w:rFonts w:ascii="Aptos" w:hAnsi="Aptos"/>
                <w:sz w:val="22"/>
                <w:szCs w:val="22"/>
              </w:rPr>
            </w:pPr>
            <w:r w:rsidRPr="005545F3">
              <w:rPr>
                <w:rFonts w:ascii="Aptos" w:hAnsi="Aptos"/>
                <w:sz w:val="22"/>
                <w:szCs w:val="22"/>
              </w:rPr>
              <w:t>Welche Rolle spielen in Ihren Überlegungen zur Energiewende gemeinnützige und kommunale Wohnbauträger, die bisher leistbaren Wohnraum zur Verfügung gestellt haben?</w:t>
            </w:r>
          </w:p>
          <w:p w14:paraId="0B72C9FA" w14:textId="77777777" w:rsidR="00623AF8" w:rsidRPr="005545F3" w:rsidRDefault="00623AF8" w:rsidP="00F63BE8">
            <w:pPr>
              <w:pStyle w:val="Listenabsatz"/>
              <w:numPr>
                <w:ilvl w:val="0"/>
                <w:numId w:val="15"/>
              </w:numPr>
              <w:spacing w:before="120" w:after="120"/>
              <w:jc w:val="both"/>
              <w:rPr>
                <w:rFonts w:ascii="Aptos" w:hAnsi="Aptos"/>
                <w:sz w:val="22"/>
                <w:szCs w:val="22"/>
              </w:rPr>
            </w:pPr>
            <w:r w:rsidRPr="005545F3">
              <w:rPr>
                <w:rFonts w:ascii="Aptos" w:hAnsi="Aptos"/>
                <w:sz w:val="22"/>
                <w:szCs w:val="22"/>
              </w:rPr>
              <w:t>Welche Initiativen planen Sie, um Energiearmut in Europa zu reduzieren?</w:t>
            </w:r>
          </w:p>
        </w:tc>
      </w:tr>
    </w:tbl>
    <w:p w14:paraId="21124849" w14:textId="77777777" w:rsidR="00623AF8"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236C8816" w14:textId="77777777" w:rsidTr="00875DD0">
        <w:trPr>
          <w:trHeight w:val="277"/>
        </w:trPr>
        <w:tc>
          <w:tcPr>
            <w:tcW w:w="9066" w:type="dxa"/>
            <w:shd w:val="clear" w:color="auto" w:fill="D9D9D9"/>
          </w:tcPr>
          <w:p w14:paraId="556BCB8B"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15AD7FBF" w14:textId="77777777" w:rsidR="00623AF8" w:rsidRDefault="00623AF8" w:rsidP="00623AF8">
      <w:pPr>
        <w:jc w:val="both"/>
        <w:rPr>
          <w:rFonts w:ascii="Aptos" w:hAnsi="Aptos"/>
          <w:sz w:val="22"/>
          <w:szCs w:val="22"/>
        </w:rPr>
      </w:pPr>
      <w:r w:rsidRPr="00C2297F">
        <w:rPr>
          <w:rFonts w:ascii="Aptos" w:hAnsi="Aptos"/>
          <w:sz w:val="22"/>
          <w:szCs w:val="22"/>
        </w:rPr>
        <w:t>Die Dekarbonisierung und die Verbesserung der Energieeffizienz des Gebäudesektors sind notwendig</w:t>
      </w:r>
      <w:r>
        <w:rPr>
          <w:rFonts w:ascii="Aptos" w:hAnsi="Aptos"/>
          <w:sz w:val="22"/>
          <w:szCs w:val="22"/>
        </w:rPr>
        <w:t xml:space="preserve">, </w:t>
      </w:r>
      <w:r w:rsidRPr="00990A46">
        <w:rPr>
          <w:rFonts w:ascii="Aptos" w:hAnsi="Aptos"/>
          <w:sz w:val="22"/>
          <w:szCs w:val="22"/>
        </w:rPr>
        <w:t xml:space="preserve">um die Klimakrise einzudämmen. Derzeit ist der Gebäudesektor für 40 % des Energieverbrauchs und 36 % der Treibhausgasemissionen in der EU verantwortlich </w:t>
      </w:r>
      <w:r w:rsidRPr="00990A46">
        <w:rPr>
          <w:rFonts w:ascii="Aptos" w:hAnsi="Aptos"/>
          <w:sz w:val="22"/>
          <w:szCs w:val="22"/>
          <w:vertAlign w:val="subscript"/>
        </w:rPr>
        <w:t>(1).</w:t>
      </w:r>
      <w:r w:rsidRPr="00990A46">
        <w:rPr>
          <w:rFonts w:ascii="Aptos" w:hAnsi="Aptos"/>
          <w:sz w:val="22"/>
          <w:szCs w:val="22"/>
        </w:rPr>
        <w:t xml:space="preserve"> Die überarbeitete Richtlinie über die Gesamtenergieeffizienz von Gebäuden (EPBD) soll Europa auf den Weg zu einem vollständig klimaneutralen Gebäudebestand bis 2050 bringen </w:t>
      </w:r>
      <w:r w:rsidRPr="00990A46">
        <w:rPr>
          <w:rFonts w:ascii="Aptos" w:hAnsi="Aptos"/>
          <w:sz w:val="22"/>
          <w:szCs w:val="22"/>
          <w:vertAlign w:val="subscript"/>
        </w:rPr>
        <w:t>(2).</w:t>
      </w:r>
      <w:r w:rsidRPr="00990A46">
        <w:rPr>
          <w:rFonts w:ascii="Aptos" w:hAnsi="Aptos"/>
          <w:sz w:val="22"/>
          <w:szCs w:val="22"/>
        </w:rPr>
        <w:t xml:space="preserve"> </w:t>
      </w:r>
      <w:r w:rsidRPr="00C2297F">
        <w:rPr>
          <w:rFonts w:ascii="Aptos" w:hAnsi="Aptos"/>
          <w:sz w:val="22"/>
          <w:szCs w:val="22"/>
        </w:rPr>
        <w:t>In diesem Zusammenhang ist jedoch zu berücksichtigen,</w:t>
      </w:r>
      <w:r w:rsidRPr="00990A46">
        <w:rPr>
          <w:rFonts w:ascii="Aptos" w:hAnsi="Aptos"/>
          <w:sz w:val="22"/>
          <w:szCs w:val="22"/>
        </w:rPr>
        <w:t xml:space="preserve"> dass Energieeffizienzmaßnahmen in Wohngebäuden nicht zu sozialen Problemen führen. Zwar kann eine verbesserte Energieeffizienz zu einer Senkung der Energiekosten </w:t>
      </w:r>
      <w:r>
        <w:rPr>
          <w:rFonts w:ascii="Aptos" w:hAnsi="Aptos"/>
          <w:sz w:val="22"/>
          <w:szCs w:val="22"/>
        </w:rPr>
        <w:t>unterstützen</w:t>
      </w:r>
      <w:r w:rsidRPr="00990A46">
        <w:rPr>
          <w:rFonts w:ascii="Aptos" w:hAnsi="Aptos"/>
          <w:sz w:val="22"/>
          <w:szCs w:val="22"/>
        </w:rPr>
        <w:t xml:space="preserve">, andererseits werden solche Maßnahmen </w:t>
      </w:r>
      <w:r>
        <w:rPr>
          <w:rFonts w:ascii="Aptos" w:hAnsi="Aptos"/>
          <w:sz w:val="22"/>
          <w:szCs w:val="22"/>
        </w:rPr>
        <w:t>im Gebäudebestand</w:t>
      </w:r>
      <w:r w:rsidRPr="00990A46">
        <w:rPr>
          <w:rFonts w:ascii="Aptos" w:hAnsi="Aptos"/>
          <w:sz w:val="22"/>
          <w:szCs w:val="22"/>
        </w:rPr>
        <w:t xml:space="preserve"> häufig auf die Mieten umgelegt. Dieses Phänomen wird auch als </w:t>
      </w:r>
      <w:r w:rsidRPr="00990A46">
        <w:rPr>
          <w:rFonts w:ascii="Aptos" w:hAnsi="Aptos"/>
          <w:i/>
          <w:iCs/>
          <w:sz w:val="22"/>
          <w:szCs w:val="22"/>
        </w:rPr>
        <w:t>Ökogentrifizierung</w:t>
      </w:r>
      <w:r w:rsidRPr="00990A46">
        <w:rPr>
          <w:rFonts w:ascii="Aptos" w:hAnsi="Aptos"/>
          <w:sz w:val="22"/>
          <w:szCs w:val="22"/>
        </w:rPr>
        <w:t xml:space="preserve"> oder </w:t>
      </w:r>
      <w:r w:rsidRPr="00990A46">
        <w:rPr>
          <w:rFonts w:ascii="Aptos" w:hAnsi="Aptos"/>
          <w:i/>
          <w:iCs/>
          <w:sz w:val="22"/>
          <w:szCs w:val="22"/>
        </w:rPr>
        <w:t>Verdrängung sozial benachteiligter Gruppen</w:t>
      </w:r>
      <w:r w:rsidRPr="00990A46">
        <w:rPr>
          <w:rFonts w:ascii="Aptos" w:hAnsi="Aptos"/>
          <w:sz w:val="22"/>
          <w:szCs w:val="22"/>
        </w:rPr>
        <w:t xml:space="preserve"> bezeichnet. Aus Sicht der Daseinsvorsorge ist eine gerechte Energiewende wichtig, d.h. dass alle Menschen Zugang zu energieeffizientem und nachhaltigem Wohnen haben, ohne dass ihre Lebensqualität darunter leidet. In diesem Zusammenhang sind insbesondere gemeinnützige und kommunale Wohnbauträger entscheidende Akteure</w:t>
      </w:r>
      <w:r>
        <w:rPr>
          <w:rFonts w:ascii="Aptos" w:hAnsi="Aptos"/>
          <w:sz w:val="22"/>
          <w:szCs w:val="22"/>
        </w:rPr>
        <w:t>, die diese Wohnräume bereitstellen</w:t>
      </w:r>
      <w:r w:rsidRPr="00990A46">
        <w:rPr>
          <w:rFonts w:ascii="Aptos" w:hAnsi="Aptos"/>
          <w:sz w:val="22"/>
          <w:szCs w:val="22"/>
        </w:rPr>
        <w:t>.</w:t>
      </w:r>
    </w:p>
    <w:p w14:paraId="3C0A8E5D" w14:textId="77777777" w:rsidR="00623AF8" w:rsidRPr="00990A46" w:rsidRDefault="00623AF8" w:rsidP="00623AF8">
      <w:pPr>
        <w:jc w:val="both"/>
        <w:rPr>
          <w:rFonts w:ascii="Aptos" w:hAnsi="Aptos"/>
          <w:sz w:val="22"/>
          <w:szCs w:val="22"/>
        </w:rPr>
      </w:pPr>
    </w:p>
    <w:p w14:paraId="7C0466AA" w14:textId="77777777" w:rsidR="00623AF8" w:rsidRPr="00A0603B" w:rsidRDefault="00623AF8" w:rsidP="00F63BE8">
      <w:pPr>
        <w:pStyle w:val="Listenabsatz"/>
        <w:numPr>
          <w:ilvl w:val="0"/>
          <w:numId w:val="70"/>
        </w:numPr>
        <w:jc w:val="both"/>
        <w:rPr>
          <w:rFonts w:ascii="Aptos" w:hAnsi="Aptos"/>
          <w:sz w:val="18"/>
          <w:szCs w:val="18"/>
          <w:lang w:val="en-GB"/>
        </w:rPr>
      </w:pPr>
      <w:r w:rsidRPr="00A0603B">
        <w:rPr>
          <w:rFonts w:ascii="Aptos" w:hAnsi="Aptos"/>
          <w:sz w:val="18"/>
          <w:szCs w:val="18"/>
          <w:lang w:val="en-GB"/>
        </w:rPr>
        <w:lastRenderedPageBreak/>
        <w:t>European Commission 2020: In focus: Energy efficiency in buildings</w:t>
      </w:r>
    </w:p>
    <w:p w14:paraId="4FE382A4" w14:textId="77777777" w:rsidR="00623AF8" w:rsidRDefault="00AC460E" w:rsidP="00623AF8">
      <w:pPr>
        <w:ind w:firstLine="360"/>
        <w:jc w:val="both"/>
        <w:rPr>
          <w:rFonts w:ascii="Aptos" w:hAnsi="Aptos"/>
          <w:sz w:val="18"/>
          <w:szCs w:val="18"/>
          <w:lang w:val="en-GB"/>
        </w:rPr>
      </w:pPr>
      <w:hyperlink r:id="rId115" w:history="1">
        <w:r w:rsidR="00623AF8" w:rsidRPr="00B83BAA">
          <w:rPr>
            <w:rStyle w:val="Hyperlink"/>
            <w:rFonts w:ascii="Aptos" w:hAnsi="Aptos"/>
            <w:sz w:val="18"/>
            <w:szCs w:val="18"/>
            <w:lang w:val="en-GB"/>
          </w:rPr>
          <w:t>https://commission.europa.eu/news/focus-energy-efficiency-buildings-2020-02-17_en</w:t>
        </w:r>
      </w:hyperlink>
    </w:p>
    <w:p w14:paraId="6617A338" w14:textId="77777777" w:rsidR="00623AF8" w:rsidRDefault="00623AF8" w:rsidP="00F63BE8">
      <w:pPr>
        <w:pStyle w:val="Listenabsatz"/>
        <w:numPr>
          <w:ilvl w:val="0"/>
          <w:numId w:val="70"/>
        </w:numPr>
        <w:jc w:val="both"/>
        <w:rPr>
          <w:rFonts w:ascii="Aptos" w:hAnsi="Aptos"/>
          <w:sz w:val="18"/>
          <w:szCs w:val="18"/>
          <w:lang w:val="en-GB"/>
        </w:rPr>
      </w:pPr>
      <w:r>
        <w:rPr>
          <w:rFonts w:ascii="Aptos" w:hAnsi="Aptos"/>
          <w:sz w:val="18"/>
          <w:szCs w:val="18"/>
          <w:lang w:val="en-GB"/>
        </w:rPr>
        <w:t>European Commission 2024: R</w:t>
      </w:r>
      <w:r w:rsidRPr="00BB42B4">
        <w:rPr>
          <w:rFonts w:ascii="Aptos" w:hAnsi="Aptos"/>
          <w:sz w:val="18"/>
          <w:szCs w:val="18"/>
          <w:lang w:val="en-GB"/>
        </w:rPr>
        <w:t>evised Energy Performance of Buildings Directive (EU/2024/1275)</w:t>
      </w:r>
    </w:p>
    <w:p w14:paraId="33DD8CC9" w14:textId="77777777" w:rsidR="00623AF8" w:rsidRPr="0095671E" w:rsidRDefault="00AC460E" w:rsidP="00623AF8">
      <w:pPr>
        <w:ind w:left="360"/>
        <w:jc w:val="both"/>
        <w:rPr>
          <w:rFonts w:ascii="Aptos" w:hAnsi="Aptos"/>
          <w:sz w:val="18"/>
          <w:szCs w:val="18"/>
          <w:lang w:val="en-GB"/>
        </w:rPr>
      </w:pPr>
      <w:hyperlink r:id="rId116" w:history="1">
        <w:r w:rsidR="00623AF8" w:rsidRPr="0095671E">
          <w:rPr>
            <w:rStyle w:val="Hyperlink"/>
            <w:rFonts w:ascii="Aptos" w:hAnsi="Aptos"/>
            <w:sz w:val="18"/>
            <w:szCs w:val="18"/>
            <w:lang w:val="en-GB"/>
          </w:rPr>
          <w:t>https://eur-lex.europa.eu/legal-content/EN/TXT/PDF/?uri=OJ:L_202401275</w:t>
        </w:r>
      </w:hyperlink>
    </w:p>
    <w:p w14:paraId="556ED502" w14:textId="77777777" w:rsidR="00623AF8" w:rsidRPr="00BB42B4" w:rsidRDefault="00623AF8" w:rsidP="00623AF8">
      <w:pPr>
        <w:rPr>
          <w:rFonts w:ascii="Aptos" w:hAnsi="Aptos"/>
          <w:lang w:val="en-GB"/>
        </w:rPr>
      </w:pPr>
    </w:p>
    <w:p w14:paraId="17EE8D56" w14:textId="77777777" w:rsidR="00623AF8" w:rsidRPr="00BB42B4" w:rsidRDefault="00623AF8" w:rsidP="00623AF8">
      <w:pPr>
        <w:rPr>
          <w:lang w:val="en-GB"/>
        </w:rPr>
      </w:pPr>
    </w:p>
    <w:p w14:paraId="35B0ED64" w14:textId="77777777" w:rsidR="00623AF8" w:rsidRDefault="00623AF8" w:rsidP="00623AF8">
      <w:pPr>
        <w:pStyle w:val="berschrift1"/>
      </w:pPr>
      <w:bookmarkStart w:id="439" w:name="_Toc170377500"/>
      <w:bookmarkStart w:id="440" w:name="_Toc170983803"/>
      <w:r w:rsidRPr="0050443A">
        <w:t>Bekämpfung der Obdachlosigkeit in Europa - Umsetzung der Lissabon Deklaration</w:t>
      </w:r>
      <w:bookmarkEnd w:id="439"/>
      <w:bookmarkEnd w:id="440"/>
    </w:p>
    <w:p w14:paraId="5F8FE44D" w14:textId="77777777" w:rsidR="00623AF8" w:rsidRPr="0094728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739D1A7D" w14:textId="77777777" w:rsidTr="00875DD0">
        <w:tc>
          <w:tcPr>
            <w:tcW w:w="9060" w:type="dxa"/>
            <w:shd w:val="clear" w:color="auto" w:fill="D9D9D9" w:themeFill="background1" w:themeFillShade="D9"/>
          </w:tcPr>
          <w:p w14:paraId="2E36490C"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4FD6E160" w14:textId="77777777" w:rsidTr="00875DD0">
        <w:tc>
          <w:tcPr>
            <w:tcW w:w="9060" w:type="dxa"/>
          </w:tcPr>
          <w:p w14:paraId="6D0E1209" w14:textId="77777777" w:rsidR="00623AF8" w:rsidRPr="0050443A" w:rsidRDefault="00623AF8" w:rsidP="00875DD0">
            <w:pPr>
              <w:spacing w:before="120" w:after="120"/>
              <w:jc w:val="both"/>
              <w:rPr>
                <w:rFonts w:ascii="Aptos" w:hAnsi="Aptos"/>
                <w:b/>
                <w:bCs/>
                <w:sz w:val="22"/>
                <w:szCs w:val="22"/>
              </w:rPr>
            </w:pPr>
            <w:r w:rsidRPr="006B2AE5">
              <w:rPr>
                <w:rFonts w:ascii="Aptos" w:hAnsi="Aptos"/>
                <w:sz w:val="22"/>
                <w:szCs w:val="22"/>
              </w:rPr>
              <w:t xml:space="preserve">Fast 900.000 Menschen in Europa waren im vergangenen Jahr obdachlos. Das sind 30 </w:t>
            </w:r>
            <w:r>
              <w:rPr>
                <w:rFonts w:ascii="Aptos" w:hAnsi="Aptos"/>
                <w:sz w:val="22"/>
                <w:szCs w:val="22"/>
              </w:rPr>
              <w:t xml:space="preserve">% </w:t>
            </w:r>
            <w:r w:rsidRPr="006B2AE5">
              <w:rPr>
                <w:rFonts w:ascii="Aptos" w:hAnsi="Aptos"/>
                <w:sz w:val="22"/>
                <w:szCs w:val="22"/>
              </w:rPr>
              <w:t xml:space="preserve">mehr als bei der letzten Schätzung im Jahr 2018. In den zehn Jahren zuvor war die Zahl bereits um 70 </w:t>
            </w:r>
            <w:r>
              <w:rPr>
                <w:rFonts w:ascii="Aptos" w:hAnsi="Aptos"/>
                <w:sz w:val="22"/>
                <w:szCs w:val="22"/>
              </w:rPr>
              <w:t xml:space="preserve">% </w:t>
            </w:r>
            <w:r w:rsidRPr="006B2AE5">
              <w:rPr>
                <w:rFonts w:ascii="Aptos" w:hAnsi="Aptos"/>
                <w:sz w:val="22"/>
                <w:szCs w:val="22"/>
              </w:rPr>
              <w:t xml:space="preserve">gestiegen. Es handelt sich also um ein strukturell wachsendes Problem. </w:t>
            </w:r>
            <w:r w:rsidRPr="006B2AE5">
              <w:rPr>
                <w:rFonts w:ascii="Aptos" w:hAnsi="Aptos"/>
                <w:b/>
                <w:bCs/>
                <w:sz w:val="22"/>
                <w:szCs w:val="22"/>
              </w:rPr>
              <w:t>Welche Initiativen planen Sie,  um die Obdachlosigkeit in Europa bis 2030 zu beenden, wie es in der Erklärung von Lissabon vereinbart wurde?</w:t>
            </w:r>
          </w:p>
        </w:tc>
      </w:tr>
      <w:tr w:rsidR="00623AF8" w:rsidRPr="0050443A" w14:paraId="3013C6D0" w14:textId="77777777" w:rsidTr="00875DD0">
        <w:tc>
          <w:tcPr>
            <w:tcW w:w="9060" w:type="dxa"/>
            <w:shd w:val="clear" w:color="auto" w:fill="D9D9D9" w:themeFill="background1" w:themeFillShade="D9"/>
          </w:tcPr>
          <w:p w14:paraId="0190EE54"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1BD862DE" w14:textId="77777777" w:rsidTr="00875DD0">
        <w:tc>
          <w:tcPr>
            <w:tcW w:w="9060" w:type="dxa"/>
          </w:tcPr>
          <w:p w14:paraId="01BED92F" w14:textId="77777777" w:rsidR="00623AF8" w:rsidRPr="006B2AE5" w:rsidRDefault="00623AF8" w:rsidP="00F63BE8">
            <w:pPr>
              <w:pStyle w:val="Listenabsatz"/>
              <w:numPr>
                <w:ilvl w:val="0"/>
                <w:numId w:val="15"/>
              </w:numPr>
              <w:spacing w:before="120" w:after="120"/>
              <w:jc w:val="both"/>
              <w:rPr>
                <w:rFonts w:ascii="Aptos" w:hAnsi="Aptos"/>
                <w:sz w:val="22"/>
                <w:szCs w:val="22"/>
              </w:rPr>
            </w:pPr>
            <w:r w:rsidRPr="006B2AE5">
              <w:rPr>
                <w:rFonts w:ascii="Aptos" w:hAnsi="Aptos"/>
                <w:sz w:val="22"/>
                <w:szCs w:val="22"/>
              </w:rPr>
              <w:t>Welche Maßnahmen planen Sie, um sicherzustellen, dass es genügend Koordinierungsstellen auf der Ebene der Mitgliedstaaten und der lokalen Akteure gibt?</w:t>
            </w:r>
          </w:p>
          <w:p w14:paraId="119E80DC" w14:textId="77777777" w:rsidR="00623AF8" w:rsidRDefault="00623AF8" w:rsidP="00F63BE8">
            <w:pPr>
              <w:pStyle w:val="Listenabsatz"/>
              <w:numPr>
                <w:ilvl w:val="0"/>
                <w:numId w:val="15"/>
              </w:numPr>
              <w:spacing w:before="120" w:after="120"/>
              <w:jc w:val="both"/>
              <w:rPr>
                <w:rFonts w:ascii="Aptos" w:hAnsi="Aptos"/>
                <w:sz w:val="22"/>
                <w:szCs w:val="22"/>
              </w:rPr>
            </w:pPr>
            <w:r w:rsidRPr="006B2AE5">
              <w:rPr>
                <w:rFonts w:ascii="Aptos" w:hAnsi="Aptos"/>
                <w:sz w:val="22"/>
                <w:szCs w:val="22"/>
              </w:rPr>
              <w:t>Wie kann sichergestellt werden, dass die Verteilung der Mittel an die Betroffenen auch durch öffentliche, gemeinnützige und soziale Organisationen erfolgt und nicht zu einem Geschäft für private Anbieter wird?</w:t>
            </w:r>
          </w:p>
          <w:p w14:paraId="08C22A2B" w14:textId="77777777" w:rsidR="00623AF8" w:rsidRPr="0050443A" w:rsidRDefault="00623AF8" w:rsidP="00F63BE8">
            <w:pPr>
              <w:pStyle w:val="Listenabsatz"/>
              <w:numPr>
                <w:ilvl w:val="0"/>
                <w:numId w:val="15"/>
              </w:numPr>
              <w:spacing w:before="120" w:after="120"/>
              <w:jc w:val="both"/>
              <w:rPr>
                <w:rFonts w:ascii="Aptos" w:hAnsi="Aptos"/>
                <w:sz w:val="22"/>
                <w:szCs w:val="22"/>
              </w:rPr>
            </w:pPr>
            <w:r w:rsidRPr="001B7DE3">
              <w:rPr>
                <w:rFonts w:ascii="Aptos" w:hAnsi="Aptos"/>
                <w:sz w:val="22"/>
                <w:szCs w:val="22"/>
              </w:rPr>
              <w:t>Planen Sie die Errichtung eines europäischen Rahmens, der die Rolle und die Bedürfnisse von Städten bei der Bekämpfung von Obdachlosigkeit angemessen berücksichtigt?</w:t>
            </w:r>
          </w:p>
        </w:tc>
      </w:tr>
    </w:tbl>
    <w:p w14:paraId="5755930F" w14:textId="77777777" w:rsidR="00623AF8" w:rsidRPr="00002BF2"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1D3613AC" w14:textId="77777777" w:rsidTr="00875DD0">
        <w:trPr>
          <w:trHeight w:val="277"/>
        </w:trPr>
        <w:tc>
          <w:tcPr>
            <w:tcW w:w="9066" w:type="dxa"/>
            <w:shd w:val="clear" w:color="auto" w:fill="D9D9D9"/>
          </w:tcPr>
          <w:p w14:paraId="08F795AF"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3E9D70B2" w14:textId="77777777" w:rsidR="00623AF8" w:rsidRPr="0095671E" w:rsidRDefault="00623AF8" w:rsidP="00623AF8">
      <w:pPr>
        <w:jc w:val="both"/>
        <w:rPr>
          <w:rFonts w:ascii="Aptos" w:hAnsi="Aptos"/>
          <w:sz w:val="22"/>
          <w:szCs w:val="22"/>
        </w:rPr>
      </w:pPr>
      <w:r w:rsidRPr="0095671E">
        <w:rPr>
          <w:rFonts w:ascii="Aptos" w:hAnsi="Aptos"/>
          <w:sz w:val="22"/>
          <w:szCs w:val="22"/>
        </w:rPr>
        <w:t xml:space="preserve">Fast 900.000 Menschen in Europa waren im vergangenen Jahr obdachlos. Diese alarmierende Zahl markiert einen Anstieg um 30 % im Vergleich zur letzten Schätzung im Jahr 2018. In den zehn Jahren zuvor war die Zahl bereits um 70 % gestiegen, was auf ein strukturell wachsendes Problem hinweist (1). Die Ursachen für Obdachlosigkeit sind vielschichtig und umfassen wirtschaftliche Unsicherheit, soziale Ausgrenzung, den Mangel an bezahlbarem Wohnraum und nicht zuletzt individuelle Krisen wie Arbeitsplatzverlust oder Gesundheitsprobleme (2). Diese besorgniserregende Entwicklung unterstreicht die Dringlichkeit, Maßnahmen zu ergreifen, um Wohnungslosigkeit zu bekämpfen und gleichzeitig die zugrunde liegenden strukturellen Probleme anzugehen. Aus der Perspektive der Daseinsvorsorge ist </w:t>
      </w:r>
      <w:r>
        <w:rPr>
          <w:rFonts w:ascii="Aptos" w:hAnsi="Aptos"/>
          <w:sz w:val="22"/>
          <w:szCs w:val="22"/>
        </w:rPr>
        <w:t>es von großer Bedeutung</w:t>
      </w:r>
      <w:r w:rsidRPr="0095671E">
        <w:rPr>
          <w:rFonts w:ascii="Aptos" w:hAnsi="Aptos"/>
          <w:sz w:val="22"/>
          <w:szCs w:val="22"/>
        </w:rPr>
        <w:t>, die strukturelle Wohnungslosigkeit in Europa zu bekämpfen</w:t>
      </w:r>
      <w:r>
        <w:t xml:space="preserve">. </w:t>
      </w:r>
      <w:r w:rsidRPr="00A864DF">
        <w:rPr>
          <w:rFonts w:ascii="Aptos" w:hAnsi="Aptos"/>
          <w:sz w:val="22"/>
          <w:szCs w:val="22"/>
        </w:rPr>
        <w:t xml:space="preserve">Diese hat nämlich großen individuellen und gesellschaftlichen Schaden zur Folge. </w:t>
      </w:r>
      <w:r w:rsidRPr="0095671E">
        <w:rPr>
          <w:rFonts w:ascii="Aptos" w:hAnsi="Aptos"/>
          <w:sz w:val="22"/>
          <w:szCs w:val="22"/>
        </w:rPr>
        <w:t>Bezahlbarer Wohnraum,</w:t>
      </w:r>
      <w:r>
        <w:rPr>
          <w:rFonts w:ascii="Aptos" w:hAnsi="Aptos"/>
          <w:sz w:val="22"/>
          <w:szCs w:val="22"/>
        </w:rPr>
        <w:t xml:space="preserve"> </w:t>
      </w:r>
      <w:r w:rsidRPr="0095671E">
        <w:rPr>
          <w:rFonts w:ascii="Aptos" w:hAnsi="Aptos"/>
          <w:sz w:val="22"/>
          <w:szCs w:val="22"/>
        </w:rPr>
        <w:t>leistungsfähige Bildungssysteme</w:t>
      </w:r>
      <w:r>
        <w:rPr>
          <w:rFonts w:ascii="Aptos" w:hAnsi="Aptos"/>
          <w:sz w:val="22"/>
          <w:szCs w:val="22"/>
        </w:rPr>
        <w:t>, sichere Arbeitsplätze</w:t>
      </w:r>
      <w:r w:rsidRPr="0095671E">
        <w:rPr>
          <w:rFonts w:ascii="Aptos" w:hAnsi="Aptos"/>
          <w:sz w:val="22"/>
          <w:szCs w:val="22"/>
        </w:rPr>
        <w:t xml:space="preserve"> und ein </w:t>
      </w:r>
      <w:r>
        <w:rPr>
          <w:rFonts w:ascii="Aptos" w:hAnsi="Aptos"/>
          <w:sz w:val="22"/>
          <w:szCs w:val="22"/>
        </w:rPr>
        <w:t xml:space="preserve">sozial </w:t>
      </w:r>
      <w:r w:rsidRPr="0095671E">
        <w:rPr>
          <w:rFonts w:ascii="Aptos" w:hAnsi="Aptos"/>
          <w:sz w:val="22"/>
          <w:szCs w:val="22"/>
        </w:rPr>
        <w:t>inklusiver Zugang zu öffentlichen Dienstleistungen - um nur einige Beispiele zu nennen - sind in diesem Zusammenhang wertvolle Elemente, die von den Akteuren der Daseinsvorsorge bereitgestellt werden.</w:t>
      </w:r>
    </w:p>
    <w:p w14:paraId="38F933E2" w14:textId="77777777" w:rsidR="00623AF8" w:rsidRDefault="00623AF8" w:rsidP="00623AF8">
      <w:pPr>
        <w:jc w:val="both"/>
      </w:pPr>
    </w:p>
    <w:p w14:paraId="4B482910" w14:textId="77777777" w:rsidR="00623AF8" w:rsidRPr="00072582" w:rsidRDefault="00623AF8" w:rsidP="00F63BE8">
      <w:pPr>
        <w:pStyle w:val="Listenabsatz"/>
        <w:numPr>
          <w:ilvl w:val="0"/>
          <w:numId w:val="61"/>
        </w:numPr>
        <w:jc w:val="both"/>
        <w:rPr>
          <w:rFonts w:ascii="Aptos" w:hAnsi="Aptos"/>
          <w:sz w:val="18"/>
          <w:szCs w:val="18"/>
        </w:rPr>
      </w:pPr>
      <w:r w:rsidRPr="00072582">
        <w:rPr>
          <w:rFonts w:ascii="Aptos" w:hAnsi="Aptos"/>
          <w:sz w:val="18"/>
          <w:szCs w:val="18"/>
        </w:rPr>
        <w:t xml:space="preserve">Europäisches Parlament 2020: Pressemitteilung zur EU Obdachlosigkeit </w:t>
      </w:r>
    </w:p>
    <w:p w14:paraId="2A5C1AFD" w14:textId="77777777" w:rsidR="00623AF8" w:rsidRPr="00CF317E" w:rsidRDefault="00AC460E" w:rsidP="00623AF8">
      <w:pPr>
        <w:ind w:left="360"/>
        <w:jc w:val="both"/>
        <w:rPr>
          <w:rStyle w:val="Hyperlink"/>
          <w:rFonts w:ascii="Aptos" w:hAnsi="Aptos"/>
          <w:sz w:val="18"/>
          <w:szCs w:val="18"/>
        </w:rPr>
      </w:pPr>
      <w:hyperlink r:id="rId117" w:history="1">
        <w:r w:rsidR="00623AF8" w:rsidRPr="0005306D">
          <w:rPr>
            <w:rStyle w:val="Hyperlink"/>
            <w:rFonts w:ascii="Aptos" w:hAnsi="Aptos"/>
            <w:sz w:val="18"/>
            <w:szCs w:val="18"/>
          </w:rPr>
          <w:t>https://www.europarl.europa.eu/news/de/press-room/20201120IPR92124/eu-soll-obdachlosigkeit-bis-2030-beseitigen</w:t>
        </w:r>
      </w:hyperlink>
    </w:p>
    <w:p w14:paraId="2A841D06" w14:textId="77777777" w:rsidR="00623AF8" w:rsidRPr="00CF317E" w:rsidRDefault="00623AF8" w:rsidP="00F63BE8">
      <w:pPr>
        <w:pStyle w:val="Listenabsatz"/>
        <w:numPr>
          <w:ilvl w:val="0"/>
          <w:numId w:val="61"/>
        </w:numPr>
        <w:jc w:val="both"/>
        <w:rPr>
          <w:rFonts w:ascii="Aptos" w:hAnsi="Aptos"/>
          <w:sz w:val="18"/>
          <w:szCs w:val="18"/>
          <w:lang w:val="en-GB"/>
        </w:rPr>
      </w:pPr>
      <w:r w:rsidRPr="00CF317E">
        <w:rPr>
          <w:rFonts w:ascii="Aptos" w:hAnsi="Aptos"/>
          <w:sz w:val="18"/>
          <w:szCs w:val="18"/>
          <w:lang w:val="en-GB"/>
        </w:rPr>
        <w:t>Social Europe 2024: Rethinking the battle against homelessness</w:t>
      </w:r>
    </w:p>
    <w:p w14:paraId="295A431A" w14:textId="77777777" w:rsidR="00623AF8" w:rsidRPr="00072582" w:rsidRDefault="00AC460E" w:rsidP="00623AF8">
      <w:pPr>
        <w:ind w:left="360"/>
        <w:jc w:val="both"/>
        <w:rPr>
          <w:rStyle w:val="Hyperlink"/>
          <w:rFonts w:ascii="Aptos" w:hAnsi="Aptos"/>
          <w:sz w:val="18"/>
          <w:szCs w:val="18"/>
          <w:lang w:val="en-GB"/>
        </w:rPr>
      </w:pPr>
      <w:hyperlink r:id="rId118" w:anchor=":~:text=Poverty%20and%20the%20rising%20cost,homelessness%20in%20Europe%20by%202030." w:history="1">
        <w:r w:rsidR="00623AF8" w:rsidRPr="0005306D">
          <w:rPr>
            <w:rStyle w:val="Hyperlink"/>
            <w:rFonts w:ascii="Aptos" w:hAnsi="Aptos"/>
            <w:sz w:val="18"/>
            <w:szCs w:val="18"/>
            <w:lang w:val="en-GB"/>
          </w:rPr>
          <w:t>https://www.socialeurope.eu/rethinking-the-battle-against-homelessness#:~:text=Poverty%20and%20the%20rising%20cost,homelessness%20in%20Europe%20by%202030.</w:t>
        </w:r>
      </w:hyperlink>
    </w:p>
    <w:p w14:paraId="0268A088" w14:textId="3A30140E" w:rsidR="00623AF8" w:rsidRDefault="00623AF8" w:rsidP="00A66104">
      <w:pPr>
        <w:tabs>
          <w:tab w:val="left" w:pos="924"/>
        </w:tabs>
        <w:spacing w:after="120"/>
        <w:jc w:val="both"/>
        <w:rPr>
          <w:rFonts w:ascii="Aptos" w:hAnsi="Aptos"/>
          <w:lang w:val="en-GB"/>
        </w:rPr>
      </w:pPr>
    </w:p>
    <w:p w14:paraId="4119AA3A" w14:textId="77777777" w:rsidR="00A66104" w:rsidRPr="00072582" w:rsidRDefault="00A66104" w:rsidP="00A66104">
      <w:pPr>
        <w:tabs>
          <w:tab w:val="left" w:pos="924"/>
        </w:tabs>
        <w:spacing w:after="120"/>
        <w:jc w:val="both"/>
        <w:rPr>
          <w:rFonts w:ascii="Aptos" w:hAnsi="Aptos"/>
          <w:lang w:val="en-GB"/>
        </w:rPr>
      </w:pPr>
    </w:p>
    <w:p w14:paraId="02E329B9" w14:textId="77777777" w:rsidR="00623AF8" w:rsidRDefault="00623AF8" w:rsidP="00623AF8">
      <w:pPr>
        <w:pStyle w:val="berschrift1"/>
      </w:pPr>
      <w:bookmarkStart w:id="441" w:name="_Toc170377501"/>
      <w:bookmarkStart w:id="442" w:name="_Toc170983804"/>
      <w:r w:rsidRPr="0050443A">
        <w:t>Bekämpfung der Wohnungslosigkeit in Europa – Präventionsmaßnahmen</w:t>
      </w:r>
      <w:bookmarkEnd w:id="441"/>
      <w:bookmarkEnd w:id="442"/>
    </w:p>
    <w:p w14:paraId="5FC4470B" w14:textId="77777777" w:rsidR="00623AF8" w:rsidRPr="0094728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2C3B7018" w14:textId="77777777" w:rsidTr="00875DD0">
        <w:tc>
          <w:tcPr>
            <w:tcW w:w="9060" w:type="dxa"/>
            <w:shd w:val="clear" w:color="auto" w:fill="D9D9D9" w:themeFill="background1" w:themeFillShade="D9"/>
          </w:tcPr>
          <w:p w14:paraId="07E6619D"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0C43268F" w14:textId="77777777" w:rsidTr="00875DD0">
        <w:tc>
          <w:tcPr>
            <w:tcW w:w="9060" w:type="dxa"/>
          </w:tcPr>
          <w:p w14:paraId="7F481B10" w14:textId="77777777" w:rsidR="00623AF8" w:rsidRPr="0050443A" w:rsidRDefault="00623AF8" w:rsidP="00875DD0">
            <w:pPr>
              <w:spacing w:after="160" w:line="259" w:lineRule="auto"/>
              <w:jc w:val="both"/>
              <w:rPr>
                <w:rFonts w:ascii="Aptos" w:hAnsi="Aptos"/>
                <w:b/>
                <w:bCs/>
                <w:sz w:val="22"/>
                <w:szCs w:val="22"/>
              </w:rPr>
            </w:pPr>
            <w:r w:rsidRPr="00A864DF">
              <w:rPr>
                <w:rFonts w:ascii="Aptos" w:hAnsi="Aptos"/>
                <w:sz w:val="22"/>
                <w:szCs w:val="22"/>
              </w:rPr>
              <w:t xml:space="preserve">Wohnungslosigkeit stellt ein komplexes und weit verbreitetes soziales Problem in Europa dar, das verschiedene Ursachen hat. Dazu zählen Wohnungsnot, Arbeitslosigkeit, Armut, soziale Ausgrenzung und fehlender Zugang zu bezahlbarem Wohnraum. Trotz der Bemühungen von Regierungen und Nichtregierungsorganisationen ist das Problem der Wohnungslosigkeit in vielen europäischen Ländern weiterhin präsent. Dies unterstreicht die Notwendigkeit wirksamer Maßnahmen zur Prävention und Unterstützung der Betroffenen. </w:t>
            </w:r>
            <w:r w:rsidRPr="006B2AE5">
              <w:rPr>
                <w:rFonts w:ascii="Aptos" w:hAnsi="Aptos"/>
                <w:b/>
                <w:bCs/>
                <w:sz w:val="22"/>
                <w:szCs w:val="22"/>
              </w:rPr>
              <w:t>Welche Initiativen planen Sie zur Prävention von Wohnungslosigkeit?</w:t>
            </w:r>
          </w:p>
        </w:tc>
      </w:tr>
      <w:tr w:rsidR="00623AF8" w:rsidRPr="0050443A" w14:paraId="13A90BDC" w14:textId="77777777" w:rsidTr="00875DD0">
        <w:tc>
          <w:tcPr>
            <w:tcW w:w="9060" w:type="dxa"/>
            <w:shd w:val="clear" w:color="auto" w:fill="D9D9D9" w:themeFill="background1" w:themeFillShade="D9"/>
          </w:tcPr>
          <w:p w14:paraId="072AE53D"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7B8496E0" w14:textId="77777777" w:rsidTr="00875DD0">
        <w:tc>
          <w:tcPr>
            <w:tcW w:w="9060" w:type="dxa"/>
          </w:tcPr>
          <w:p w14:paraId="5738C153" w14:textId="77777777" w:rsidR="00623AF8" w:rsidRPr="006B2AE5" w:rsidRDefault="00623AF8" w:rsidP="00F63BE8">
            <w:pPr>
              <w:pStyle w:val="Listenabsatz"/>
              <w:numPr>
                <w:ilvl w:val="0"/>
                <w:numId w:val="49"/>
              </w:numPr>
              <w:spacing w:before="120" w:after="120"/>
              <w:jc w:val="both"/>
              <w:rPr>
                <w:rFonts w:ascii="Aptos" w:hAnsi="Aptos"/>
                <w:sz w:val="22"/>
                <w:szCs w:val="22"/>
              </w:rPr>
            </w:pPr>
            <w:r w:rsidRPr="006B2AE5">
              <w:rPr>
                <w:rFonts w:ascii="Aptos" w:hAnsi="Aptos"/>
                <w:sz w:val="22"/>
                <w:szCs w:val="22"/>
              </w:rPr>
              <w:t xml:space="preserve">Planen Sie EU-Programme mit entsprechenden Förderungen, damit die Wohnungssicherung in den Mitgliedsstaaten proaktiv angegangen werden kann? </w:t>
            </w:r>
          </w:p>
          <w:p w14:paraId="375D7527" w14:textId="77777777" w:rsidR="00623AF8" w:rsidRPr="006B2AE5" w:rsidRDefault="00623AF8" w:rsidP="00F63BE8">
            <w:pPr>
              <w:pStyle w:val="Listenabsatz"/>
              <w:numPr>
                <w:ilvl w:val="0"/>
                <w:numId w:val="49"/>
              </w:numPr>
              <w:spacing w:before="120" w:after="120"/>
              <w:jc w:val="both"/>
              <w:rPr>
                <w:rFonts w:ascii="Aptos" w:hAnsi="Aptos"/>
                <w:sz w:val="22"/>
                <w:szCs w:val="22"/>
              </w:rPr>
            </w:pPr>
            <w:r w:rsidRPr="006B2AE5">
              <w:rPr>
                <w:rFonts w:ascii="Aptos" w:hAnsi="Aptos"/>
                <w:sz w:val="22"/>
                <w:szCs w:val="22"/>
              </w:rPr>
              <w:t>Welche Bedeutung messen Sie der Delogierungsprävention bei und sind diesbezügliche Initiativen geplant?</w:t>
            </w:r>
          </w:p>
          <w:p w14:paraId="17643781" w14:textId="77777777" w:rsidR="00623AF8" w:rsidRPr="006B2AE5" w:rsidRDefault="00623AF8" w:rsidP="00F63BE8">
            <w:pPr>
              <w:pStyle w:val="Listenabsatz"/>
              <w:numPr>
                <w:ilvl w:val="0"/>
                <w:numId w:val="49"/>
              </w:numPr>
              <w:spacing w:before="120" w:after="120"/>
              <w:jc w:val="both"/>
              <w:rPr>
                <w:rFonts w:ascii="Aptos" w:hAnsi="Aptos"/>
                <w:sz w:val="22"/>
                <w:szCs w:val="22"/>
              </w:rPr>
            </w:pPr>
            <w:r w:rsidRPr="006B2AE5">
              <w:rPr>
                <w:rFonts w:ascii="Aptos" w:hAnsi="Aptos"/>
                <w:sz w:val="22"/>
                <w:szCs w:val="22"/>
              </w:rPr>
              <w:t>Welche Rolle spielt in Ihren Überlegungen der „Housing First“-Ansatz zur Vermeidung von dauerhafter Wohnungslosigkeit?</w:t>
            </w:r>
          </w:p>
          <w:p w14:paraId="7AB21DA3" w14:textId="77777777" w:rsidR="00623AF8" w:rsidRPr="001B7DE3" w:rsidRDefault="00623AF8" w:rsidP="00F63BE8">
            <w:pPr>
              <w:pStyle w:val="Listenabsatz"/>
              <w:numPr>
                <w:ilvl w:val="0"/>
                <w:numId w:val="49"/>
              </w:numPr>
              <w:spacing w:before="120" w:after="120"/>
              <w:jc w:val="both"/>
              <w:rPr>
                <w:rFonts w:ascii="Aptos" w:hAnsi="Aptos"/>
              </w:rPr>
            </w:pPr>
            <w:r w:rsidRPr="006B2AE5">
              <w:rPr>
                <w:rFonts w:ascii="Aptos" w:hAnsi="Aptos"/>
                <w:sz w:val="22"/>
                <w:szCs w:val="22"/>
              </w:rPr>
              <w:t>Wenn Sie den „Housing First“-Ansatz befürworten, wie wollen Sie sicherstellen, dass diese Wohnungen auch delogierungspräventiv vergeben werden?</w:t>
            </w:r>
          </w:p>
          <w:p w14:paraId="1E27E4E3" w14:textId="77777777" w:rsidR="00623AF8" w:rsidRPr="006B2AE5" w:rsidRDefault="00623AF8" w:rsidP="00F63BE8">
            <w:pPr>
              <w:pStyle w:val="Listenabsatz"/>
              <w:numPr>
                <w:ilvl w:val="0"/>
                <w:numId w:val="49"/>
              </w:numPr>
              <w:spacing w:before="120" w:after="120"/>
              <w:jc w:val="both"/>
              <w:rPr>
                <w:rFonts w:ascii="Aptos" w:hAnsi="Aptos"/>
              </w:rPr>
            </w:pPr>
            <w:r w:rsidRPr="001B7DE3">
              <w:rPr>
                <w:rFonts w:ascii="Aptos" w:hAnsi="Aptos"/>
                <w:sz w:val="22"/>
                <w:szCs w:val="22"/>
              </w:rPr>
              <w:t>Planen Sie die Finanzierung von Programmen von EPOCH-Mitgliedstaaten („European Platform on Combatting Homelessness“) mit dem Ziel einer ganzheitlichen Bekämpfung von Obdachlosigkeit?</w:t>
            </w:r>
          </w:p>
        </w:tc>
      </w:tr>
    </w:tbl>
    <w:p w14:paraId="289D1B58" w14:textId="77777777" w:rsidR="00623AF8" w:rsidRDefault="00623AF8" w:rsidP="00623AF8">
      <w:pPr>
        <w:jc w:val="both"/>
        <w:rPr>
          <w:rFonts w:ascii="Aptos" w:hAnsi="Aptos"/>
          <w:sz w:val="22"/>
          <w:szCs w:val="22"/>
        </w:rPr>
      </w:pPr>
    </w:p>
    <w:tbl>
      <w:tblPr>
        <w:tblStyle w:val="TableNormal2"/>
        <w:tblW w:w="0" w:type="auto"/>
        <w:tblLayout w:type="fixed"/>
        <w:tblLook w:val="01E0" w:firstRow="1" w:lastRow="1" w:firstColumn="1" w:lastColumn="1" w:noHBand="0" w:noVBand="0"/>
      </w:tblPr>
      <w:tblGrid>
        <w:gridCol w:w="9066"/>
      </w:tblGrid>
      <w:tr w:rsidR="00623AF8" w:rsidRPr="009B5839" w14:paraId="5240FCE9" w14:textId="77777777" w:rsidTr="00875DD0">
        <w:trPr>
          <w:trHeight w:val="277"/>
        </w:trPr>
        <w:tc>
          <w:tcPr>
            <w:tcW w:w="9066" w:type="dxa"/>
            <w:shd w:val="clear" w:color="auto" w:fill="D9D9D9"/>
          </w:tcPr>
          <w:p w14:paraId="2E2EBE22"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22335954" w14:textId="77777777" w:rsidR="00623AF8" w:rsidRDefault="00623AF8" w:rsidP="00623AF8">
      <w:pPr>
        <w:jc w:val="both"/>
        <w:rPr>
          <w:rFonts w:ascii="Aptos" w:hAnsi="Aptos"/>
          <w:sz w:val="22"/>
          <w:szCs w:val="22"/>
        </w:rPr>
      </w:pPr>
      <w:r w:rsidRPr="00A864DF">
        <w:rPr>
          <w:rFonts w:ascii="Aptos" w:hAnsi="Aptos"/>
          <w:sz w:val="22"/>
          <w:szCs w:val="22"/>
        </w:rPr>
        <w:t xml:space="preserve">Um Wohnungslosigkeit in Europa effektiv zu bekämpfen, sind umfassende Präventionsmaßnahmen unerlässlich. Dazu zählt die Schaffung und Bereitstellung von bezahlbarem Wohnraum, um zu verhindern, dass Menschen ihre Wohnung verlieren. Auch frühzeitige Interventionen sind von entscheidender Bedeutung, wie beispielsweise finanzielle Unterstützung in Form von Mietzuschüssen oder Schuldnerberatung, um Wohnungskündigungen aufgrund von Zahlungsunfähigkeit zu verhindern. </w:t>
      </w:r>
      <w:r w:rsidRPr="009A1473">
        <w:rPr>
          <w:rFonts w:ascii="Aptos" w:hAnsi="Aptos"/>
          <w:sz w:val="22"/>
          <w:szCs w:val="22"/>
        </w:rPr>
        <w:t>In diesem Zusammenhang ist auch der "Housing First"</w:t>
      </w:r>
      <w:r>
        <w:rPr>
          <w:rFonts w:ascii="Aptos" w:hAnsi="Aptos"/>
          <w:sz w:val="22"/>
          <w:szCs w:val="22"/>
        </w:rPr>
        <w:t>-</w:t>
      </w:r>
      <w:r w:rsidRPr="009A1473">
        <w:rPr>
          <w:rFonts w:ascii="Aptos" w:hAnsi="Aptos"/>
          <w:sz w:val="22"/>
          <w:szCs w:val="22"/>
        </w:rPr>
        <w:t xml:space="preserve">Ansatz ein wesentlicher strategischer Baustein zur Reduzierung von Wohnungslosigkeit </w:t>
      </w:r>
      <w:r w:rsidRPr="009A1473">
        <w:rPr>
          <w:rFonts w:ascii="Aptos" w:hAnsi="Aptos"/>
          <w:sz w:val="22"/>
          <w:szCs w:val="22"/>
          <w:vertAlign w:val="subscript"/>
        </w:rPr>
        <w:t>(1).</w:t>
      </w:r>
      <w:r w:rsidRPr="009A1473">
        <w:rPr>
          <w:rFonts w:ascii="Aptos" w:hAnsi="Aptos"/>
          <w:sz w:val="22"/>
          <w:szCs w:val="22"/>
        </w:rPr>
        <w:t xml:space="preserve"> </w:t>
      </w:r>
      <w:r w:rsidRPr="00A864DF">
        <w:rPr>
          <w:rFonts w:ascii="Aptos" w:hAnsi="Aptos"/>
          <w:sz w:val="22"/>
          <w:szCs w:val="22"/>
        </w:rPr>
        <w:t>Housing First ist ein erfolgreiches Konzept aus der Wohnungslosenhilfe mit dem Ziel der Deinstitutionalisierung und der möglichst raschen Versorgung wohnungsloser Menschen mit eigenem Wohnraum zur Förderung ihrer Selbständigkeit. Aus der Perspektive der Daseinsvorsorge ist es von großer Bedeutung, die strukturelle Wohnungslosigkeit in Europa zu bekämpfen. Diese verursacht nämlich großen individuellen und gesellschaftlichen Schaden. Zu den ortsbezogenen Dienstleistungen, die von den Akteuren der Daseinsvorsorge bereitgestellt werden, zählen unter anderem bezahlbarer Wohnraum, leistungsfähige Bildungssysteme, sichere Arbeitsplätze und ein sozial inklusiver Zugang zu Dienstleistungen des täglichen Bedarfs.</w:t>
      </w:r>
    </w:p>
    <w:p w14:paraId="26F6A776" w14:textId="77777777" w:rsidR="00623AF8" w:rsidRDefault="00623AF8" w:rsidP="00623AF8">
      <w:pPr>
        <w:jc w:val="both"/>
        <w:rPr>
          <w:rFonts w:ascii="Aptos" w:hAnsi="Aptos"/>
          <w:sz w:val="22"/>
          <w:szCs w:val="22"/>
        </w:rPr>
      </w:pPr>
    </w:p>
    <w:p w14:paraId="5F831954" w14:textId="77777777" w:rsidR="00623AF8" w:rsidRPr="0095671E" w:rsidRDefault="00623AF8" w:rsidP="00F63BE8">
      <w:pPr>
        <w:pStyle w:val="Listenabsatz"/>
        <w:numPr>
          <w:ilvl w:val="0"/>
          <w:numId w:val="62"/>
        </w:numPr>
        <w:jc w:val="both"/>
        <w:rPr>
          <w:rStyle w:val="Hyperlink"/>
          <w:sz w:val="18"/>
          <w:szCs w:val="18"/>
          <w:lang w:val="en-GB"/>
        </w:rPr>
      </w:pPr>
      <w:r w:rsidRPr="0095671E">
        <w:rPr>
          <w:rFonts w:ascii="Aptos" w:hAnsi="Aptos"/>
          <w:sz w:val="18"/>
          <w:szCs w:val="18"/>
          <w:lang w:val="en-GB"/>
        </w:rPr>
        <w:t xml:space="preserve">European Union: For an EU Framework for national homeless strategies based on the principle of Housing First </w:t>
      </w:r>
      <w:hyperlink r:id="rId119" w:history="1">
        <w:r w:rsidRPr="0095671E">
          <w:rPr>
            <w:rStyle w:val="Hyperlink"/>
            <w:rFonts w:ascii="Aptos" w:hAnsi="Aptos"/>
            <w:sz w:val="18"/>
            <w:szCs w:val="18"/>
            <w:lang w:val="en-GB"/>
          </w:rPr>
          <w:t>https://www.eesc.europa.eu/en/news-media/press-summaries/eu-framework-national-homeless-strategies-</w:t>
        </w:r>
      </w:hyperlink>
      <w:r w:rsidRPr="0095671E">
        <w:rPr>
          <w:rStyle w:val="Hyperlink"/>
          <w:rFonts w:ascii="Aptos" w:hAnsi="Aptos"/>
          <w:sz w:val="18"/>
          <w:szCs w:val="18"/>
          <w:lang w:val="en-GB"/>
        </w:rPr>
        <w:t>based-principle-housing-first</w:t>
      </w:r>
    </w:p>
    <w:p w14:paraId="436FA5F3" w14:textId="77777777" w:rsidR="00623AF8" w:rsidRPr="0095671E" w:rsidRDefault="00623AF8" w:rsidP="00623AF8">
      <w:pPr>
        <w:rPr>
          <w:rFonts w:ascii="Aptos" w:hAnsi="Aptos"/>
          <w:lang w:val="en-GB"/>
        </w:rPr>
      </w:pPr>
    </w:p>
    <w:p w14:paraId="2D3E2D7A" w14:textId="77777777" w:rsidR="00623AF8" w:rsidRPr="0095671E" w:rsidRDefault="00623AF8" w:rsidP="00623AF8">
      <w:pPr>
        <w:rPr>
          <w:rFonts w:ascii="Aptos" w:hAnsi="Aptos"/>
          <w:lang w:val="en-GB"/>
        </w:rPr>
      </w:pPr>
    </w:p>
    <w:p w14:paraId="10373696" w14:textId="77777777" w:rsidR="00623AF8" w:rsidRPr="0095671E" w:rsidRDefault="00623AF8" w:rsidP="00623AF8">
      <w:pPr>
        <w:rPr>
          <w:rFonts w:ascii="Aptos" w:hAnsi="Aptos"/>
          <w:lang w:val="en-GB"/>
        </w:rPr>
      </w:pPr>
    </w:p>
    <w:p w14:paraId="3135C081" w14:textId="77777777" w:rsidR="00623AF8" w:rsidRDefault="00623AF8" w:rsidP="00623AF8">
      <w:pPr>
        <w:pStyle w:val="berschrift1"/>
      </w:pPr>
      <w:bookmarkStart w:id="443" w:name="_Toc170377502"/>
      <w:bookmarkStart w:id="444" w:name="_Toc170983805"/>
      <w:r w:rsidRPr="0050443A">
        <w:t>Bekämpfung der Wohnungs- und Obdachlosigkeit in Europa – Monitoring</w:t>
      </w:r>
      <w:bookmarkEnd w:id="443"/>
      <w:bookmarkEnd w:id="444"/>
    </w:p>
    <w:p w14:paraId="7626EE8D" w14:textId="77777777" w:rsidR="00623AF8" w:rsidRPr="0094728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1860086C" w14:textId="77777777" w:rsidTr="00875DD0">
        <w:tc>
          <w:tcPr>
            <w:tcW w:w="9060" w:type="dxa"/>
            <w:shd w:val="clear" w:color="auto" w:fill="D9D9D9" w:themeFill="background1" w:themeFillShade="D9"/>
          </w:tcPr>
          <w:p w14:paraId="4E9A8152"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 xml:space="preserve">Frage </w:t>
            </w:r>
          </w:p>
        </w:tc>
      </w:tr>
      <w:tr w:rsidR="00623AF8" w:rsidRPr="0050443A" w14:paraId="4365ECEA" w14:textId="77777777" w:rsidTr="00875DD0">
        <w:tc>
          <w:tcPr>
            <w:tcW w:w="9060" w:type="dxa"/>
          </w:tcPr>
          <w:p w14:paraId="372FE4B6" w14:textId="77777777" w:rsidR="00623AF8" w:rsidRPr="0050443A" w:rsidRDefault="00623AF8" w:rsidP="00875DD0">
            <w:pPr>
              <w:spacing w:before="120" w:after="120"/>
              <w:jc w:val="both"/>
              <w:rPr>
                <w:rFonts w:ascii="Aptos" w:hAnsi="Aptos"/>
                <w:b/>
                <w:bCs/>
                <w:sz w:val="22"/>
                <w:szCs w:val="22"/>
              </w:rPr>
            </w:pPr>
            <w:r w:rsidRPr="00A864DF">
              <w:rPr>
                <w:rFonts w:ascii="Aptos" w:hAnsi="Aptos"/>
                <w:sz w:val="22"/>
                <w:szCs w:val="22"/>
              </w:rPr>
              <w:t>Im vergangenen Jahr waren in Europa fast 900.000 Menschen obdachlos. Die Zahl der Wohnungslosen ist noch höher, da der Begriff weiter gefasst ist und Wohnungslosigkeit oft unsichtbarer ist. Die unzureichende Datenlage, die nach unterschiedlichen Methoden erhoben wird, erschwert die Erstellung eines umfassenden Bildes von Obdach- und Wohnungslosigkeit in der Europäischen Union.</w:t>
            </w:r>
            <w:r w:rsidRPr="006B2AE5">
              <w:rPr>
                <w:rFonts w:ascii="Aptos" w:hAnsi="Aptos"/>
                <w:sz w:val="22"/>
                <w:szCs w:val="22"/>
              </w:rPr>
              <w:t xml:space="preserve"> </w:t>
            </w:r>
            <w:r w:rsidRPr="006B2AE5">
              <w:rPr>
                <w:rFonts w:ascii="Aptos" w:hAnsi="Aptos"/>
                <w:b/>
                <w:bCs/>
                <w:sz w:val="22"/>
                <w:szCs w:val="22"/>
              </w:rPr>
              <w:t>Wie wollen Sie sicherstellen, dass es EU-weit vergleichbare Indikatoren zur Erfassung von Obdach- und Wohnungslosigkeit gibt, damit die Betroffenheit europäischer Städte und Regionen vergleichbar wird und Entscheidungsträger:innen ihre Instrumente entsprechend ausrichten können?</w:t>
            </w:r>
          </w:p>
        </w:tc>
      </w:tr>
      <w:tr w:rsidR="00623AF8" w:rsidRPr="0050443A" w14:paraId="54ED1784" w14:textId="77777777" w:rsidTr="00875DD0">
        <w:tc>
          <w:tcPr>
            <w:tcW w:w="9060" w:type="dxa"/>
            <w:shd w:val="clear" w:color="auto" w:fill="D9D9D9" w:themeFill="background1" w:themeFillShade="D9"/>
          </w:tcPr>
          <w:p w14:paraId="383E9BD5"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11E0299E" w14:textId="77777777" w:rsidTr="00875DD0">
        <w:tc>
          <w:tcPr>
            <w:tcW w:w="9060" w:type="dxa"/>
          </w:tcPr>
          <w:p w14:paraId="26ABF454" w14:textId="77777777" w:rsidR="00623AF8" w:rsidRPr="006B2AE5" w:rsidRDefault="00623AF8" w:rsidP="00F63BE8">
            <w:pPr>
              <w:pStyle w:val="Listenabsatz"/>
              <w:numPr>
                <w:ilvl w:val="0"/>
                <w:numId w:val="49"/>
              </w:numPr>
              <w:spacing w:before="120" w:after="120"/>
              <w:jc w:val="both"/>
              <w:rPr>
                <w:rFonts w:ascii="Aptos" w:hAnsi="Aptos"/>
                <w:sz w:val="22"/>
                <w:szCs w:val="22"/>
              </w:rPr>
            </w:pPr>
            <w:r w:rsidRPr="006B2AE5">
              <w:rPr>
                <w:rFonts w:ascii="Aptos" w:hAnsi="Aptos"/>
                <w:sz w:val="22"/>
                <w:szCs w:val="22"/>
              </w:rPr>
              <w:t xml:space="preserve">Welche Initiativen sind geplant, um eine angemessene Datenqualität zu gewährleisten? </w:t>
            </w:r>
          </w:p>
          <w:p w14:paraId="2DC8F808" w14:textId="77777777" w:rsidR="00623AF8" w:rsidRPr="006B2AE5" w:rsidRDefault="00623AF8" w:rsidP="00F63BE8">
            <w:pPr>
              <w:pStyle w:val="Listenabsatz"/>
              <w:numPr>
                <w:ilvl w:val="0"/>
                <w:numId w:val="49"/>
              </w:numPr>
              <w:spacing w:before="120" w:after="120"/>
              <w:jc w:val="both"/>
              <w:rPr>
                <w:rFonts w:ascii="Aptos" w:hAnsi="Aptos"/>
              </w:rPr>
            </w:pPr>
            <w:r w:rsidRPr="006B2AE5">
              <w:rPr>
                <w:rFonts w:ascii="Aptos" w:hAnsi="Aptos"/>
                <w:sz w:val="22"/>
                <w:szCs w:val="22"/>
              </w:rPr>
              <w:t>Ist geplant, den für die Datenerhebung zuständigen Stellen zusätzliche EU-Mittel zur Verfügung zu stellen, um eine EU-weit harmonisierte Datenqualität zu gewährleisten?</w:t>
            </w:r>
          </w:p>
        </w:tc>
      </w:tr>
    </w:tbl>
    <w:p w14:paraId="5FA95CA7" w14:textId="77777777" w:rsidR="00623AF8" w:rsidRPr="0050443A"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60108882" w14:textId="77777777" w:rsidTr="00875DD0">
        <w:trPr>
          <w:trHeight w:val="277"/>
        </w:trPr>
        <w:tc>
          <w:tcPr>
            <w:tcW w:w="9066" w:type="dxa"/>
            <w:shd w:val="clear" w:color="auto" w:fill="D9D9D9"/>
          </w:tcPr>
          <w:p w14:paraId="7F544CBA"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7551D6B0" w14:textId="77777777" w:rsidR="00623AF8" w:rsidRPr="0050443A" w:rsidRDefault="00623AF8" w:rsidP="00623AF8">
      <w:pPr>
        <w:spacing w:after="120"/>
        <w:jc w:val="both"/>
        <w:rPr>
          <w:rFonts w:ascii="Aptos" w:hAnsi="Aptos"/>
          <w:bCs/>
          <w:iCs/>
          <w:sz w:val="22"/>
          <w:szCs w:val="22"/>
        </w:rPr>
      </w:pPr>
      <w:r w:rsidRPr="00A864DF">
        <w:rPr>
          <w:rFonts w:ascii="Aptos" w:hAnsi="Aptos"/>
          <w:sz w:val="22"/>
          <w:szCs w:val="22"/>
        </w:rPr>
        <w:t>Die sozialen Kosten von Wohnungslosigkeit und Obdachlosigkeit sind enorm und vielfältig. Die Folge sind erhebliche Belastungen für das Gesundheitssystem. Wohnungslose Menschen leiden häufiger an chronischen Krankheiten, psychischen Störungen und Suchtproblemen. Zudem müssen sie häufig teure Notfallbehandlungen in Anspruch nehmen. Des Weiteren ist eine höhere Kriminalitätsrate zu verzeichnen, da die Betroffenen anfälliger für kriminelles Verhalten und Gewalt sind. Darüber hinaus werden Sozialdienste und Wohlfahrtsprogramme stark beansprucht, da wohnungslose Menschen häufig Unterstützung in Form von Notunterkünften, Essensausgaben und Beratungsdiensten benötigen. Langfristig kann Wohnungslosigkeit die Beschäftigungsfähigkeit der Betroffenen beeinträchtigen, was zu einer erhöhten Abhängigkeit von Sozialleistungen führt. Insgesamt entsteht ein erheblicher wirtschaftlicher und sozialer Schaden, der weit über die unmittelbaren Kosten der Unterstützung hinausgeht. Im vergangenen Jahr waren in Europa fast 900.000 Menschen wohnungslos. Diese alarmierende Zahl bedeutet einen Anstieg um 30 % gegenüber der letzten Schätzung von 2018. In den zehn Jahren davor war die Zahl bereits um 70 % gestiegen, was auf ein strukturell wachsendes Problem hinweist</w:t>
      </w:r>
      <w:r>
        <w:rPr>
          <w:rFonts w:ascii="Aptos" w:hAnsi="Aptos"/>
          <w:sz w:val="22"/>
          <w:szCs w:val="22"/>
        </w:rPr>
        <w:t xml:space="preserve"> </w:t>
      </w:r>
      <w:r w:rsidRPr="00A864DF">
        <w:rPr>
          <w:rFonts w:ascii="Aptos" w:hAnsi="Aptos"/>
          <w:sz w:val="22"/>
          <w:szCs w:val="22"/>
          <w:vertAlign w:val="subscript"/>
        </w:rPr>
        <w:t>(1)</w:t>
      </w:r>
      <w:r>
        <w:rPr>
          <w:rFonts w:ascii="Aptos" w:hAnsi="Aptos"/>
          <w:sz w:val="22"/>
          <w:szCs w:val="22"/>
        </w:rPr>
        <w:t xml:space="preserve"> </w:t>
      </w:r>
      <w:r w:rsidRPr="00A864DF">
        <w:rPr>
          <w:rFonts w:ascii="Aptos" w:hAnsi="Aptos"/>
          <w:sz w:val="22"/>
          <w:szCs w:val="22"/>
        </w:rPr>
        <w:t>. Die Etablierung wirksamer Präventions</w:t>
      </w:r>
      <w:r>
        <w:rPr>
          <w:rFonts w:ascii="Aptos" w:hAnsi="Aptos"/>
          <w:sz w:val="22"/>
          <w:szCs w:val="22"/>
        </w:rPr>
        <w:softHyphen/>
      </w:r>
      <w:r w:rsidRPr="00A864DF">
        <w:rPr>
          <w:rFonts w:ascii="Aptos" w:hAnsi="Aptos"/>
          <w:sz w:val="22"/>
          <w:szCs w:val="22"/>
        </w:rPr>
        <w:t>maßnahmen erfordert vergleichbare Indikatoren und Datengrundlagen in der EU. Diese ermöglichen die Erfassung und Bewertung der Situationen und Bedürfnisse der einzelnen Mitgliedstaaten und Regionen. Die Datenerhebung stellt daher einen wesentlichen Bestandteil des Monitorings sozialer Betroffenheit dar und muss unter dem Gesichtspunkt der Daseinsvorsorge EU-weit ausgebaut werden.</w:t>
      </w:r>
    </w:p>
    <w:p w14:paraId="5FA61A9E" w14:textId="77777777" w:rsidR="00623AF8" w:rsidRPr="00072582" w:rsidRDefault="00623AF8" w:rsidP="00F63BE8">
      <w:pPr>
        <w:pStyle w:val="Listenabsatz"/>
        <w:numPr>
          <w:ilvl w:val="0"/>
          <w:numId w:val="63"/>
        </w:numPr>
        <w:jc w:val="both"/>
        <w:rPr>
          <w:rFonts w:ascii="Aptos" w:hAnsi="Aptos"/>
          <w:sz w:val="18"/>
          <w:szCs w:val="18"/>
        </w:rPr>
      </w:pPr>
      <w:r w:rsidRPr="00072582">
        <w:rPr>
          <w:rFonts w:ascii="Aptos" w:hAnsi="Aptos"/>
          <w:sz w:val="18"/>
          <w:szCs w:val="18"/>
        </w:rPr>
        <w:t xml:space="preserve">Europäisches Parlament 2020: Pressemitteilung zur EU Obdachlosigkeit </w:t>
      </w:r>
    </w:p>
    <w:p w14:paraId="025802D5" w14:textId="77777777" w:rsidR="00623AF8" w:rsidRPr="00CF317E" w:rsidRDefault="00AC460E" w:rsidP="00623AF8">
      <w:pPr>
        <w:ind w:left="360"/>
        <w:jc w:val="both"/>
        <w:rPr>
          <w:rStyle w:val="Hyperlink"/>
          <w:rFonts w:ascii="Aptos" w:hAnsi="Aptos"/>
          <w:sz w:val="18"/>
          <w:szCs w:val="18"/>
        </w:rPr>
      </w:pPr>
      <w:hyperlink r:id="rId120" w:history="1">
        <w:r w:rsidR="00623AF8" w:rsidRPr="0005306D">
          <w:rPr>
            <w:rStyle w:val="Hyperlink"/>
            <w:rFonts w:ascii="Aptos" w:hAnsi="Aptos"/>
            <w:sz w:val="18"/>
            <w:szCs w:val="18"/>
          </w:rPr>
          <w:t>https://www.europarl.europa.eu/news/de/press-room/20201120IPR92124/eu-soll-obdachlosigkeit-bis-2030-beseitigen</w:t>
        </w:r>
      </w:hyperlink>
    </w:p>
    <w:p w14:paraId="05715A48" w14:textId="77777777" w:rsidR="00623AF8" w:rsidRPr="0050443A" w:rsidRDefault="00623AF8" w:rsidP="00623AF8">
      <w:pPr>
        <w:rPr>
          <w:rFonts w:ascii="Aptos" w:hAnsi="Aptos"/>
          <w:bCs/>
          <w:iCs/>
          <w:sz w:val="22"/>
          <w:szCs w:val="22"/>
        </w:rPr>
      </w:pPr>
      <w:r w:rsidRPr="0050443A">
        <w:rPr>
          <w:rFonts w:ascii="Aptos" w:hAnsi="Aptos"/>
          <w:bCs/>
          <w:iCs/>
          <w:sz w:val="22"/>
          <w:szCs w:val="22"/>
        </w:rPr>
        <w:br w:type="page"/>
      </w:r>
    </w:p>
    <w:p w14:paraId="68A138C6" w14:textId="77777777" w:rsidR="00623AF8" w:rsidRPr="0050443A" w:rsidRDefault="00623AF8" w:rsidP="00623AF8">
      <w:pPr>
        <w:spacing w:after="120"/>
        <w:jc w:val="both"/>
        <w:rPr>
          <w:rFonts w:ascii="Aptos" w:hAnsi="Aptos"/>
          <w:bCs/>
          <w:iCs/>
          <w:sz w:val="22"/>
          <w:szCs w:val="22"/>
        </w:rPr>
      </w:pPr>
    </w:p>
    <w:p w14:paraId="0C0BF2BE" w14:textId="77777777" w:rsidR="00623AF8" w:rsidRDefault="00623AF8" w:rsidP="00623AF8">
      <w:pPr>
        <w:rPr>
          <w:rFonts w:ascii="Aptos" w:hAnsi="Aptos"/>
        </w:rPr>
      </w:pPr>
    </w:p>
    <w:p w14:paraId="416C2004" w14:textId="77777777" w:rsidR="00623AF8" w:rsidRDefault="00623AF8" w:rsidP="00623AF8">
      <w:pPr>
        <w:pStyle w:val="berschrift1"/>
      </w:pPr>
      <w:bookmarkStart w:id="445" w:name="_Toc170377503"/>
      <w:bookmarkStart w:id="446" w:name="_Toc170983806"/>
      <w:r w:rsidRPr="0050443A">
        <w:t xml:space="preserve">Wiederaufbau in der Ukraine: die Relevanz des </w:t>
      </w:r>
      <w:r>
        <w:t>gemeinnützigen</w:t>
      </w:r>
      <w:r w:rsidRPr="0050443A">
        <w:t xml:space="preserve"> Wohnbaus</w:t>
      </w:r>
      <w:bookmarkEnd w:id="445"/>
      <w:bookmarkEnd w:id="446"/>
    </w:p>
    <w:p w14:paraId="6C150DBF" w14:textId="77777777" w:rsidR="00623AF8" w:rsidRPr="0094728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3D3975DA" w14:textId="77777777" w:rsidTr="00875DD0">
        <w:tc>
          <w:tcPr>
            <w:tcW w:w="9060" w:type="dxa"/>
            <w:shd w:val="clear" w:color="auto" w:fill="D9D9D9" w:themeFill="background1" w:themeFillShade="D9"/>
          </w:tcPr>
          <w:p w14:paraId="7EBD3F7C"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04B0DA7F" w14:textId="77777777" w:rsidTr="00875DD0">
        <w:tc>
          <w:tcPr>
            <w:tcW w:w="9060" w:type="dxa"/>
          </w:tcPr>
          <w:p w14:paraId="606B0522" w14:textId="77777777" w:rsidR="00623AF8" w:rsidRPr="0050443A" w:rsidRDefault="00623AF8" w:rsidP="00875DD0">
            <w:pPr>
              <w:spacing w:before="120" w:after="120"/>
              <w:jc w:val="both"/>
              <w:rPr>
                <w:rFonts w:ascii="Aptos" w:hAnsi="Aptos"/>
                <w:b/>
                <w:bCs/>
                <w:sz w:val="22"/>
                <w:szCs w:val="22"/>
                <w:lang w:val="de-DE"/>
              </w:rPr>
            </w:pPr>
            <w:r w:rsidRPr="00B106F3">
              <w:rPr>
                <w:rFonts w:ascii="Aptos" w:hAnsi="Aptos"/>
                <w:sz w:val="22"/>
                <w:szCs w:val="22"/>
              </w:rPr>
              <w:t xml:space="preserve">Der russische Angriffskrieg in der Ukraine hat zu erheblichen Zerstörungen und einem massiven Verlust von Wohnraum geführt. Daher sind Investitionen in den Wohnungsbau von entscheidender Bedeutung, um den Wiederaufbau und die Wiederherstellung der Lebensbedingungen der betroffenen Bevölkerung zu unterstützen. Darüber hinaus fördern Investitionen in den Wohnungsbau die soziale Stabilität und tragen zur langfristigen Entwicklung der Region bei. </w:t>
            </w:r>
            <w:r>
              <w:rPr>
                <w:rFonts w:ascii="Aptos" w:hAnsi="Aptos"/>
                <w:sz w:val="22"/>
                <w:szCs w:val="22"/>
              </w:rPr>
              <w:t>Gemeinnütziger Wohnungsbau bietet</w:t>
            </w:r>
            <w:r w:rsidRPr="00B106F3">
              <w:rPr>
                <w:rFonts w:ascii="Aptos" w:hAnsi="Aptos"/>
                <w:sz w:val="22"/>
                <w:szCs w:val="22"/>
              </w:rPr>
              <w:t xml:space="preserve"> Menschen eine sichere und stabile Wohnsituation und kurbeln die Wirtschaft an. </w:t>
            </w:r>
            <w:r w:rsidRPr="00FB5263">
              <w:rPr>
                <w:rFonts w:ascii="Aptos" w:hAnsi="Aptos"/>
                <w:b/>
                <w:bCs/>
                <w:sz w:val="22"/>
                <w:szCs w:val="22"/>
              </w:rPr>
              <w:t xml:space="preserve">Welche Rolle spielt der </w:t>
            </w:r>
            <w:r>
              <w:rPr>
                <w:rFonts w:ascii="Aptos" w:hAnsi="Aptos"/>
                <w:b/>
                <w:bCs/>
                <w:sz w:val="22"/>
                <w:szCs w:val="22"/>
              </w:rPr>
              <w:t>gemeinnützige</w:t>
            </w:r>
            <w:r w:rsidRPr="00FB5263">
              <w:rPr>
                <w:rFonts w:ascii="Aptos" w:hAnsi="Aptos"/>
                <w:b/>
                <w:bCs/>
                <w:sz w:val="22"/>
                <w:szCs w:val="22"/>
              </w:rPr>
              <w:t xml:space="preserve"> Wohnungsbau in den Entwicklungsplänen der Ukraine?</w:t>
            </w:r>
          </w:p>
        </w:tc>
      </w:tr>
      <w:tr w:rsidR="00623AF8" w:rsidRPr="0050443A" w14:paraId="12D29F59" w14:textId="77777777" w:rsidTr="00875DD0">
        <w:tc>
          <w:tcPr>
            <w:tcW w:w="9060" w:type="dxa"/>
            <w:shd w:val="clear" w:color="auto" w:fill="D9D9D9" w:themeFill="background1" w:themeFillShade="D9"/>
          </w:tcPr>
          <w:p w14:paraId="0FBAF841"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14E1ED46" w14:textId="77777777" w:rsidTr="00875DD0">
        <w:tc>
          <w:tcPr>
            <w:tcW w:w="9060" w:type="dxa"/>
          </w:tcPr>
          <w:p w14:paraId="3537C29E" w14:textId="77777777" w:rsidR="00623AF8" w:rsidRPr="00FB5263" w:rsidRDefault="00623AF8" w:rsidP="00F63BE8">
            <w:pPr>
              <w:pStyle w:val="Listenabsatz"/>
              <w:numPr>
                <w:ilvl w:val="0"/>
                <w:numId w:val="48"/>
              </w:numPr>
              <w:spacing w:before="120" w:after="120"/>
              <w:jc w:val="both"/>
              <w:rPr>
                <w:rFonts w:ascii="Aptos" w:hAnsi="Aptos"/>
                <w:sz w:val="22"/>
                <w:szCs w:val="22"/>
              </w:rPr>
            </w:pPr>
            <w:r w:rsidRPr="00FB5263">
              <w:rPr>
                <w:rFonts w:ascii="Aptos" w:hAnsi="Aptos"/>
                <w:sz w:val="22"/>
                <w:szCs w:val="22"/>
              </w:rPr>
              <w:t xml:space="preserve">Welche EU-Programme sind geplant, um die Bauwirtschaft in der Ukraine anzukurbeln? </w:t>
            </w:r>
          </w:p>
          <w:p w14:paraId="37320476" w14:textId="77777777" w:rsidR="00623AF8" w:rsidRPr="0050443A" w:rsidRDefault="00623AF8" w:rsidP="00F63BE8">
            <w:pPr>
              <w:pStyle w:val="Listenabsatz"/>
              <w:numPr>
                <w:ilvl w:val="0"/>
                <w:numId w:val="48"/>
              </w:numPr>
              <w:spacing w:before="120" w:after="120"/>
              <w:jc w:val="both"/>
              <w:rPr>
                <w:rFonts w:ascii="Aptos" w:hAnsi="Aptos"/>
                <w:sz w:val="22"/>
                <w:szCs w:val="22"/>
              </w:rPr>
            </w:pPr>
            <w:r w:rsidRPr="00FB5263">
              <w:rPr>
                <w:rFonts w:ascii="Aptos" w:hAnsi="Aptos"/>
                <w:sz w:val="22"/>
                <w:szCs w:val="22"/>
              </w:rPr>
              <w:t>Welche Initiativen und Kooperationen sind geplant, um bezahlbaren und barrierefreien Wohnraum zu sichern?</w:t>
            </w:r>
          </w:p>
        </w:tc>
      </w:tr>
    </w:tbl>
    <w:p w14:paraId="3A585811" w14:textId="77777777" w:rsidR="00623AF8"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69CB095D" w14:textId="77777777" w:rsidTr="00875DD0">
        <w:trPr>
          <w:trHeight w:val="277"/>
        </w:trPr>
        <w:tc>
          <w:tcPr>
            <w:tcW w:w="9066" w:type="dxa"/>
            <w:shd w:val="clear" w:color="auto" w:fill="D9D9D9"/>
          </w:tcPr>
          <w:p w14:paraId="6A376282"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2D332375" w14:textId="77777777" w:rsidR="00623AF8" w:rsidRDefault="00623AF8" w:rsidP="00623AF8">
      <w:pPr>
        <w:spacing w:after="120"/>
        <w:jc w:val="both"/>
        <w:rPr>
          <w:rFonts w:ascii="Aptos" w:hAnsi="Aptos"/>
          <w:bCs/>
          <w:sz w:val="22"/>
          <w:szCs w:val="22"/>
          <w:u w:val="single"/>
        </w:rPr>
      </w:pPr>
      <w:r w:rsidRPr="00B106F3">
        <w:rPr>
          <w:rFonts w:ascii="Aptos" w:hAnsi="Aptos"/>
          <w:sz w:val="22"/>
          <w:szCs w:val="22"/>
        </w:rPr>
        <w:t>Der seit Februar 2022 andauernde russische Angriffskrieg gegen die Ukraine hat zu enormem menschlichem Leid sowie verheerenden ökologischen und wirtschaftlichen Schäden geführt. Der Wiederaufbau der Ukraine erfordert umfangreiche Infrastrukturprogramme, um Wohlstand und Stabilität langfristig zu sichern. Dabei ist es von entscheidender Bedeutung, aus den Fehlern der Vergangenheit zu lernen, wie etwa den stetig steigenden Wohnkosten in den Ballungszentren europäischer Städte. Der Wiederaufbau sollte daher auf den erfolgreichen Konzepten des gemeinnützigen und kommunalen Wohnbaus aufbauen. Gemeinnützige Bauvereinigungen spielen eine zentrale Rolle für die soziale Stabilität, da sie leistbaren Wohnraum schaffen und damit verhindern, dass die Mietkosten überproportional steigen. Da sie nicht gewinnorientiert arbeiten, liegen die Mieten in der Regel unter dem Marktniveau und wirken somit dämpfend auf den gesamten Mietmarkt (</w:t>
      </w:r>
      <w:r w:rsidRPr="00B106F3">
        <w:rPr>
          <w:rFonts w:ascii="Aptos" w:hAnsi="Aptos"/>
          <w:i/>
          <w:iCs/>
          <w:sz w:val="22"/>
          <w:szCs w:val="22"/>
        </w:rPr>
        <w:t>Kostenmiete</w:t>
      </w:r>
      <w:r w:rsidRPr="00B106F3">
        <w:rPr>
          <w:rFonts w:ascii="Aptos" w:hAnsi="Aptos"/>
          <w:sz w:val="22"/>
          <w:szCs w:val="22"/>
        </w:rPr>
        <w:t xml:space="preserve">) </w:t>
      </w:r>
      <w:r w:rsidRPr="00526E9D">
        <w:rPr>
          <w:rFonts w:ascii="Aptos" w:hAnsi="Aptos"/>
          <w:sz w:val="22"/>
          <w:szCs w:val="22"/>
          <w:vertAlign w:val="subscript"/>
        </w:rPr>
        <w:t>(1)</w:t>
      </w:r>
      <w:r w:rsidRPr="00526E9D">
        <w:rPr>
          <w:rFonts w:ascii="Aptos" w:hAnsi="Aptos"/>
          <w:sz w:val="22"/>
          <w:szCs w:val="22"/>
        </w:rPr>
        <w:t xml:space="preserve">. EU-Programme und Wiederaufbaugelder sollten daher gezielt und zweckgebunden für den gemeinnützigen Wohnbau eingesetzt werden. </w:t>
      </w:r>
      <w:r w:rsidRPr="00B106F3">
        <w:rPr>
          <w:rFonts w:ascii="Aptos" w:hAnsi="Aptos"/>
          <w:sz w:val="22"/>
          <w:szCs w:val="22"/>
        </w:rPr>
        <w:t xml:space="preserve">Diese Mittel können dazu beitragen, eine nachhaltige und sozial ausgewogene Stadtentwicklung zu fördern und sicherzustellen, dass alle Bevölkerungsschichten Zugang zu leistbarem Wohnraum haben. Bezahlbarer Wohnraum </w:t>
      </w:r>
      <w:r>
        <w:rPr>
          <w:rFonts w:ascii="Aptos" w:hAnsi="Aptos"/>
          <w:sz w:val="22"/>
          <w:szCs w:val="22"/>
        </w:rPr>
        <w:t>ist aus Perspektive der</w:t>
      </w:r>
      <w:r w:rsidRPr="00B106F3">
        <w:rPr>
          <w:rFonts w:ascii="Aptos" w:hAnsi="Aptos"/>
          <w:sz w:val="22"/>
          <w:szCs w:val="22"/>
        </w:rPr>
        <w:t xml:space="preserve"> Daseinsvorsorge eine wesentliche Grundlage für die wirtschaftliche und soziale Entwicklung der Ukraine in einem starken und geeinten Europa. </w:t>
      </w:r>
    </w:p>
    <w:p w14:paraId="1DE3FDD9" w14:textId="77777777" w:rsidR="00623AF8" w:rsidRPr="001A1F08" w:rsidRDefault="00623AF8" w:rsidP="00F63BE8">
      <w:pPr>
        <w:pStyle w:val="Listenabsatz"/>
        <w:numPr>
          <w:ilvl w:val="0"/>
          <w:numId w:val="64"/>
        </w:numPr>
        <w:jc w:val="both"/>
        <w:rPr>
          <w:rFonts w:ascii="Aptos" w:hAnsi="Aptos"/>
          <w:sz w:val="18"/>
          <w:szCs w:val="18"/>
          <w:lang w:val="en-GB"/>
        </w:rPr>
      </w:pPr>
      <w:r w:rsidRPr="001A1F08">
        <w:rPr>
          <w:rFonts w:ascii="Aptos" w:hAnsi="Aptos"/>
          <w:sz w:val="18"/>
          <w:szCs w:val="18"/>
          <w:lang w:val="en-GB"/>
        </w:rPr>
        <w:t>Klien/Kössl et al. 2023: The Price-Damping Effect of Non-Profit Housing</w:t>
      </w:r>
    </w:p>
    <w:p w14:paraId="4E8E261A" w14:textId="77777777" w:rsidR="00623AF8" w:rsidRPr="001A1F08" w:rsidRDefault="00AC460E" w:rsidP="00623AF8">
      <w:pPr>
        <w:pStyle w:val="Listenabsatz"/>
        <w:ind w:left="708"/>
        <w:jc w:val="both"/>
        <w:rPr>
          <w:rFonts w:ascii="Aptos" w:hAnsi="Aptos"/>
          <w:sz w:val="18"/>
          <w:szCs w:val="18"/>
          <w:lang w:val="en-GB"/>
        </w:rPr>
      </w:pPr>
      <w:hyperlink r:id="rId121" w:anchor="download" w:history="1">
        <w:r w:rsidR="00623AF8" w:rsidRPr="001A1F08">
          <w:rPr>
            <w:rStyle w:val="Hyperlink"/>
            <w:rFonts w:ascii="Aptos" w:hAnsi="Aptos"/>
            <w:sz w:val="18"/>
            <w:szCs w:val="18"/>
            <w:lang w:val="en-GB"/>
          </w:rPr>
          <w:t>https://ideas.repec.org/p/wfo/rbrief/y2023i6.html#download</w:t>
        </w:r>
      </w:hyperlink>
    </w:p>
    <w:p w14:paraId="3E589D18" w14:textId="77777777" w:rsidR="00623AF8" w:rsidRPr="00AE6031" w:rsidRDefault="00623AF8" w:rsidP="00623AF8">
      <w:pPr>
        <w:rPr>
          <w:rFonts w:ascii="Aptos" w:hAnsi="Aptos"/>
          <w:b/>
          <w:iCs/>
          <w:sz w:val="22"/>
          <w:szCs w:val="22"/>
          <w:lang w:val="en-GB"/>
        </w:rPr>
      </w:pPr>
    </w:p>
    <w:p w14:paraId="688F7FE7" w14:textId="77777777" w:rsidR="00623AF8" w:rsidRPr="00AE6031" w:rsidRDefault="00623AF8" w:rsidP="00623AF8">
      <w:pPr>
        <w:rPr>
          <w:rFonts w:ascii="Aptos" w:hAnsi="Aptos"/>
          <w:bCs/>
          <w:sz w:val="22"/>
          <w:szCs w:val="22"/>
          <w:lang w:val="en-GB"/>
        </w:rPr>
      </w:pPr>
      <w:r w:rsidRPr="00AE6031">
        <w:rPr>
          <w:rFonts w:ascii="Aptos" w:hAnsi="Aptos"/>
          <w:bCs/>
          <w:sz w:val="22"/>
          <w:szCs w:val="22"/>
          <w:lang w:val="en-GB"/>
        </w:rPr>
        <w:br w:type="page"/>
      </w:r>
    </w:p>
    <w:p w14:paraId="642AA71E" w14:textId="77777777" w:rsidR="00623AF8" w:rsidRPr="00AE6031" w:rsidRDefault="00623AF8" w:rsidP="00623AF8">
      <w:pPr>
        <w:rPr>
          <w:rFonts w:ascii="Aptos" w:hAnsi="Aptos"/>
          <w:lang w:val="en-GB"/>
        </w:rPr>
      </w:pPr>
    </w:p>
    <w:p w14:paraId="535A20CF" w14:textId="77777777" w:rsidR="00623AF8" w:rsidRPr="00AE6031" w:rsidRDefault="00623AF8" w:rsidP="00623AF8">
      <w:pPr>
        <w:rPr>
          <w:rFonts w:ascii="Aptos" w:hAnsi="Aptos"/>
          <w:lang w:val="en-GB"/>
        </w:rPr>
      </w:pPr>
    </w:p>
    <w:p w14:paraId="43A98927" w14:textId="77777777" w:rsidR="00623AF8" w:rsidRDefault="00623AF8" w:rsidP="00623AF8">
      <w:pPr>
        <w:pStyle w:val="berschrift1"/>
      </w:pPr>
      <w:bookmarkStart w:id="447" w:name="_Toc170377504"/>
      <w:bookmarkStart w:id="448" w:name="_Toc170983807"/>
      <w:r w:rsidRPr="0050443A">
        <w:t>Leistbares Wohnen als Empfehlung im Europäischen Semester</w:t>
      </w:r>
      <w:bookmarkEnd w:id="447"/>
      <w:bookmarkEnd w:id="448"/>
    </w:p>
    <w:p w14:paraId="59FF82D8" w14:textId="77777777" w:rsidR="00623AF8" w:rsidRPr="0094728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7E38D22A" w14:textId="77777777" w:rsidTr="00875DD0">
        <w:tc>
          <w:tcPr>
            <w:tcW w:w="9060" w:type="dxa"/>
            <w:shd w:val="clear" w:color="auto" w:fill="D9D9D9" w:themeFill="background1" w:themeFillShade="D9"/>
          </w:tcPr>
          <w:p w14:paraId="3A4B84F7"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0B4B31C9" w14:textId="77777777" w:rsidTr="00875DD0">
        <w:tc>
          <w:tcPr>
            <w:tcW w:w="9060" w:type="dxa"/>
          </w:tcPr>
          <w:p w14:paraId="64E39EAD" w14:textId="77777777" w:rsidR="00623AF8" w:rsidRPr="0050443A" w:rsidRDefault="00623AF8" w:rsidP="00875DD0">
            <w:pPr>
              <w:spacing w:before="120" w:after="120"/>
              <w:jc w:val="both"/>
              <w:rPr>
                <w:rFonts w:ascii="Aptos" w:hAnsi="Aptos"/>
                <w:b/>
                <w:bCs/>
                <w:sz w:val="22"/>
                <w:szCs w:val="22"/>
                <w:lang w:val="de-DE"/>
              </w:rPr>
            </w:pPr>
            <w:r w:rsidRPr="00DD41B6">
              <w:rPr>
                <w:rFonts w:ascii="Aptos" w:hAnsi="Aptos"/>
                <w:sz w:val="22"/>
                <w:szCs w:val="22"/>
              </w:rPr>
              <w:t xml:space="preserve">Das Europäische Semester ist ein wirtschaftspolitisches Steuerungsinstrument zur Koordinierung und Überwachung der Haushaltspolitik der Mitgliedstaaten. Von besonderer Bedeutung sind in diesem Zusammenhang die jährlich erstellten länderspezifischen Empfehlungen für die Mitgliedsstaaten. Diese zielen darauf ab, wirtschaftliche Ungleichgewichte zu korrigieren, Reformen voranzutreiben und das Wachstum zu fördern. </w:t>
            </w:r>
            <w:r>
              <w:rPr>
                <w:rFonts w:ascii="Aptos" w:hAnsi="Aptos"/>
                <w:b/>
                <w:bCs/>
                <w:sz w:val="22"/>
                <w:szCs w:val="22"/>
              </w:rPr>
              <w:t>Planen Sie</w:t>
            </w:r>
            <w:r w:rsidRPr="0050443A">
              <w:rPr>
                <w:rFonts w:ascii="Aptos" w:hAnsi="Aptos"/>
                <w:b/>
                <w:bCs/>
                <w:sz w:val="22"/>
                <w:szCs w:val="22"/>
              </w:rPr>
              <w:t xml:space="preserve"> im Rahmen des Europäischen Semester das Thema leistbares Wohnen bei den Reform- und Investitionsplänen der nationalen Mitgliedsstaaten festzuschreiben?</w:t>
            </w:r>
          </w:p>
        </w:tc>
      </w:tr>
      <w:tr w:rsidR="00623AF8" w:rsidRPr="0050443A" w14:paraId="45DCB3A0" w14:textId="77777777" w:rsidTr="00875DD0">
        <w:tc>
          <w:tcPr>
            <w:tcW w:w="9060" w:type="dxa"/>
            <w:shd w:val="clear" w:color="auto" w:fill="D9D9D9" w:themeFill="background1" w:themeFillShade="D9"/>
          </w:tcPr>
          <w:p w14:paraId="5EC1A4D0"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518F5994" w14:textId="77777777" w:rsidTr="00875DD0">
        <w:tc>
          <w:tcPr>
            <w:tcW w:w="9060" w:type="dxa"/>
          </w:tcPr>
          <w:p w14:paraId="3EE3E8D3" w14:textId="77777777" w:rsidR="00623AF8" w:rsidRPr="00934E00" w:rsidRDefault="00623AF8" w:rsidP="00F63BE8">
            <w:pPr>
              <w:pStyle w:val="Listenabsatz"/>
              <w:numPr>
                <w:ilvl w:val="0"/>
                <w:numId w:val="48"/>
              </w:numPr>
              <w:spacing w:before="120" w:after="120"/>
              <w:jc w:val="both"/>
              <w:rPr>
                <w:rFonts w:ascii="Aptos" w:hAnsi="Aptos"/>
                <w:sz w:val="22"/>
                <w:szCs w:val="22"/>
              </w:rPr>
            </w:pPr>
            <w:r w:rsidRPr="00934E00">
              <w:rPr>
                <w:rFonts w:ascii="Aptos" w:hAnsi="Aptos"/>
                <w:sz w:val="22"/>
                <w:szCs w:val="22"/>
              </w:rPr>
              <w:t xml:space="preserve">Welche Rolle spielt Ihrer </w:t>
            </w:r>
            <w:r>
              <w:rPr>
                <w:rFonts w:ascii="Aptos" w:hAnsi="Aptos"/>
                <w:sz w:val="22"/>
                <w:szCs w:val="22"/>
              </w:rPr>
              <w:t>Auffassung</w:t>
            </w:r>
            <w:r w:rsidRPr="00934E00">
              <w:rPr>
                <w:rFonts w:ascii="Aptos" w:hAnsi="Aptos"/>
                <w:sz w:val="22"/>
                <w:szCs w:val="22"/>
              </w:rPr>
              <w:t xml:space="preserve"> nach das Europäische Semester bei der Steuerung von Politikbereichen, die bisher dem Subsidiaritätsprinzip unterliegen?</w:t>
            </w:r>
          </w:p>
          <w:p w14:paraId="4867CF7A" w14:textId="77777777" w:rsidR="00623AF8" w:rsidRPr="0050443A" w:rsidRDefault="00623AF8" w:rsidP="00F63BE8">
            <w:pPr>
              <w:pStyle w:val="Listenabsatz"/>
              <w:numPr>
                <w:ilvl w:val="0"/>
                <w:numId w:val="48"/>
              </w:numPr>
              <w:spacing w:before="120" w:after="120"/>
              <w:jc w:val="both"/>
              <w:rPr>
                <w:rFonts w:ascii="Aptos" w:hAnsi="Aptos"/>
                <w:sz w:val="22"/>
                <w:szCs w:val="22"/>
                <w:lang w:val="de-DE"/>
              </w:rPr>
            </w:pPr>
            <w:r w:rsidRPr="00934E00">
              <w:rPr>
                <w:rFonts w:ascii="Aptos" w:hAnsi="Aptos"/>
                <w:sz w:val="22"/>
                <w:szCs w:val="22"/>
              </w:rPr>
              <w:t xml:space="preserve">Welche anderen Steuerungsinstrumente sind </w:t>
            </w:r>
            <w:r>
              <w:rPr>
                <w:rFonts w:ascii="Aptos" w:hAnsi="Aptos"/>
                <w:sz w:val="22"/>
                <w:szCs w:val="22"/>
              </w:rPr>
              <w:t xml:space="preserve">in Ihren Augen </w:t>
            </w:r>
            <w:r w:rsidRPr="00934E00">
              <w:rPr>
                <w:rFonts w:ascii="Aptos" w:hAnsi="Aptos"/>
                <w:sz w:val="22"/>
                <w:szCs w:val="22"/>
              </w:rPr>
              <w:t>geeignet, um eine harmonisierte und auf Leistbarkeit ausgerichtete EU-Wohnungspolitik zu fördern?</w:t>
            </w:r>
          </w:p>
        </w:tc>
      </w:tr>
    </w:tbl>
    <w:p w14:paraId="036C6FF1" w14:textId="77777777" w:rsidR="00623AF8" w:rsidRPr="0050443A"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47E3695D" w14:textId="77777777" w:rsidTr="00875DD0">
        <w:trPr>
          <w:trHeight w:val="277"/>
        </w:trPr>
        <w:tc>
          <w:tcPr>
            <w:tcW w:w="9066" w:type="dxa"/>
            <w:shd w:val="clear" w:color="auto" w:fill="D9D9D9"/>
          </w:tcPr>
          <w:p w14:paraId="720F169D"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7A4DF703" w14:textId="77777777" w:rsidR="00623AF8" w:rsidRDefault="00623AF8" w:rsidP="00623AF8">
      <w:pPr>
        <w:jc w:val="both"/>
        <w:rPr>
          <w:rFonts w:ascii="Aptos" w:hAnsi="Aptos"/>
          <w:sz w:val="22"/>
          <w:szCs w:val="22"/>
        </w:rPr>
      </w:pPr>
      <w:r w:rsidRPr="00437609">
        <w:rPr>
          <w:rFonts w:ascii="Aptos" w:hAnsi="Aptos"/>
          <w:sz w:val="22"/>
          <w:szCs w:val="22"/>
        </w:rPr>
        <w:t xml:space="preserve">Die Ausgestaltung der Wohnungsmärkte liegt aufgrund des Subsidiaritätsprinzips primär in der Verantwortung der EU-Mitgliedstaaten. Die aktuell hohen Wohnkosten in den europäischen Ballungsräumen sollten jedoch als Warnsignal verstanden werden, dass bei überwiegend privatwirtschaftlich organisierten Wohnungsmärkten in Verbindung mit einer hohen Wohnungsnachfrage Marktversagen auftreten kann. Diese hohen Wohnkosten belasten die Gesamtwirtschaft erheblich und können im Extremfall zu Wohnungs- und Obdachlosigkeit führen. Vor diesem Hintergrund stellt sich die Frage, wie die EU eine harmonisierte und auf Leistbarkeit ausgerichtete EU-Wohnungspolitik etablieren könnte und welche Rolle das Europäische Semester in diesem Zusammenhang spielt. </w:t>
      </w:r>
      <w:r w:rsidRPr="00DD41B6">
        <w:rPr>
          <w:rFonts w:ascii="Aptos" w:hAnsi="Aptos"/>
          <w:sz w:val="22"/>
          <w:szCs w:val="22"/>
        </w:rPr>
        <w:t xml:space="preserve">Das Europäische Semester dient der Koordinierung der nationalen Haushalts- und Wirtschaftspolitiken der Mitgliedstaaten mit dem Ziel, die wirtschaftliche Stabilität und Wettbewerbsfähigkeit in der gesamten EU zu stärken </w:t>
      </w:r>
      <w:r w:rsidRPr="00437609">
        <w:rPr>
          <w:rFonts w:ascii="Aptos" w:hAnsi="Aptos"/>
          <w:sz w:val="22"/>
          <w:szCs w:val="22"/>
          <w:vertAlign w:val="subscript"/>
        </w:rPr>
        <w:t>(1).</w:t>
      </w:r>
      <w:r w:rsidRPr="00437609">
        <w:rPr>
          <w:rFonts w:ascii="Aptos" w:hAnsi="Aptos"/>
          <w:sz w:val="22"/>
          <w:szCs w:val="22"/>
        </w:rPr>
        <w:t xml:space="preserve"> </w:t>
      </w:r>
      <w:r>
        <w:rPr>
          <w:rFonts w:ascii="Aptos" w:hAnsi="Aptos"/>
          <w:sz w:val="22"/>
          <w:szCs w:val="22"/>
        </w:rPr>
        <w:t>Im Zuge der nationalen Reformempfehlungen werden</w:t>
      </w:r>
      <w:r w:rsidRPr="00DD41B6">
        <w:rPr>
          <w:rFonts w:ascii="Aptos" w:hAnsi="Aptos"/>
          <w:sz w:val="22"/>
          <w:szCs w:val="22"/>
        </w:rPr>
        <w:t xml:space="preserve"> verschiedene Faktoren berücksichtigt, darunter die öffentlichen Finanzen, die Beschäftigungslage, Investitionen in Forschung und Entwicklung sowie Fortschritte bei Strukturreformen. Ein wesentliches Merkmal des Europäischen Semesters ist sein präventiver Charakter. Durch d</w:t>
      </w:r>
      <w:r>
        <w:rPr>
          <w:rFonts w:ascii="Aptos" w:hAnsi="Aptos"/>
          <w:sz w:val="22"/>
          <w:szCs w:val="22"/>
        </w:rPr>
        <w:t>as</w:t>
      </w:r>
      <w:r w:rsidRPr="00DD41B6">
        <w:rPr>
          <w:rFonts w:ascii="Aptos" w:hAnsi="Aptos"/>
          <w:sz w:val="22"/>
          <w:szCs w:val="22"/>
        </w:rPr>
        <w:t xml:space="preserve"> frühzeitige </w:t>
      </w:r>
      <w:r>
        <w:rPr>
          <w:rFonts w:ascii="Aptos" w:hAnsi="Aptos"/>
          <w:sz w:val="22"/>
          <w:szCs w:val="22"/>
        </w:rPr>
        <w:t xml:space="preserve">Monitoring der Entwicklungen in den Mitgliedsstaaten </w:t>
      </w:r>
      <w:r w:rsidRPr="00DD41B6">
        <w:rPr>
          <w:rFonts w:ascii="Aptos" w:hAnsi="Aptos"/>
          <w:sz w:val="22"/>
          <w:szCs w:val="22"/>
        </w:rPr>
        <w:t>können potenzielle wirtschaftliche Risiken eingedämmt und die Stabilität des Euroraums insgesamt verbessert werden. Darüber hinaus dient das Europäische Semester als Mechanismus zur Förderung eines nachhaltigen Wachstums und zur Stärkung des sozialen Zusammenhalts in der gesamten EU. Aus Perspektive der Daseinsvorsorge stellt leistbares Wohnen einen wesentlichen Faktor für den wirtschaftlichen Erfolg der EU dar. Daher ist eine EU-Wohnungspolitik erforderlich, die sozial schwache Gruppen bei der Suche nach bezahlbarem Wohnraum unterstützt</w:t>
      </w:r>
      <w:r>
        <w:rPr>
          <w:rFonts w:ascii="Aptos" w:hAnsi="Aptos"/>
          <w:sz w:val="22"/>
          <w:szCs w:val="22"/>
        </w:rPr>
        <w:t xml:space="preserve"> und den Wohnungsbau in diese Richtung im Rahmen des europäischen Semesters empfiehlt</w:t>
      </w:r>
      <w:r w:rsidRPr="00DD41B6">
        <w:rPr>
          <w:rFonts w:ascii="Aptos" w:hAnsi="Aptos"/>
          <w:sz w:val="22"/>
          <w:szCs w:val="22"/>
        </w:rPr>
        <w:t>.</w:t>
      </w:r>
    </w:p>
    <w:p w14:paraId="1C0A3351" w14:textId="77777777" w:rsidR="00623AF8" w:rsidRDefault="00623AF8" w:rsidP="00623AF8">
      <w:pPr>
        <w:jc w:val="both"/>
        <w:rPr>
          <w:rFonts w:ascii="Times New Roman" w:eastAsia="Times New Roman" w:hAnsi="Times New Roman" w:cs="Times New Roman"/>
          <w:lang w:eastAsia="de-DE"/>
        </w:rPr>
      </w:pPr>
    </w:p>
    <w:p w14:paraId="4E5F5C67" w14:textId="77777777" w:rsidR="00623AF8" w:rsidRPr="001A1F08" w:rsidRDefault="00623AF8" w:rsidP="00F63BE8">
      <w:pPr>
        <w:pStyle w:val="Listenabsatz"/>
        <w:numPr>
          <w:ilvl w:val="0"/>
          <w:numId w:val="65"/>
        </w:numPr>
        <w:jc w:val="both"/>
        <w:rPr>
          <w:rFonts w:ascii="Aptos" w:hAnsi="Aptos"/>
          <w:sz w:val="18"/>
          <w:szCs w:val="18"/>
          <w:lang w:val="en-GB"/>
        </w:rPr>
      </w:pPr>
      <w:r>
        <w:rPr>
          <w:rFonts w:ascii="Aptos" w:hAnsi="Aptos"/>
          <w:sz w:val="18"/>
          <w:szCs w:val="18"/>
          <w:lang w:val="en-GB"/>
        </w:rPr>
        <w:t>European Commission 2024: The European Semester</w:t>
      </w:r>
    </w:p>
    <w:p w14:paraId="3B68BB2D" w14:textId="77777777" w:rsidR="00623AF8" w:rsidRPr="00437609" w:rsidRDefault="00AC460E" w:rsidP="00623AF8">
      <w:pPr>
        <w:pStyle w:val="Listenabsatz"/>
        <w:ind w:left="360"/>
        <w:jc w:val="both"/>
        <w:rPr>
          <w:rStyle w:val="Hyperlink"/>
          <w:rFonts w:ascii="Aptos" w:hAnsi="Aptos"/>
          <w:sz w:val="18"/>
          <w:szCs w:val="18"/>
          <w:lang w:val="en-GB"/>
        </w:rPr>
      </w:pPr>
      <w:hyperlink r:id="rId122" w:history="1">
        <w:r w:rsidR="00623AF8" w:rsidRPr="00437609">
          <w:rPr>
            <w:rStyle w:val="Hyperlink"/>
            <w:rFonts w:ascii="Aptos" w:hAnsi="Aptos"/>
            <w:sz w:val="18"/>
            <w:szCs w:val="18"/>
            <w:lang w:val="en-GB"/>
          </w:rPr>
          <w:t>https://commission.europa.eu/business-economy-euro/economic-and-fiscal-policy-coordination/european-semester_en</w:t>
        </w:r>
      </w:hyperlink>
    </w:p>
    <w:p w14:paraId="3BE18C6F" w14:textId="77777777" w:rsidR="00623AF8" w:rsidRPr="00437609" w:rsidRDefault="00623AF8" w:rsidP="00623AF8">
      <w:pPr>
        <w:rPr>
          <w:rFonts w:ascii="Times New Roman" w:eastAsia="Times New Roman" w:hAnsi="Times New Roman" w:cs="Times New Roman"/>
          <w:lang w:val="en-GB" w:eastAsia="de-DE"/>
        </w:rPr>
      </w:pPr>
    </w:p>
    <w:p w14:paraId="56D5450E" w14:textId="77777777" w:rsidR="00623AF8" w:rsidRPr="00437609" w:rsidRDefault="00623AF8" w:rsidP="00623AF8">
      <w:pPr>
        <w:pStyle w:val="Listenabsatz"/>
        <w:ind w:left="360"/>
        <w:jc w:val="both"/>
        <w:rPr>
          <w:rStyle w:val="Hyperlink"/>
          <w:rFonts w:ascii="Aptos" w:hAnsi="Aptos"/>
          <w:sz w:val="18"/>
          <w:szCs w:val="18"/>
          <w:lang w:val="en-GB"/>
        </w:rPr>
      </w:pPr>
    </w:p>
    <w:p w14:paraId="4EC715E8" w14:textId="77777777" w:rsidR="00623AF8" w:rsidRPr="00437609" w:rsidRDefault="00623AF8" w:rsidP="00623AF8">
      <w:pPr>
        <w:rPr>
          <w:lang w:val="en-GB"/>
        </w:rPr>
      </w:pPr>
    </w:p>
    <w:p w14:paraId="46A04DBB" w14:textId="77777777" w:rsidR="00623AF8" w:rsidRDefault="00623AF8" w:rsidP="00623AF8">
      <w:pPr>
        <w:pStyle w:val="berschrift1"/>
      </w:pPr>
      <w:bookmarkStart w:id="449" w:name="_Toc170377505"/>
      <w:bookmarkStart w:id="450" w:name="_Toc170983808"/>
      <w:r w:rsidRPr="0050443A">
        <w:t>Gemeinnütziger Wohnbau im Stabilitäts- und Wachstumspakt</w:t>
      </w:r>
      <w:bookmarkEnd w:id="449"/>
      <w:bookmarkEnd w:id="450"/>
    </w:p>
    <w:p w14:paraId="0ED2E0B8" w14:textId="77777777" w:rsidR="00623AF8" w:rsidRPr="0094728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664CC6BE" w14:textId="77777777" w:rsidTr="00875DD0">
        <w:tc>
          <w:tcPr>
            <w:tcW w:w="9060" w:type="dxa"/>
            <w:shd w:val="clear" w:color="auto" w:fill="D9D9D9" w:themeFill="background1" w:themeFillShade="D9"/>
          </w:tcPr>
          <w:p w14:paraId="4B03A7E5"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 xml:space="preserve">Frage </w:t>
            </w:r>
          </w:p>
        </w:tc>
      </w:tr>
      <w:tr w:rsidR="00623AF8" w:rsidRPr="0050443A" w14:paraId="5A081F75" w14:textId="77777777" w:rsidTr="00875DD0">
        <w:tc>
          <w:tcPr>
            <w:tcW w:w="9060" w:type="dxa"/>
          </w:tcPr>
          <w:p w14:paraId="2A715CF6" w14:textId="77777777" w:rsidR="00623AF8" w:rsidRPr="00934E00" w:rsidRDefault="00623AF8" w:rsidP="00875DD0">
            <w:pPr>
              <w:spacing w:before="120" w:after="120"/>
              <w:jc w:val="both"/>
              <w:rPr>
                <w:rFonts w:ascii="Aptos" w:hAnsi="Aptos"/>
                <w:b/>
                <w:bCs/>
                <w:sz w:val="22"/>
                <w:szCs w:val="22"/>
              </w:rPr>
            </w:pPr>
            <w:r w:rsidRPr="00DD41B6">
              <w:rPr>
                <w:rFonts w:ascii="Aptos" w:hAnsi="Aptos" w:cs="Segoe UI"/>
                <w:color w:val="0D0D0D"/>
                <w:sz w:val="22"/>
                <w:szCs w:val="22"/>
                <w:shd w:val="clear" w:color="auto" w:fill="FFFFFF"/>
              </w:rPr>
              <w:t xml:space="preserve">Der Stabilitäts- und Wachstumspakt der EU stellt zweifelsohne ein wichtiges Regelwerk zur Sicherung der Haushaltsdisziplin und der finanziellen Stabilität der Mitgliedstaaten der Europäischen Union dar. Im Hinblick auf notwendige Zukunftsinvestitionen und die langfristige Sicherung guter Lebensbedingungen können zu enge fiskalische Grenzen zu Problemen führen. Vor dem Hintergrund des EU-weiten Mangels an leistbarem Wohnraum sind nachhaltige Wohnbauoffensiven im gemeinnützigen und kommunalen Wohnbau unerlässlich. </w:t>
            </w:r>
            <w:r w:rsidRPr="00934E00">
              <w:rPr>
                <w:rFonts w:ascii="Aptos" w:hAnsi="Aptos" w:cs="Segoe UI"/>
                <w:b/>
                <w:bCs/>
                <w:color w:val="0D0D0D"/>
                <w:sz w:val="22"/>
                <w:szCs w:val="22"/>
                <w:shd w:val="clear" w:color="auto" w:fill="FFFFFF"/>
              </w:rPr>
              <w:t>Planen Sie eine Regelung, die öffentliche Investitionen in den sozial-ökologischen Wohnbau vom Stabilitäts- und Wachstumspakt ausnimmt?</w:t>
            </w:r>
          </w:p>
        </w:tc>
      </w:tr>
      <w:tr w:rsidR="00623AF8" w:rsidRPr="0050443A" w14:paraId="4C00A3F4" w14:textId="77777777" w:rsidTr="00875DD0">
        <w:tc>
          <w:tcPr>
            <w:tcW w:w="9060" w:type="dxa"/>
            <w:shd w:val="clear" w:color="auto" w:fill="D9D9D9" w:themeFill="background1" w:themeFillShade="D9"/>
          </w:tcPr>
          <w:p w14:paraId="04ABC065"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0FB500B4" w14:textId="77777777" w:rsidTr="00875DD0">
        <w:tc>
          <w:tcPr>
            <w:tcW w:w="9060" w:type="dxa"/>
          </w:tcPr>
          <w:p w14:paraId="4F9EA97F" w14:textId="77777777" w:rsidR="00623AF8" w:rsidRPr="001B32EF" w:rsidRDefault="00623AF8" w:rsidP="00F63BE8">
            <w:pPr>
              <w:pStyle w:val="Listenabsatz"/>
              <w:numPr>
                <w:ilvl w:val="0"/>
                <w:numId w:val="19"/>
              </w:numPr>
              <w:spacing w:before="120" w:after="120"/>
              <w:jc w:val="both"/>
              <w:rPr>
                <w:rFonts w:ascii="Aptos" w:hAnsi="Aptos"/>
                <w:sz w:val="22"/>
                <w:szCs w:val="22"/>
                <w:lang w:val="de-DE"/>
              </w:rPr>
            </w:pPr>
            <w:r w:rsidRPr="001B32EF">
              <w:rPr>
                <w:rFonts w:ascii="Aptos" w:hAnsi="Aptos"/>
                <w:sz w:val="22"/>
                <w:szCs w:val="22"/>
                <w:lang w:val="de-DE"/>
              </w:rPr>
              <w:t>Wie wollen Sie sicherstellen, dass die Wiedereinführung des Stabilitäts- und Wachstumspaktes den sozialen und kommunalen Wohnbau nicht schwächt?</w:t>
            </w:r>
          </w:p>
          <w:p w14:paraId="14D94F85" w14:textId="77777777" w:rsidR="00623AF8" w:rsidRPr="001B32EF" w:rsidRDefault="00623AF8" w:rsidP="00F63BE8">
            <w:pPr>
              <w:pStyle w:val="Listenabsatz"/>
              <w:numPr>
                <w:ilvl w:val="0"/>
                <w:numId w:val="19"/>
              </w:numPr>
              <w:spacing w:before="120" w:after="120"/>
              <w:jc w:val="both"/>
              <w:rPr>
                <w:rFonts w:ascii="Aptos" w:hAnsi="Aptos"/>
                <w:sz w:val="22"/>
                <w:szCs w:val="22"/>
                <w:lang w:val="de-DE"/>
              </w:rPr>
            </w:pPr>
            <w:r w:rsidRPr="001B32EF">
              <w:rPr>
                <w:rFonts w:ascii="Aptos" w:hAnsi="Aptos"/>
                <w:sz w:val="22"/>
                <w:szCs w:val="22"/>
                <w:lang w:val="de-DE"/>
              </w:rPr>
              <w:t xml:space="preserve">Planen Sie neue EU-Programme und EU-Mittel für öffentliche, kommunale und </w:t>
            </w:r>
            <w:r w:rsidRPr="00325640">
              <w:rPr>
                <w:rFonts w:ascii="Aptos" w:hAnsi="Aptos"/>
                <w:sz w:val="22"/>
                <w:szCs w:val="22"/>
              </w:rPr>
              <w:t>gemein</w:t>
            </w:r>
            <w:r>
              <w:rPr>
                <w:rFonts w:ascii="Aptos" w:hAnsi="Aptos"/>
                <w:sz w:val="22"/>
                <w:szCs w:val="22"/>
              </w:rPr>
              <w:t>nützige</w:t>
            </w:r>
            <w:r w:rsidRPr="00325640">
              <w:rPr>
                <w:rFonts w:ascii="Aptos" w:hAnsi="Aptos"/>
                <w:sz w:val="22"/>
                <w:szCs w:val="22"/>
              </w:rPr>
              <w:t xml:space="preserve"> </w:t>
            </w:r>
            <w:r w:rsidRPr="001B32EF">
              <w:rPr>
                <w:rFonts w:ascii="Aptos" w:hAnsi="Aptos"/>
                <w:sz w:val="22"/>
                <w:szCs w:val="22"/>
                <w:lang w:val="de-DE"/>
              </w:rPr>
              <w:t>Akteure, die leistbaren Wohnraum schaffen?</w:t>
            </w:r>
          </w:p>
          <w:p w14:paraId="6FCC67BF" w14:textId="77777777" w:rsidR="00623AF8" w:rsidRPr="00934E00" w:rsidRDefault="00623AF8" w:rsidP="00F63BE8">
            <w:pPr>
              <w:pStyle w:val="Listenabsatz"/>
              <w:numPr>
                <w:ilvl w:val="0"/>
                <w:numId w:val="19"/>
              </w:numPr>
              <w:spacing w:before="120" w:after="120"/>
              <w:jc w:val="both"/>
              <w:rPr>
                <w:rFonts w:ascii="Aptos" w:hAnsi="Aptos"/>
                <w:sz w:val="22"/>
                <w:szCs w:val="22"/>
                <w:lang w:val="de-DE"/>
              </w:rPr>
            </w:pPr>
            <w:r w:rsidRPr="001B32EF">
              <w:rPr>
                <w:rFonts w:ascii="Aptos" w:hAnsi="Aptos"/>
                <w:sz w:val="22"/>
                <w:szCs w:val="22"/>
                <w:lang w:val="de-DE"/>
              </w:rPr>
              <w:t xml:space="preserve">Welche Rolle kommt Ihrer Meinung nach der Europäischen Investitionsbank zu, um das Modell des </w:t>
            </w:r>
            <w:r w:rsidRPr="00325640">
              <w:rPr>
                <w:rFonts w:ascii="Aptos" w:hAnsi="Aptos"/>
                <w:sz w:val="22"/>
                <w:szCs w:val="22"/>
              </w:rPr>
              <w:t>gemein</w:t>
            </w:r>
            <w:r>
              <w:rPr>
                <w:rFonts w:ascii="Aptos" w:hAnsi="Aptos"/>
                <w:sz w:val="22"/>
                <w:szCs w:val="22"/>
              </w:rPr>
              <w:t>nützigen</w:t>
            </w:r>
            <w:r w:rsidRPr="001B32EF">
              <w:rPr>
                <w:rFonts w:ascii="Aptos" w:hAnsi="Aptos"/>
                <w:sz w:val="22"/>
                <w:szCs w:val="22"/>
                <w:lang w:val="de-DE"/>
              </w:rPr>
              <w:t xml:space="preserve"> Wohnbaus stärker zu fördern und zu finanzieren?</w:t>
            </w:r>
          </w:p>
        </w:tc>
      </w:tr>
    </w:tbl>
    <w:p w14:paraId="2DE8A5AD" w14:textId="77777777" w:rsidR="00623AF8"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1E5E77AD" w14:textId="77777777" w:rsidTr="00875DD0">
        <w:trPr>
          <w:trHeight w:val="277"/>
        </w:trPr>
        <w:tc>
          <w:tcPr>
            <w:tcW w:w="9066" w:type="dxa"/>
            <w:shd w:val="clear" w:color="auto" w:fill="D9D9D9"/>
          </w:tcPr>
          <w:p w14:paraId="51289EBC"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2921F879" w14:textId="77777777" w:rsidR="00623AF8" w:rsidRDefault="00623AF8" w:rsidP="00623AF8">
      <w:pPr>
        <w:jc w:val="both"/>
        <w:rPr>
          <w:rFonts w:ascii="Aptos" w:hAnsi="Aptos"/>
          <w:sz w:val="22"/>
          <w:szCs w:val="22"/>
        </w:rPr>
      </w:pPr>
      <w:r w:rsidRPr="00DD41B6">
        <w:rPr>
          <w:rFonts w:ascii="Aptos" w:hAnsi="Aptos"/>
          <w:sz w:val="22"/>
          <w:szCs w:val="22"/>
        </w:rPr>
        <w:t xml:space="preserve">Der Stabilitäts- und Wachstumspakt der Europäischen Union ist ein im Vertrag von Amsterdam verankertes Regelwerk, das im Jahr 1999 eingeführt wurde. Der Pakt dient der Gewährleistung der Haushaltsdisziplin der Mitgliedstaaten sowie der Sicherung der finanziellen Stabilität der EU insgesamt und bestimmt Kriterien und Verfahren, die gewährleisten sollen, dass die Mitgliedstaaten ihre Haushaltsdefizite und ihre Verschuldung auf nachhaltige Weise kontrollieren. Insbesondere vor dem Hintergrund des EU-weiten Mangels an leistbarem Wohnraum sind nachhaltige Wohnbauoffensiven im gemeinnützigen und kommunalen Wohnbau dringend erforderlich. Daher sollte der Stabilitäts- und Wachstumspakt so gestaltet sein, dass er solche wichtigen sozialen Investitionen ermöglicht. Darüber hinaus sind weitere EU-Investitionsprogramme in Form von Zuschüssen und Darlehen notwendig, um ausreichend sozial-ökologischen Wohnraum zu schaffen.  Aus der Perspektive der Daseinsvorsorge ist es von entscheidender Bedeutung, dass gemeinnützige und kommunale Akteure in ihrer wichtigen Rolle bei der Bereitstellung von leistbarem Wohnraum gestärkt werden. </w:t>
      </w:r>
      <w:r>
        <w:rPr>
          <w:rFonts w:ascii="Aptos" w:hAnsi="Aptos"/>
          <w:sz w:val="22"/>
          <w:szCs w:val="22"/>
        </w:rPr>
        <w:t xml:space="preserve">Somit sollte eine Überarbeitung des Pakts angedacht werden und andererseits </w:t>
      </w:r>
      <w:r w:rsidRPr="00DD41B6">
        <w:rPr>
          <w:rFonts w:ascii="Aptos" w:hAnsi="Aptos"/>
          <w:sz w:val="22"/>
          <w:szCs w:val="22"/>
        </w:rPr>
        <w:t xml:space="preserve">EU-Investitionsprogrammen </w:t>
      </w:r>
      <w:r>
        <w:rPr>
          <w:rFonts w:ascii="Aptos" w:hAnsi="Aptos"/>
          <w:sz w:val="22"/>
          <w:szCs w:val="22"/>
        </w:rPr>
        <w:t xml:space="preserve">entwickelt werden, damit </w:t>
      </w:r>
      <w:r w:rsidRPr="00DD41B6">
        <w:rPr>
          <w:rFonts w:ascii="Aptos" w:hAnsi="Aptos"/>
          <w:sz w:val="22"/>
          <w:szCs w:val="22"/>
        </w:rPr>
        <w:t>die erforderlichen Ressourcen bereitgestellt werden, um den Herausforderungen im Wohnungsbau erfolgreich zu begegnen.</w:t>
      </w:r>
    </w:p>
    <w:p w14:paraId="1745FE85" w14:textId="77777777" w:rsidR="00623AF8" w:rsidRPr="00357B04" w:rsidRDefault="00623AF8" w:rsidP="00623AF8">
      <w:pPr>
        <w:jc w:val="both"/>
        <w:rPr>
          <w:rFonts w:ascii="Aptos" w:hAnsi="Aptos"/>
          <w:sz w:val="22"/>
          <w:szCs w:val="22"/>
        </w:rPr>
      </w:pPr>
    </w:p>
    <w:p w14:paraId="7341EF82" w14:textId="77777777" w:rsidR="00623AF8" w:rsidRPr="001A1F08" w:rsidRDefault="00623AF8" w:rsidP="00F63BE8">
      <w:pPr>
        <w:pStyle w:val="Listenabsatz"/>
        <w:numPr>
          <w:ilvl w:val="0"/>
          <w:numId w:val="66"/>
        </w:numPr>
        <w:jc w:val="both"/>
        <w:rPr>
          <w:rFonts w:ascii="Aptos" w:hAnsi="Aptos"/>
          <w:sz w:val="18"/>
          <w:szCs w:val="18"/>
          <w:lang w:val="en-GB"/>
        </w:rPr>
      </w:pPr>
      <w:r>
        <w:rPr>
          <w:rFonts w:ascii="Aptos" w:hAnsi="Aptos"/>
          <w:sz w:val="18"/>
          <w:szCs w:val="18"/>
          <w:lang w:val="en-GB"/>
        </w:rPr>
        <w:t>Treaty of Amsterdam</w:t>
      </w:r>
    </w:p>
    <w:p w14:paraId="438E3B19" w14:textId="77777777" w:rsidR="00623AF8" w:rsidRPr="00437609" w:rsidRDefault="00AC460E" w:rsidP="00623AF8">
      <w:pPr>
        <w:pStyle w:val="Listenabsatz"/>
        <w:ind w:left="360"/>
        <w:jc w:val="both"/>
        <w:rPr>
          <w:rStyle w:val="Hyperlink"/>
          <w:rFonts w:ascii="Aptos" w:hAnsi="Aptos"/>
          <w:sz w:val="18"/>
          <w:szCs w:val="18"/>
          <w:lang w:val="en-GB"/>
        </w:rPr>
      </w:pPr>
      <w:hyperlink r:id="rId123" w:history="1">
        <w:r w:rsidR="00623AF8">
          <w:rPr>
            <w:rStyle w:val="Hyperlink"/>
            <w:rFonts w:ascii="Aptos" w:hAnsi="Aptos"/>
            <w:sz w:val="18"/>
            <w:szCs w:val="18"/>
            <w:lang w:val="en-GB"/>
          </w:rPr>
          <w:t>https://eur-lex.europa.eu/legal-content/EN/TXT/PDF/?uri=CELEX:11997D/TXT</w:t>
        </w:r>
      </w:hyperlink>
    </w:p>
    <w:p w14:paraId="427E0513" w14:textId="77777777" w:rsidR="00623AF8" w:rsidRPr="00357B04" w:rsidRDefault="00623AF8" w:rsidP="00623AF8">
      <w:pPr>
        <w:rPr>
          <w:lang w:val="en-GB"/>
        </w:rPr>
      </w:pPr>
    </w:p>
    <w:p w14:paraId="77957F51" w14:textId="77777777" w:rsidR="00623AF8" w:rsidRPr="00DD41B6" w:rsidRDefault="00623AF8" w:rsidP="00623AF8">
      <w:pPr>
        <w:rPr>
          <w:rFonts w:ascii="Aptos" w:hAnsi="Aptos"/>
          <w:lang w:val="en-GB"/>
        </w:rPr>
      </w:pPr>
    </w:p>
    <w:p w14:paraId="3D424953" w14:textId="77777777" w:rsidR="00623AF8" w:rsidRDefault="00623AF8" w:rsidP="00623AF8">
      <w:pPr>
        <w:rPr>
          <w:rFonts w:ascii="Aptos" w:hAnsi="Aptos"/>
          <w:lang w:val="en-GB"/>
        </w:rPr>
      </w:pPr>
    </w:p>
    <w:p w14:paraId="3303DB95" w14:textId="77777777" w:rsidR="00623AF8" w:rsidRDefault="00623AF8" w:rsidP="00623AF8">
      <w:pPr>
        <w:rPr>
          <w:rFonts w:ascii="Aptos" w:hAnsi="Aptos"/>
          <w:lang w:val="en-GB"/>
        </w:rPr>
      </w:pPr>
    </w:p>
    <w:p w14:paraId="360BA238" w14:textId="77777777" w:rsidR="00623AF8" w:rsidRPr="00DD41B6" w:rsidRDefault="00623AF8" w:rsidP="00623AF8">
      <w:pPr>
        <w:rPr>
          <w:rFonts w:ascii="Aptos" w:hAnsi="Aptos"/>
          <w:lang w:val="en-GB"/>
        </w:rPr>
      </w:pPr>
    </w:p>
    <w:p w14:paraId="26F00668" w14:textId="77777777" w:rsidR="00BA190B" w:rsidRPr="00100495" w:rsidRDefault="00BA190B" w:rsidP="00623AF8">
      <w:pPr>
        <w:pStyle w:val="berschrift1"/>
        <w:rPr>
          <w:lang w:val="en-GB"/>
        </w:rPr>
      </w:pPr>
      <w:bookmarkStart w:id="451" w:name="_Toc170377506"/>
      <w:bookmarkStart w:id="452" w:name="_Toc170983809"/>
    </w:p>
    <w:p w14:paraId="775B15EF" w14:textId="065C8892" w:rsidR="00623AF8" w:rsidRDefault="00623AF8" w:rsidP="00623AF8">
      <w:pPr>
        <w:pStyle w:val="berschrift1"/>
      </w:pPr>
      <w:r w:rsidRPr="0050443A">
        <w:t xml:space="preserve">Objektförderung </w:t>
      </w:r>
      <w:r>
        <w:t xml:space="preserve">vor </w:t>
      </w:r>
      <w:r w:rsidRPr="0050443A">
        <w:t>Subjektförderung im Wohnbau</w:t>
      </w:r>
      <w:bookmarkEnd w:id="451"/>
      <w:bookmarkEnd w:id="452"/>
    </w:p>
    <w:p w14:paraId="7C65589F" w14:textId="77777777" w:rsidR="00623AF8" w:rsidRPr="0094728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15A50683" w14:textId="77777777" w:rsidTr="00875DD0">
        <w:tc>
          <w:tcPr>
            <w:tcW w:w="9060" w:type="dxa"/>
            <w:shd w:val="clear" w:color="auto" w:fill="D9D9D9" w:themeFill="background1" w:themeFillShade="D9"/>
          </w:tcPr>
          <w:p w14:paraId="5705D40E"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13B06F38" w14:textId="77777777" w:rsidTr="00875DD0">
        <w:tc>
          <w:tcPr>
            <w:tcW w:w="9060" w:type="dxa"/>
          </w:tcPr>
          <w:p w14:paraId="76F798DE" w14:textId="77777777" w:rsidR="00623AF8" w:rsidRPr="00DD3218" w:rsidRDefault="00623AF8" w:rsidP="00875DD0">
            <w:pPr>
              <w:spacing w:before="120" w:after="120"/>
              <w:jc w:val="both"/>
              <w:rPr>
                <w:rFonts w:ascii="Aptos" w:hAnsi="Aptos"/>
                <w:b/>
                <w:bCs/>
                <w:sz w:val="22"/>
                <w:szCs w:val="22"/>
              </w:rPr>
            </w:pPr>
            <w:r w:rsidRPr="00DD41B6">
              <w:rPr>
                <w:rFonts w:ascii="Aptos" w:hAnsi="Aptos" w:cs="Segoe UI"/>
                <w:color w:val="0D0D0D"/>
                <w:sz w:val="22"/>
                <w:szCs w:val="22"/>
                <w:shd w:val="clear" w:color="auto" w:fill="FFFFFF"/>
              </w:rPr>
              <w:t xml:space="preserve">Die Objektförderung umfasst direkte finanzielle Unterstützung für den Bau oder die Modernisierung von Wohnungen und Gebäuden. Die Subjektförderung hingegen zielt auf finanzielle Unterstützung oder Anreize für Einzelpersonen oder Haushalte ab. Kritiker:innen der Subjektförderung weisen darauf hin, dass diese Förderung für sozial vulnerable Personengruppen nicht effizient und effektiv ist. Der Nutzen ist kurzfristig und kommt </w:t>
            </w:r>
            <w:r>
              <w:rPr>
                <w:rFonts w:ascii="Aptos" w:hAnsi="Aptos" w:cs="Segoe UI"/>
                <w:color w:val="0D0D0D"/>
                <w:sz w:val="22"/>
                <w:szCs w:val="22"/>
                <w:shd w:val="clear" w:color="auto" w:fill="FFFFFF"/>
              </w:rPr>
              <w:t xml:space="preserve">in den meisten Fällen </w:t>
            </w:r>
            <w:r w:rsidRPr="00DD41B6">
              <w:rPr>
                <w:rFonts w:ascii="Aptos" w:hAnsi="Aptos" w:cs="Segoe UI"/>
                <w:color w:val="0D0D0D"/>
                <w:sz w:val="22"/>
                <w:szCs w:val="22"/>
                <w:shd w:val="clear" w:color="auto" w:fill="FFFFFF"/>
              </w:rPr>
              <w:t>direkt den Eigentümer:innen zugute, ohne dass diese Mittel nachhaltig investiert werden.</w:t>
            </w:r>
            <w:r>
              <w:rPr>
                <w:rFonts w:ascii="Aptos" w:hAnsi="Aptos" w:cs="Segoe UI"/>
                <w:color w:val="0D0D0D"/>
                <w:sz w:val="22"/>
                <w:szCs w:val="22"/>
                <w:shd w:val="clear" w:color="auto" w:fill="FFFFFF"/>
              </w:rPr>
              <w:t xml:space="preserve"> </w:t>
            </w:r>
            <w:r w:rsidRPr="00DD3218">
              <w:rPr>
                <w:rFonts w:ascii="Aptos" w:hAnsi="Aptos" w:cs="Segoe UI"/>
                <w:b/>
                <w:bCs/>
                <w:color w:val="0D0D0D"/>
                <w:sz w:val="22"/>
                <w:szCs w:val="22"/>
                <w:shd w:val="clear" w:color="auto" w:fill="FFFFFF"/>
              </w:rPr>
              <w:t>Sehen Sie eine Anpassung des Beihilferechts vor, um die staatlichen Förderungen im Wohnungsbau von Förderungen, die sich auf die Mieter:innen beziehen (Subjektförderung), auf Förderungen für bauliche Maßnahmen und Infrastruktur (Objektförderung) umzulenken?</w:t>
            </w:r>
          </w:p>
        </w:tc>
      </w:tr>
      <w:tr w:rsidR="00623AF8" w:rsidRPr="0050443A" w14:paraId="1A2D1DCF" w14:textId="77777777" w:rsidTr="00875DD0">
        <w:tc>
          <w:tcPr>
            <w:tcW w:w="9060" w:type="dxa"/>
            <w:shd w:val="clear" w:color="auto" w:fill="D9D9D9" w:themeFill="background1" w:themeFillShade="D9"/>
          </w:tcPr>
          <w:p w14:paraId="72A7607A"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7788E938" w14:textId="77777777" w:rsidTr="00875DD0">
        <w:tc>
          <w:tcPr>
            <w:tcW w:w="9060" w:type="dxa"/>
          </w:tcPr>
          <w:p w14:paraId="4FDD60D8" w14:textId="77777777" w:rsidR="00623AF8" w:rsidRPr="00DD3218" w:rsidRDefault="00623AF8" w:rsidP="00F63BE8">
            <w:pPr>
              <w:pStyle w:val="Listenabsatz"/>
              <w:numPr>
                <w:ilvl w:val="0"/>
                <w:numId w:val="52"/>
              </w:numPr>
              <w:spacing w:before="120" w:after="120"/>
              <w:jc w:val="both"/>
              <w:rPr>
                <w:rFonts w:ascii="Aptos" w:hAnsi="Aptos"/>
                <w:sz w:val="22"/>
                <w:szCs w:val="22"/>
              </w:rPr>
            </w:pPr>
            <w:r w:rsidRPr="00DD3218">
              <w:rPr>
                <w:rFonts w:ascii="Aptos" w:hAnsi="Aptos"/>
                <w:sz w:val="22"/>
                <w:szCs w:val="22"/>
              </w:rPr>
              <w:t>Planen Sie EU-Programme und Förderungen, die auf die Bereitstellung von leistbarem Wohnraum für sozial schwache Gruppen abzielen?</w:t>
            </w:r>
          </w:p>
          <w:p w14:paraId="7AD925B7" w14:textId="77777777" w:rsidR="00623AF8" w:rsidRPr="00DD3218" w:rsidRDefault="00623AF8" w:rsidP="00F63BE8">
            <w:pPr>
              <w:pStyle w:val="Listenabsatz"/>
              <w:numPr>
                <w:ilvl w:val="0"/>
                <w:numId w:val="52"/>
              </w:numPr>
              <w:spacing w:before="120" w:after="120"/>
              <w:jc w:val="both"/>
              <w:rPr>
                <w:rFonts w:ascii="Aptos" w:hAnsi="Aptos"/>
                <w:sz w:val="22"/>
                <w:szCs w:val="22"/>
              </w:rPr>
            </w:pPr>
            <w:r w:rsidRPr="00DD3218">
              <w:rPr>
                <w:rFonts w:ascii="Aptos" w:hAnsi="Aptos"/>
                <w:sz w:val="22"/>
                <w:szCs w:val="22"/>
              </w:rPr>
              <w:t>Wie wollen Sie sicherstellen, dass die Mittel für sozial vulnerable Gruppen in Form von Subjektförderungen keine Rebound-Effekte auslösen? (z.B. Miet- und Wohnungspreise steigen weiter)</w:t>
            </w:r>
          </w:p>
        </w:tc>
      </w:tr>
    </w:tbl>
    <w:p w14:paraId="5A680067" w14:textId="77777777" w:rsidR="00623AF8" w:rsidRDefault="00623AF8" w:rsidP="00623AF8">
      <w:pPr>
        <w:spacing w:after="120"/>
        <w:jc w:val="both"/>
        <w:rPr>
          <w:rFonts w:ascii="Times New Roman" w:eastAsia="Times New Roman" w:hAnsi="Times New Roman" w:cs="Times New Roman"/>
          <w:lang w:eastAsia="de-DE"/>
        </w:rPr>
      </w:pPr>
    </w:p>
    <w:tbl>
      <w:tblPr>
        <w:tblStyle w:val="TableNormal2"/>
        <w:tblW w:w="0" w:type="auto"/>
        <w:tblLayout w:type="fixed"/>
        <w:tblLook w:val="01E0" w:firstRow="1" w:lastRow="1" w:firstColumn="1" w:lastColumn="1" w:noHBand="0" w:noVBand="0"/>
      </w:tblPr>
      <w:tblGrid>
        <w:gridCol w:w="9066"/>
      </w:tblGrid>
      <w:tr w:rsidR="00623AF8" w:rsidRPr="009B5839" w14:paraId="6E78D101" w14:textId="77777777" w:rsidTr="00875DD0">
        <w:trPr>
          <w:trHeight w:val="277"/>
        </w:trPr>
        <w:tc>
          <w:tcPr>
            <w:tcW w:w="9066" w:type="dxa"/>
            <w:shd w:val="clear" w:color="auto" w:fill="D9D9D9"/>
          </w:tcPr>
          <w:p w14:paraId="62E46162"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2BF6FC7D" w14:textId="77777777" w:rsidR="00623AF8" w:rsidRPr="0050443A" w:rsidRDefault="00623AF8" w:rsidP="00623AF8">
      <w:pPr>
        <w:jc w:val="both"/>
        <w:rPr>
          <w:rFonts w:ascii="Aptos" w:hAnsi="Aptos"/>
          <w:bCs/>
          <w:sz w:val="22"/>
          <w:szCs w:val="22"/>
        </w:rPr>
      </w:pPr>
      <w:r w:rsidRPr="00353C4A">
        <w:rPr>
          <w:rFonts w:ascii="Aptos" w:hAnsi="Aptos"/>
          <w:sz w:val="22"/>
          <w:szCs w:val="22"/>
        </w:rPr>
        <w:t>Die Unterscheidung zwischen Objekt- und Subjektförderung im Bereich des Wohnungsbaus ist keinesfalls unerheblich.  Im Rahmen der Objektförderung erfolgt eine direkte finanzielle Unterstützung für den Bau oder die Modernisierung von Wohnungen und Gebäuden. Die Subjektförderung hingegen zielt auf finanzielle Unterstützung oder Anreize für Einzelpersonen oder Haushalte ab. Kritiker der Subjektförderung weisen darauf hin, dass diese Art der Förderung für sozial vulnerablen Personengruppen möglicherweise nicht effizient und effektiv ist. Ihre Argumentation basiert auf der Annahme, dass Subjektförderungen für sozial schwächere Gruppen keinen langfristigen Nutzen bringen und direkt den Eigentümer zugutekommen, ohne dass diese Mittel nachhaltig investiert werden. Im Gegensatz zur Subjektförderung, die sich auf die Förderung einzelner Personen konzentriert, zielt die Objektförderung auf bauliche Maßnahmen und Infrastruktur ab. Dadurch können die Wohnsituation langfristig verbessert und nachhaltige Investitionen in den Wohnungsmarkt getätigt werden. Aus Perspektive der Daseinsvorsorge ist es von entscheidender Bedeutung, kommunale und gemeinnützige Wohnbauträger in ihrer Rolle zur Schaffung leistbaren Wohnraums zu stärken. In diesem Zusammenhang ist es erforderlich, das Beihilferecht zu optimieren, um staatliche Förderungen im Wohnungsbau verstärkt auf Förderungen für bauliche Maßnahmen und Infrastruktur (Objektförderung) zu lenken. Des Weiteren sind EU-Mittel von Bedeutung, damit speziell für vulnerable Gruppen auch energieeffizienter und gut sanierter Wohnraum bereitgestellt werden kann, ohne dass diese Kosten auf die Mieten umgelegt werden. Aus Sicht der Daseinsvorsorge ist eine gerechte Energiewende von entscheidender Bedeutung. Die Gewährleistung eines Zugangs zu energieeffizientem und nachhaltigem Wohnen für alle Menschen ohne Beeinträchtigung der Lebensqualität ist dabei von besonderer Bedeutung.</w:t>
      </w:r>
      <w:r w:rsidRPr="0050443A">
        <w:rPr>
          <w:rFonts w:ascii="Aptos" w:hAnsi="Aptos"/>
          <w:bCs/>
          <w:sz w:val="22"/>
          <w:szCs w:val="22"/>
        </w:rPr>
        <w:br w:type="page"/>
      </w:r>
    </w:p>
    <w:p w14:paraId="3D411B41" w14:textId="77777777" w:rsidR="00623AF8" w:rsidRPr="0050443A" w:rsidRDefault="00623AF8" w:rsidP="00623AF8">
      <w:pPr>
        <w:spacing w:after="120"/>
        <w:jc w:val="both"/>
        <w:rPr>
          <w:rFonts w:ascii="Aptos" w:hAnsi="Aptos"/>
          <w:bCs/>
          <w:iCs/>
          <w:sz w:val="22"/>
          <w:szCs w:val="22"/>
        </w:rPr>
      </w:pPr>
    </w:p>
    <w:p w14:paraId="05BF7046" w14:textId="77777777" w:rsidR="00623AF8" w:rsidRPr="0050443A" w:rsidRDefault="00623AF8" w:rsidP="00623AF8">
      <w:pPr>
        <w:rPr>
          <w:rFonts w:ascii="Aptos" w:hAnsi="Aptos"/>
        </w:rPr>
      </w:pPr>
    </w:p>
    <w:p w14:paraId="1C42D0E0" w14:textId="77777777" w:rsidR="00623AF8" w:rsidRDefault="00623AF8" w:rsidP="00623AF8">
      <w:pPr>
        <w:spacing w:after="120"/>
        <w:jc w:val="both"/>
        <w:rPr>
          <w:rFonts w:ascii="Aptos" w:eastAsiaTheme="majorEastAsia" w:hAnsi="Aptos" w:cstheme="majorBidi"/>
          <w:b/>
          <w:color w:val="E4342D"/>
          <w:szCs w:val="32"/>
        </w:rPr>
      </w:pPr>
      <w:r w:rsidRPr="0050443A">
        <w:rPr>
          <w:rFonts w:ascii="Aptos" w:eastAsiaTheme="majorEastAsia" w:hAnsi="Aptos" w:cstheme="majorBidi"/>
          <w:b/>
          <w:color w:val="E4342D"/>
          <w:szCs w:val="32"/>
        </w:rPr>
        <w:t>Soziale- und ökologische Kriterien im Wohn</w:t>
      </w:r>
      <w:r>
        <w:rPr>
          <w:rFonts w:ascii="Aptos" w:eastAsiaTheme="majorEastAsia" w:hAnsi="Aptos" w:cstheme="majorBidi"/>
          <w:b/>
          <w:color w:val="E4342D"/>
          <w:szCs w:val="32"/>
        </w:rPr>
        <w:t>ungs</w:t>
      </w:r>
      <w:r w:rsidRPr="0050443A">
        <w:rPr>
          <w:rFonts w:ascii="Aptos" w:eastAsiaTheme="majorEastAsia" w:hAnsi="Aptos" w:cstheme="majorBidi"/>
          <w:b/>
          <w:color w:val="E4342D"/>
          <w:szCs w:val="32"/>
        </w:rPr>
        <w:t>bau</w:t>
      </w:r>
    </w:p>
    <w:p w14:paraId="4A53D1A1" w14:textId="77777777" w:rsidR="00623AF8" w:rsidRPr="0050443A" w:rsidRDefault="00623AF8" w:rsidP="00623AF8">
      <w:pPr>
        <w:spacing w:after="120"/>
        <w:jc w:val="both"/>
        <w:rPr>
          <w:rFonts w:ascii="Aptos" w:hAnsi="Aptos"/>
          <w:i/>
          <w:iCs/>
          <w:sz w:val="22"/>
          <w:szCs w:val="22"/>
          <w:u w:val="single"/>
        </w:rPr>
      </w:pPr>
    </w:p>
    <w:tbl>
      <w:tblPr>
        <w:tblStyle w:val="Tabellenraster"/>
        <w:tblW w:w="0" w:type="auto"/>
        <w:tblInd w:w="108" w:type="dxa"/>
        <w:tblLook w:val="04A0" w:firstRow="1" w:lastRow="0" w:firstColumn="1" w:lastColumn="0" w:noHBand="0" w:noVBand="1"/>
      </w:tblPr>
      <w:tblGrid>
        <w:gridCol w:w="8952"/>
      </w:tblGrid>
      <w:tr w:rsidR="00623AF8" w:rsidRPr="0050443A" w14:paraId="209DD4BE" w14:textId="77777777" w:rsidTr="00875DD0">
        <w:tc>
          <w:tcPr>
            <w:tcW w:w="9060" w:type="dxa"/>
            <w:shd w:val="clear" w:color="auto" w:fill="D9D9D9" w:themeFill="background1" w:themeFillShade="D9"/>
          </w:tcPr>
          <w:p w14:paraId="0C9DE66E"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 xml:space="preserve">Frage </w:t>
            </w:r>
          </w:p>
        </w:tc>
      </w:tr>
      <w:tr w:rsidR="00623AF8" w:rsidRPr="0050443A" w14:paraId="64A49DCE" w14:textId="77777777" w:rsidTr="00875DD0">
        <w:tc>
          <w:tcPr>
            <w:tcW w:w="9060" w:type="dxa"/>
          </w:tcPr>
          <w:p w14:paraId="61F73B23" w14:textId="77777777" w:rsidR="00623AF8" w:rsidRPr="0050443A" w:rsidRDefault="00623AF8" w:rsidP="00875DD0">
            <w:pPr>
              <w:spacing w:after="160" w:line="259" w:lineRule="auto"/>
              <w:jc w:val="both"/>
              <w:rPr>
                <w:rFonts w:ascii="Aptos" w:hAnsi="Aptos"/>
                <w:b/>
                <w:bCs/>
                <w:sz w:val="22"/>
                <w:szCs w:val="22"/>
              </w:rPr>
            </w:pPr>
            <w:r w:rsidRPr="00353C4A">
              <w:rPr>
                <w:rFonts w:ascii="Aptos" w:hAnsi="Aptos" w:cs="Segoe UI"/>
                <w:color w:val="0D0D0D"/>
                <w:sz w:val="22"/>
                <w:szCs w:val="22"/>
                <w:shd w:val="clear" w:color="auto" w:fill="FFFFFF"/>
              </w:rPr>
              <w:t>Sozial-ökologische Kriterien im Wohnungsbau sind von entscheidender Bedeutung, um sicherzustellen, dass Wohnprojekte sowohl der Umwelt als auch den Menschen zugute kommen. Die Integration solcher Kriterien ermöglicht es Wohnprojekten, umweltfreundliche Praktiken zu fördern, die Gesundheit und das Wohlbefinden der Bewohner zu verbessern und soziale Ungleichheiten zu verringern</w:t>
            </w:r>
            <w:r>
              <w:rPr>
                <w:rFonts w:ascii="Aptos" w:hAnsi="Aptos" w:cs="Segoe UI"/>
                <w:color w:val="0D0D0D"/>
                <w:sz w:val="22"/>
                <w:szCs w:val="22"/>
                <w:shd w:val="clear" w:color="auto" w:fill="FFFFFF"/>
              </w:rPr>
              <w:t xml:space="preserve">. </w:t>
            </w:r>
            <w:r w:rsidRPr="00DD3218">
              <w:rPr>
                <w:rFonts w:ascii="Aptos" w:hAnsi="Aptos" w:cs="Segoe UI"/>
                <w:b/>
                <w:bCs/>
                <w:color w:val="0D0D0D"/>
                <w:sz w:val="22"/>
                <w:szCs w:val="22"/>
                <w:shd w:val="clear" w:color="auto" w:fill="FFFFFF"/>
              </w:rPr>
              <w:t>Wie wollen Sie sicherstellen, dass soziale und ökologische Kriterien in künftigen EU-Programmen zur Förderung des Wohnungsbaus berücksichtigt werden?</w:t>
            </w:r>
          </w:p>
        </w:tc>
      </w:tr>
      <w:tr w:rsidR="00623AF8" w:rsidRPr="0050443A" w14:paraId="2BB9AAE5" w14:textId="77777777" w:rsidTr="00875DD0">
        <w:tc>
          <w:tcPr>
            <w:tcW w:w="9060" w:type="dxa"/>
            <w:shd w:val="clear" w:color="auto" w:fill="D9D9D9" w:themeFill="background1" w:themeFillShade="D9"/>
          </w:tcPr>
          <w:p w14:paraId="1A46DDDA"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0DE092FD" w14:textId="77777777" w:rsidTr="00875DD0">
        <w:tc>
          <w:tcPr>
            <w:tcW w:w="9060" w:type="dxa"/>
          </w:tcPr>
          <w:p w14:paraId="0CDDDD99" w14:textId="77777777" w:rsidR="00623AF8" w:rsidRPr="00DD3218" w:rsidRDefault="00623AF8" w:rsidP="00F63BE8">
            <w:pPr>
              <w:pStyle w:val="Listenabsatz"/>
              <w:numPr>
                <w:ilvl w:val="0"/>
                <w:numId w:val="53"/>
              </w:numPr>
              <w:spacing w:before="120" w:after="120"/>
              <w:jc w:val="both"/>
              <w:rPr>
                <w:rFonts w:ascii="Aptos" w:hAnsi="Aptos"/>
                <w:sz w:val="22"/>
                <w:szCs w:val="22"/>
              </w:rPr>
            </w:pPr>
            <w:r w:rsidRPr="00DD3218">
              <w:rPr>
                <w:rFonts w:ascii="Aptos" w:hAnsi="Aptos"/>
                <w:sz w:val="22"/>
                <w:szCs w:val="22"/>
              </w:rPr>
              <w:t>Welche Initiativen sind geplant, um sozial-ökologische Kriterien im Wohnungsbau zu verankern?</w:t>
            </w:r>
          </w:p>
          <w:p w14:paraId="368AF838" w14:textId="77777777" w:rsidR="00623AF8" w:rsidRDefault="00623AF8" w:rsidP="00F63BE8">
            <w:pPr>
              <w:pStyle w:val="Listenabsatz"/>
              <w:numPr>
                <w:ilvl w:val="0"/>
                <w:numId w:val="53"/>
              </w:numPr>
              <w:spacing w:before="120" w:after="120"/>
              <w:jc w:val="both"/>
              <w:rPr>
                <w:rFonts w:ascii="Aptos" w:hAnsi="Aptos"/>
                <w:sz w:val="22"/>
                <w:szCs w:val="22"/>
              </w:rPr>
            </w:pPr>
            <w:r w:rsidRPr="001B7DE3">
              <w:rPr>
                <w:rFonts w:ascii="Aptos" w:hAnsi="Aptos"/>
                <w:sz w:val="22"/>
                <w:szCs w:val="22"/>
              </w:rPr>
              <w:t>Planen Sie die Einrichtung eines zweckgebundenen Wohnbau-Fonds auf europäischer Ebene, um Investitionen in den Ausbau des sozialen Wohnbaus und die thermische Sanierung zu fördern?</w:t>
            </w:r>
          </w:p>
          <w:p w14:paraId="0C615AAF" w14:textId="77777777" w:rsidR="00623AF8" w:rsidRPr="00DD3218" w:rsidRDefault="00623AF8" w:rsidP="00F63BE8">
            <w:pPr>
              <w:pStyle w:val="Listenabsatz"/>
              <w:numPr>
                <w:ilvl w:val="0"/>
                <w:numId w:val="53"/>
              </w:numPr>
              <w:spacing w:before="120" w:after="120"/>
              <w:jc w:val="both"/>
              <w:rPr>
                <w:rFonts w:ascii="Aptos" w:hAnsi="Aptos"/>
                <w:sz w:val="22"/>
                <w:szCs w:val="22"/>
              </w:rPr>
            </w:pPr>
            <w:r w:rsidRPr="00DD3218">
              <w:rPr>
                <w:rFonts w:ascii="Aptos" w:hAnsi="Aptos"/>
                <w:sz w:val="22"/>
                <w:szCs w:val="22"/>
              </w:rPr>
              <w:t>Mit welchen Maßnahmen wollen Sie die Einhaltung dieser Kriterien kontrollieren und sicherstellen?</w:t>
            </w:r>
          </w:p>
        </w:tc>
      </w:tr>
    </w:tbl>
    <w:p w14:paraId="7B73BC36" w14:textId="77777777" w:rsidR="00623AF8" w:rsidRPr="0050443A"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388B0E36" w14:textId="77777777" w:rsidTr="00875DD0">
        <w:trPr>
          <w:trHeight w:val="277"/>
        </w:trPr>
        <w:tc>
          <w:tcPr>
            <w:tcW w:w="9066" w:type="dxa"/>
            <w:shd w:val="clear" w:color="auto" w:fill="D9D9D9"/>
          </w:tcPr>
          <w:p w14:paraId="22086EB0"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49ACF0E7" w14:textId="77777777" w:rsidR="00623AF8" w:rsidRPr="00715DD3" w:rsidRDefault="00623AF8" w:rsidP="00623AF8">
      <w:pPr>
        <w:jc w:val="both"/>
        <w:rPr>
          <w:rFonts w:ascii="Aptos" w:hAnsi="Aptos"/>
          <w:sz w:val="22"/>
          <w:szCs w:val="22"/>
        </w:rPr>
      </w:pPr>
      <w:r w:rsidRPr="00076223">
        <w:rPr>
          <w:rFonts w:ascii="Aptos" w:hAnsi="Aptos"/>
          <w:sz w:val="22"/>
          <w:szCs w:val="22"/>
        </w:rPr>
        <w:t>Der Gebäudesektor ist derzeit für 40 % des Energieverbrauchs und 36 % der Treibhausgasemissionen in der EU verantwortlich.</w:t>
      </w:r>
      <w:r>
        <w:rPr>
          <w:rFonts w:ascii="Aptos" w:hAnsi="Aptos"/>
          <w:sz w:val="22"/>
          <w:szCs w:val="22"/>
        </w:rPr>
        <w:t xml:space="preserve"> </w:t>
      </w:r>
      <w:r w:rsidRPr="00076223">
        <w:rPr>
          <w:rFonts w:ascii="Aptos" w:hAnsi="Aptos"/>
          <w:sz w:val="22"/>
          <w:szCs w:val="22"/>
        </w:rPr>
        <w:t>Somit stellt er einen zentralen Hebel zur Bekämpfung des Klimawandels und zur Erreichung der EU-Klimaziele dar. Die EU hat sich das ehrgeizige Ziel gesetzt, dass ab 2030 alle Neubauten Nullemissionsgebäude sein sollen</w:t>
      </w:r>
      <w:r>
        <w:rPr>
          <w:rFonts w:ascii="Aptos" w:hAnsi="Aptos"/>
          <w:sz w:val="22"/>
          <w:szCs w:val="22"/>
        </w:rPr>
        <w:t xml:space="preserve"> </w:t>
      </w:r>
      <w:r w:rsidRPr="00076223">
        <w:rPr>
          <w:rFonts w:ascii="Aptos" w:hAnsi="Aptos"/>
          <w:sz w:val="22"/>
          <w:szCs w:val="22"/>
          <w:vertAlign w:val="subscript"/>
        </w:rPr>
        <w:t>(1</w:t>
      </w:r>
      <w:r>
        <w:rPr>
          <w:rFonts w:ascii="Aptos" w:hAnsi="Aptos"/>
          <w:sz w:val="22"/>
          <w:szCs w:val="22"/>
          <w:vertAlign w:val="subscript"/>
        </w:rPr>
        <w:t>,2</w:t>
      </w:r>
      <w:r w:rsidRPr="00076223">
        <w:rPr>
          <w:rFonts w:ascii="Aptos" w:hAnsi="Aptos"/>
          <w:sz w:val="22"/>
          <w:szCs w:val="22"/>
          <w:vertAlign w:val="subscript"/>
        </w:rPr>
        <w:t>).</w:t>
      </w:r>
      <w:r w:rsidRPr="00076223">
        <w:rPr>
          <w:rFonts w:ascii="Aptos" w:hAnsi="Aptos"/>
          <w:sz w:val="22"/>
          <w:szCs w:val="22"/>
        </w:rPr>
        <w:t xml:space="preserve"> Neben der bereits beschlossenen Richtlinie</w:t>
      </w:r>
      <w:r w:rsidRPr="00BD3840">
        <w:rPr>
          <w:rFonts w:ascii="Aptos" w:hAnsi="Aptos"/>
          <w:sz w:val="22"/>
          <w:szCs w:val="22"/>
        </w:rPr>
        <w:t xml:space="preserve"> über die Gesamtenergieeffizienz von Gebäuden </w:t>
      </w:r>
      <w:r w:rsidRPr="00076223">
        <w:rPr>
          <w:rFonts w:ascii="Aptos" w:hAnsi="Aptos"/>
          <w:sz w:val="22"/>
          <w:szCs w:val="22"/>
        </w:rPr>
        <w:t>der EU sind auch soziale Ziele von entscheidender Bedeutung, um den gesellschaftspolitischen Zusammenhalt zu fördern. Der Wohnungsbau ist ein wichtiger Sektor, um den aktuellen sozial-ökologischen Herausforderungen zu begegnen. In diesem Zusammenhang stellt sich die Frage, welche EU-Initiativen und -Programme die Verankerung von sozial-ökologischen Kriterien fördern können. Als ein möglicher Ansatz kann die Förderung von Objekten im kommunalen und gemeinnützigen Wohnbau genannt werden. Ein zweckgebundener EU-weiter Wohnbaufonds könnte ebenfalls dazu beitragen, die thermisch-energetische Sanierung im sozialen Wohnbau zu verbessern. Aus Perspektive der Daseinsvorsorge ist ein breit gefächertes und ökologisch modernisiertes Angebot an leistbarem Wohnraum für breite Teile der Bevölkerung von entscheidender Bedeutung. Dafür sind transparente und kontrollierte sozial-ökologische Bedingungen beim Wohnungsbau sowie eine Stärkung der Rolle kommunaler und gemeinnütziger Akteure auf dem Wohnungsmarkt erforderlich.</w:t>
      </w:r>
    </w:p>
    <w:p w14:paraId="0AA2AC1B" w14:textId="77777777" w:rsidR="00623AF8" w:rsidRDefault="00623AF8" w:rsidP="00623AF8">
      <w:pPr>
        <w:rPr>
          <w:rFonts w:ascii="Aptos" w:hAnsi="Aptos"/>
          <w:bCs/>
          <w:sz w:val="22"/>
          <w:szCs w:val="22"/>
        </w:rPr>
      </w:pPr>
    </w:p>
    <w:p w14:paraId="1DB147A6" w14:textId="77777777" w:rsidR="00623AF8" w:rsidRPr="00A0603B" w:rsidRDefault="00623AF8" w:rsidP="00F63BE8">
      <w:pPr>
        <w:pStyle w:val="Listenabsatz"/>
        <w:numPr>
          <w:ilvl w:val="0"/>
          <w:numId w:val="67"/>
        </w:numPr>
        <w:jc w:val="both"/>
        <w:rPr>
          <w:rFonts w:ascii="Aptos" w:hAnsi="Aptos"/>
          <w:sz w:val="18"/>
          <w:szCs w:val="18"/>
          <w:lang w:val="en-GB"/>
        </w:rPr>
      </w:pPr>
      <w:r w:rsidRPr="00A0603B">
        <w:rPr>
          <w:rFonts w:ascii="Aptos" w:hAnsi="Aptos"/>
          <w:sz w:val="18"/>
          <w:szCs w:val="18"/>
          <w:lang w:val="en-GB"/>
        </w:rPr>
        <w:t>European Commission 2020: In focus: Energy efficiency in buildings</w:t>
      </w:r>
    </w:p>
    <w:p w14:paraId="35167BDB" w14:textId="77777777" w:rsidR="00623AF8" w:rsidRDefault="00AC460E" w:rsidP="00623AF8">
      <w:pPr>
        <w:pStyle w:val="Listenabsatz"/>
        <w:ind w:left="360"/>
        <w:jc w:val="both"/>
        <w:rPr>
          <w:rStyle w:val="Hyperlink"/>
          <w:rFonts w:ascii="Aptos" w:hAnsi="Aptos"/>
          <w:sz w:val="18"/>
          <w:szCs w:val="18"/>
          <w:lang w:val="en-GB"/>
        </w:rPr>
      </w:pPr>
      <w:hyperlink r:id="rId124" w:history="1">
        <w:r w:rsidR="00623AF8" w:rsidRPr="00A0603B">
          <w:rPr>
            <w:rStyle w:val="Hyperlink"/>
            <w:rFonts w:ascii="Aptos" w:hAnsi="Aptos"/>
            <w:sz w:val="18"/>
            <w:szCs w:val="18"/>
            <w:lang w:val="en-GB"/>
          </w:rPr>
          <w:t>https://commission.europa.eu/news/focus-energy-efficiency-buildings-2020-02-17_en</w:t>
        </w:r>
      </w:hyperlink>
    </w:p>
    <w:p w14:paraId="3A9A3E26" w14:textId="77777777" w:rsidR="00623AF8" w:rsidRDefault="00623AF8" w:rsidP="00F63BE8">
      <w:pPr>
        <w:pStyle w:val="Listenabsatz"/>
        <w:numPr>
          <w:ilvl w:val="0"/>
          <w:numId w:val="67"/>
        </w:numPr>
        <w:jc w:val="both"/>
        <w:rPr>
          <w:rFonts w:ascii="Aptos" w:hAnsi="Aptos"/>
          <w:sz w:val="18"/>
          <w:szCs w:val="18"/>
          <w:lang w:val="en-GB"/>
        </w:rPr>
      </w:pPr>
      <w:r>
        <w:rPr>
          <w:rFonts w:ascii="Aptos" w:hAnsi="Aptos"/>
          <w:sz w:val="18"/>
          <w:szCs w:val="18"/>
          <w:lang w:val="en-GB"/>
        </w:rPr>
        <w:t>European Commission 2024: R</w:t>
      </w:r>
      <w:r w:rsidRPr="00BB42B4">
        <w:rPr>
          <w:rFonts w:ascii="Aptos" w:hAnsi="Aptos"/>
          <w:sz w:val="18"/>
          <w:szCs w:val="18"/>
          <w:lang w:val="en-GB"/>
        </w:rPr>
        <w:t>evised Energy Performance of Buildings Directive (EU/2024/1275)</w:t>
      </w:r>
    </w:p>
    <w:p w14:paraId="4A4F1D7B" w14:textId="77777777" w:rsidR="00623AF8" w:rsidRPr="0095671E" w:rsidRDefault="00AC460E" w:rsidP="00623AF8">
      <w:pPr>
        <w:ind w:firstLine="348"/>
        <w:jc w:val="both"/>
        <w:rPr>
          <w:rFonts w:ascii="Aptos" w:hAnsi="Aptos"/>
          <w:sz w:val="18"/>
          <w:szCs w:val="18"/>
          <w:lang w:val="en-GB"/>
        </w:rPr>
      </w:pPr>
      <w:hyperlink r:id="rId125" w:history="1">
        <w:r w:rsidR="00623AF8" w:rsidRPr="003D5069">
          <w:rPr>
            <w:rStyle w:val="Hyperlink"/>
            <w:rFonts w:ascii="Aptos" w:hAnsi="Aptos"/>
            <w:sz w:val="18"/>
            <w:szCs w:val="18"/>
            <w:lang w:val="en-GB"/>
          </w:rPr>
          <w:t>https://eur-lex.europa.eu/legal-content/EN/TXT/PDF/?uri=OJ:L_202401275</w:t>
        </w:r>
      </w:hyperlink>
    </w:p>
    <w:p w14:paraId="582AE42E" w14:textId="77777777" w:rsidR="00623AF8" w:rsidRPr="00A0603B" w:rsidRDefault="00623AF8" w:rsidP="00623AF8">
      <w:pPr>
        <w:pStyle w:val="Listenabsatz"/>
        <w:jc w:val="both"/>
        <w:rPr>
          <w:rStyle w:val="Hyperlink"/>
          <w:sz w:val="18"/>
          <w:szCs w:val="18"/>
          <w:lang w:val="en-GB"/>
        </w:rPr>
      </w:pPr>
    </w:p>
    <w:p w14:paraId="00809327" w14:textId="77777777" w:rsidR="00623AF8" w:rsidRPr="00076223" w:rsidRDefault="00623AF8" w:rsidP="00623AF8">
      <w:pPr>
        <w:rPr>
          <w:rFonts w:ascii="Aptos" w:hAnsi="Aptos"/>
          <w:bCs/>
          <w:sz w:val="22"/>
          <w:szCs w:val="22"/>
          <w:lang w:val="en-GB"/>
        </w:rPr>
      </w:pPr>
    </w:p>
    <w:p w14:paraId="5F99FBDC" w14:textId="77777777" w:rsidR="00623AF8" w:rsidRPr="00076223" w:rsidRDefault="00623AF8" w:rsidP="00623AF8">
      <w:pPr>
        <w:rPr>
          <w:rFonts w:ascii="Aptos" w:hAnsi="Aptos"/>
          <w:bCs/>
          <w:sz w:val="22"/>
          <w:szCs w:val="22"/>
          <w:lang w:val="en-GB"/>
        </w:rPr>
      </w:pPr>
    </w:p>
    <w:p w14:paraId="6C79DE14" w14:textId="77777777" w:rsidR="00BA190B" w:rsidRPr="00A66104" w:rsidRDefault="00BA190B" w:rsidP="00623AF8">
      <w:pPr>
        <w:pStyle w:val="berschrift1"/>
        <w:rPr>
          <w:bCs/>
          <w:szCs w:val="24"/>
          <w:lang w:val="en-GB"/>
        </w:rPr>
      </w:pPr>
      <w:bookmarkStart w:id="453" w:name="_Toc170377507"/>
      <w:bookmarkStart w:id="454" w:name="_Toc170983810"/>
    </w:p>
    <w:p w14:paraId="316005B5" w14:textId="6132948D" w:rsidR="00623AF8" w:rsidRDefault="00623AF8" w:rsidP="00623AF8">
      <w:pPr>
        <w:pStyle w:val="berschrift1"/>
        <w:rPr>
          <w:szCs w:val="24"/>
        </w:rPr>
      </w:pPr>
      <w:r w:rsidRPr="0082018A">
        <w:rPr>
          <w:bCs/>
          <w:szCs w:val="24"/>
        </w:rPr>
        <w:t>S</w:t>
      </w:r>
      <w:r w:rsidRPr="0082018A">
        <w:rPr>
          <w:szCs w:val="24"/>
        </w:rPr>
        <w:t>ozial-ökologische Modernisierung der Wohnbaubestände</w:t>
      </w:r>
      <w:bookmarkEnd w:id="453"/>
      <w:bookmarkEnd w:id="454"/>
    </w:p>
    <w:p w14:paraId="4BC7CD71" w14:textId="77777777" w:rsidR="00623AF8" w:rsidRPr="0094728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54208E10" w14:textId="77777777" w:rsidTr="00875DD0">
        <w:tc>
          <w:tcPr>
            <w:tcW w:w="9060" w:type="dxa"/>
            <w:shd w:val="clear" w:color="auto" w:fill="D9D9D9" w:themeFill="background1" w:themeFillShade="D9"/>
          </w:tcPr>
          <w:p w14:paraId="4B2135FA"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3BD3D4D0" w14:textId="77777777" w:rsidTr="00875DD0">
        <w:tc>
          <w:tcPr>
            <w:tcW w:w="9060" w:type="dxa"/>
          </w:tcPr>
          <w:p w14:paraId="7FF6D845" w14:textId="77777777" w:rsidR="00623AF8" w:rsidRPr="0050443A" w:rsidRDefault="00623AF8" w:rsidP="00875DD0">
            <w:pPr>
              <w:spacing w:before="120" w:after="120"/>
              <w:jc w:val="both"/>
              <w:rPr>
                <w:rFonts w:ascii="Aptos" w:hAnsi="Aptos"/>
                <w:b/>
                <w:bCs/>
                <w:sz w:val="22"/>
                <w:szCs w:val="22"/>
              </w:rPr>
            </w:pPr>
            <w:r w:rsidRPr="00353C4A">
              <w:rPr>
                <w:rFonts w:ascii="Aptos" w:hAnsi="Aptos" w:cs="Segoe UI"/>
                <w:color w:val="0D0D0D"/>
                <w:sz w:val="22"/>
                <w:szCs w:val="22"/>
                <w:shd w:val="clear" w:color="auto" w:fill="FFFFFF"/>
              </w:rPr>
              <w:t>Die Modernisierung des europäischen Wohnungsbestandes ist von entscheidender Bedeutung, um die Wohnqualität zu verbessern, die Energieeffizienz zu erhöhen und den Wohnraum an zukünftige Bedürfnisse anzupassen. Durch Modernisierungsmaßnahmen können Wohnungen energieeffizienter gestaltet, CO</w:t>
            </w:r>
            <w:r w:rsidRPr="00353C4A">
              <w:rPr>
                <w:rFonts w:ascii="Aptos" w:hAnsi="Aptos" w:cs="Segoe UI"/>
                <w:color w:val="0D0D0D"/>
                <w:sz w:val="22"/>
                <w:szCs w:val="22"/>
                <w:shd w:val="clear" w:color="auto" w:fill="FFFFFF"/>
                <w:vertAlign w:val="subscript"/>
              </w:rPr>
              <w:t>2</w:t>
            </w:r>
            <w:r w:rsidRPr="00353C4A">
              <w:rPr>
                <w:rFonts w:ascii="Aptos" w:hAnsi="Aptos" w:cs="Segoe UI"/>
                <w:color w:val="0D0D0D"/>
                <w:sz w:val="22"/>
                <w:szCs w:val="22"/>
                <w:shd w:val="clear" w:color="auto" w:fill="FFFFFF"/>
              </w:rPr>
              <w:t xml:space="preserve">-Emissionen reduziert und die Bewohnbarkeit und der Wohnkomfort erhöht werden. Dies trägt langfristig zur Nachhaltigkeit und zur Bewältigung der Klimakrise bei. </w:t>
            </w:r>
            <w:r w:rsidRPr="00DD3218">
              <w:rPr>
                <w:rFonts w:ascii="Aptos" w:hAnsi="Aptos" w:cs="Segoe UI"/>
                <w:b/>
                <w:bCs/>
                <w:color w:val="0D0D0D"/>
                <w:sz w:val="22"/>
                <w:szCs w:val="22"/>
                <w:shd w:val="clear" w:color="auto" w:fill="FFFFFF"/>
              </w:rPr>
              <w:t>Welche EU-Programme und EU-Initiativen planen Sie, um den Wohnungsbestand sozial-ökologisch zu modernisieren, damit die EU-Ziele erreicht werden?</w:t>
            </w:r>
          </w:p>
        </w:tc>
      </w:tr>
      <w:tr w:rsidR="00623AF8" w:rsidRPr="0050443A" w14:paraId="0D00B6D5" w14:textId="77777777" w:rsidTr="00875DD0">
        <w:tc>
          <w:tcPr>
            <w:tcW w:w="9060" w:type="dxa"/>
            <w:shd w:val="clear" w:color="auto" w:fill="D9D9D9" w:themeFill="background1" w:themeFillShade="D9"/>
          </w:tcPr>
          <w:p w14:paraId="4898123E"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26BFB27B" w14:textId="77777777" w:rsidTr="00875DD0">
        <w:tc>
          <w:tcPr>
            <w:tcW w:w="9060" w:type="dxa"/>
          </w:tcPr>
          <w:p w14:paraId="6F72C8D7" w14:textId="77777777" w:rsidR="00623AF8" w:rsidRPr="007D5302" w:rsidRDefault="00623AF8" w:rsidP="00F63BE8">
            <w:pPr>
              <w:pStyle w:val="Listenabsatz"/>
              <w:numPr>
                <w:ilvl w:val="0"/>
                <w:numId w:val="54"/>
              </w:numPr>
              <w:spacing w:before="120" w:after="120"/>
              <w:jc w:val="both"/>
              <w:rPr>
                <w:rFonts w:ascii="Aptos" w:hAnsi="Aptos"/>
                <w:sz w:val="22"/>
                <w:szCs w:val="22"/>
              </w:rPr>
            </w:pPr>
            <w:r w:rsidRPr="007D5302">
              <w:rPr>
                <w:rFonts w:ascii="Aptos" w:hAnsi="Aptos"/>
                <w:sz w:val="22"/>
                <w:szCs w:val="22"/>
              </w:rPr>
              <w:t>Welche Rolle spielt in Ihren Überlegungen das Thema Energiearmut als Argument für die sozial-ökologische Modernisierung des Wohnungsbestandes?</w:t>
            </w:r>
          </w:p>
          <w:p w14:paraId="218FDA8A" w14:textId="77777777" w:rsidR="00623AF8" w:rsidRPr="007D5302" w:rsidRDefault="00623AF8" w:rsidP="00F63BE8">
            <w:pPr>
              <w:pStyle w:val="Listenabsatz"/>
              <w:numPr>
                <w:ilvl w:val="0"/>
                <w:numId w:val="54"/>
              </w:numPr>
              <w:spacing w:before="120" w:after="120"/>
              <w:jc w:val="both"/>
              <w:rPr>
                <w:rFonts w:ascii="Aptos" w:hAnsi="Aptos"/>
                <w:sz w:val="22"/>
                <w:szCs w:val="22"/>
              </w:rPr>
            </w:pPr>
            <w:r w:rsidRPr="007D5302">
              <w:rPr>
                <w:rFonts w:ascii="Aptos" w:hAnsi="Aptos"/>
                <w:sz w:val="22"/>
                <w:szCs w:val="22"/>
              </w:rPr>
              <w:t xml:space="preserve">Wie wollen Sie sicherstellen, dass diese </w:t>
            </w:r>
            <w:r w:rsidRPr="00927964">
              <w:rPr>
                <w:rFonts w:ascii="Aptos" w:hAnsi="Aptos"/>
                <w:sz w:val="22"/>
                <w:szCs w:val="22"/>
              </w:rPr>
              <w:t>energieeffizienten Wohnungen</w:t>
            </w:r>
            <w:r w:rsidRPr="007D5302">
              <w:rPr>
                <w:rFonts w:ascii="Aptos" w:hAnsi="Aptos"/>
                <w:sz w:val="22"/>
                <w:szCs w:val="22"/>
              </w:rPr>
              <w:t xml:space="preserve"> auch für sozial Schwächere zugänglich sind?</w:t>
            </w:r>
          </w:p>
        </w:tc>
      </w:tr>
    </w:tbl>
    <w:p w14:paraId="232EE410" w14:textId="77777777" w:rsidR="00623AF8"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0BA21131" w14:textId="77777777" w:rsidTr="00875DD0">
        <w:trPr>
          <w:trHeight w:val="277"/>
        </w:trPr>
        <w:tc>
          <w:tcPr>
            <w:tcW w:w="9066" w:type="dxa"/>
            <w:shd w:val="clear" w:color="auto" w:fill="D9D9D9"/>
          </w:tcPr>
          <w:p w14:paraId="58F0094F"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637A3115" w14:textId="77777777" w:rsidR="00623AF8" w:rsidRDefault="00623AF8" w:rsidP="00623AF8">
      <w:pPr>
        <w:jc w:val="both"/>
        <w:rPr>
          <w:rFonts w:ascii="Aptos" w:hAnsi="Aptos"/>
          <w:sz w:val="22"/>
          <w:szCs w:val="22"/>
        </w:rPr>
      </w:pPr>
      <w:r w:rsidRPr="00E7586D">
        <w:rPr>
          <w:rFonts w:ascii="Aptos" w:hAnsi="Aptos"/>
          <w:sz w:val="22"/>
          <w:szCs w:val="22"/>
        </w:rPr>
        <w:t xml:space="preserve">Der Gebäudesektor ist derzeit für 40 % des Energieverbrauchs und 36 % der Treibhausgasemissionen in der EU verantwortlich. </w:t>
      </w:r>
      <w:r w:rsidRPr="00353C4A">
        <w:rPr>
          <w:rFonts w:ascii="Aptos" w:hAnsi="Aptos"/>
          <w:sz w:val="22"/>
          <w:szCs w:val="22"/>
        </w:rPr>
        <w:t>Der Gebäudesektor stellt somit einen zentralen Hebel im Kampf gegen den Klimawandel und zur Erreichung der EU-Klimaziele dar</w:t>
      </w:r>
      <w:r>
        <w:rPr>
          <w:rFonts w:ascii="Aptos" w:hAnsi="Aptos"/>
          <w:sz w:val="22"/>
          <w:szCs w:val="22"/>
        </w:rPr>
        <w:t xml:space="preserve"> </w:t>
      </w:r>
      <w:r w:rsidRPr="00E7586D">
        <w:rPr>
          <w:rFonts w:ascii="Aptos" w:hAnsi="Aptos"/>
          <w:sz w:val="22"/>
          <w:szCs w:val="22"/>
          <w:vertAlign w:val="subscript"/>
        </w:rPr>
        <w:t>(1)</w:t>
      </w:r>
      <w:r w:rsidRPr="00E7586D">
        <w:rPr>
          <w:rFonts w:ascii="Aptos" w:hAnsi="Aptos"/>
          <w:sz w:val="22"/>
          <w:szCs w:val="22"/>
        </w:rPr>
        <w:t xml:space="preserve">. Die EU hat sich das ehrgeizige Ziel gesetzt, dass </w:t>
      </w:r>
      <w:r w:rsidRPr="00353C4A">
        <w:rPr>
          <w:rFonts w:ascii="Aptos" w:hAnsi="Aptos"/>
          <w:sz w:val="22"/>
          <w:szCs w:val="22"/>
        </w:rPr>
        <w:t>ab 2030 alle Neubauten als Nullemissionsgebäude errichtet werden sollen</w:t>
      </w:r>
      <w:r w:rsidRPr="00E7586D">
        <w:rPr>
          <w:rFonts w:ascii="Aptos" w:hAnsi="Aptos"/>
          <w:sz w:val="22"/>
          <w:szCs w:val="22"/>
        </w:rPr>
        <w:t>. Neben der bereits beschlossenen Richtlinie über die Gesamtenergieeffizienz von Gebäuden der EU sind auch soziale Ziele von entscheidender Bedeutung, um den gesellschaftspolitischen Zusammenhalt zu fördern. Der europäische Bestand bestehender Wohngebäude ist nicht nur ein großer Emittent und bedarf zügiger thermisch-energetischer Renovierungsmaßnahmen, sondern bietet auch vielen sozial schwächeren EU-Bürger:innen ein Zuhause, die auf leistbaren Wohnraum angewiesen sind. Die seit dem Angriffskrieg Russlands auf die Ukraine ausgelöste Energiekrise hat zu einer signifikanten Steigerung der Heizkosten geführt, was zu einer deutlichen Zunahme der von Energiearmut betroffenen Haushalte geführt hat. Energiearmut bezeichnet die Unfähigkeit eines Haushalts, angemessene und sichere Energieversorgung für grundlegende Bedürfnisse wie Heizen, Kühlen, Kochen und Beleuchtung zu bezahlen. Diese Art von Armut betrifft vor allem einkommensschwache Haushalte und kann zu schlechten Wohnbedingungen, Gesundheitsproblemen und sozialer Ausgrenzung führen. Laut Schätzungen der Europäischen Kommission sind etwa 9,3 % der EU-Bürger von Energiearmut betroffen</w:t>
      </w:r>
      <w:r>
        <w:rPr>
          <w:rFonts w:ascii="Aptos" w:hAnsi="Aptos"/>
          <w:sz w:val="22"/>
          <w:szCs w:val="22"/>
        </w:rPr>
        <w:t xml:space="preserve"> </w:t>
      </w:r>
      <w:r w:rsidRPr="00E7586D">
        <w:rPr>
          <w:rFonts w:ascii="Aptos" w:hAnsi="Aptos"/>
          <w:sz w:val="22"/>
          <w:szCs w:val="22"/>
          <w:vertAlign w:val="subscript"/>
        </w:rPr>
        <w:t>(</w:t>
      </w:r>
      <w:r>
        <w:rPr>
          <w:rFonts w:ascii="Aptos" w:hAnsi="Aptos"/>
          <w:sz w:val="22"/>
          <w:szCs w:val="22"/>
          <w:vertAlign w:val="subscript"/>
        </w:rPr>
        <w:t>2</w:t>
      </w:r>
      <w:r w:rsidRPr="00E7586D">
        <w:rPr>
          <w:rFonts w:ascii="Aptos" w:hAnsi="Aptos"/>
          <w:sz w:val="22"/>
          <w:szCs w:val="22"/>
          <w:vertAlign w:val="subscript"/>
        </w:rPr>
        <w:t>)</w:t>
      </w:r>
      <w:r w:rsidRPr="00E7586D">
        <w:rPr>
          <w:rFonts w:ascii="Aptos" w:hAnsi="Aptos"/>
          <w:sz w:val="22"/>
          <w:szCs w:val="22"/>
        </w:rPr>
        <w:t xml:space="preserve">. Aus Perspektive der Daseinsvorsorge sind ökologische Modernisierungsmaßnahmen im europäischen Wohngebäudebestand unabdingbar. Es sind EU-Programme sowie neue Finanzierungsmodelle erforderlich, </w:t>
      </w:r>
      <w:r w:rsidRPr="00353C4A">
        <w:rPr>
          <w:rFonts w:ascii="Aptos" w:hAnsi="Aptos"/>
          <w:sz w:val="22"/>
          <w:szCs w:val="22"/>
        </w:rPr>
        <w:t>damit auch sozial Schwächere von den Vorteilen energieeffizienter Wohnungen profitieren können.</w:t>
      </w:r>
    </w:p>
    <w:p w14:paraId="61B9D9E1" w14:textId="77777777" w:rsidR="00623AF8" w:rsidRDefault="00623AF8" w:rsidP="00623AF8">
      <w:pPr>
        <w:jc w:val="both"/>
        <w:rPr>
          <w:rFonts w:ascii="Aptos" w:hAnsi="Aptos"/>
          <w:bCs/>
          <w:sz w:val="22"/>
          <w:szCs w:val="22"/>
        </w:rPr>
      </w:pPr>
    </w:p>
    <w:p w14:paraId="31E8721E" w14:textId="77777777" w:rsidR="00623AF8" w:rsidRPr="00A0603B" w:rsidRDefault="00623AF8" w:rsidP="00F63BE8">
      <w:pPr>
        <w:pStyle w:val="Listenabsatz"/>
        <w:numPr>
          <w:ilvl w:val="0"/>
          <w:numId w:val="68"/>
        </w:numPr>
        <w:jc w:val="both"/>
        <w:rPr>
          <w:rFonts w:ascii="Aptos" w:hAnsi="Aptos"/>
          <w:sz w:val="18"/>
          <w:szCs w:val="18"/>
          <w:lang w:val="en-GB"/>
        </w:rPr>
      </w:pPr>
      <w:r w:rsidRPr="00A0603B">
        <w:rPr>
          <w:rFonts w:ascii="Aptos" w:hAnsi="Aptos"/>
          <w:sz w:val="18"/>
          <w:szCs w:val="18"/>
          <w:lang w:val="en-GB"/>
        </w:rPr>
        <w:t>European Commission 2020: In focus: Energy efficiency in buildings</w:t>
      </w:r>
    </w:p>
    <w:p w14:paraId="3D6EB986" w14:textId="77777777" w:rsidR="00623AF8" w:rsidRDefault="00AC460E" w:rsidP="00623AF8">
      <w:pPr>
        <w:ind w:firstLine="360"/>
        <w:jc w:val="both"/>
        <w:rPr>
          <w:rFonts w:ascii="Aptos" w:hAnsi="Aptos"/>
          <w:sz w:val="18"/>
          <w:szCs w:val="18"/>
          <w:lang w:val="en-GB"/>
        </w:rPr>
      </w:pPr>
      <w:hyperlink r:id="rId126" w:history="1">
        <w:r w:rsidR="00623AF8" w:rsidRPr="00B83BAA">
          <w:rPr>
            <w:rStyle w:val="Hyperlink"/>
            <w:rFonts w:ascii="Aptos" w:hAnsi="Aptos"/>
            <w:sz w:val="18"/>
            <w:szCs w:val="18"/>
            <w:lang w:val="en-GB"/>
          </w:rPr>
          <w:t>https://commission.europa.eu/news/focus-energy-efficiency-buildings-2020-02-17_en</w:t>
        </w:r>
      </w:hyperlink>
    </w:p>
    <w:p w14:paraId="5BD00E3D" w14:textId="77777777" w:rsidR="00623AF8" w:rsidRPr="00A0603B" w:rsidRDefault="00623AF8" w:rsidP="00F63BE8">
      <w:pPr>
        <w:pStyle w:val="Listenabsatz"/>
        <w:numPr>
          <w:ilvl w:val="0"/>
          <w:numId w:val="68"/>
        </w:numPr>
        <w:jc w:val="both"/>
        <w:rPr>
          <w:rFonts w:ascii="Aptos" w:hAnsi="Aptos"/>
          <w:sz w:val="18"/>
          <w:szCs w:val="18"/>
          <w:lang w:val="en-GB"/>
        </w:rPr>
      </w:pPr>
      <w:r w:rsidRPr="00A0603B">
        <w:rPr>
          <w:rFonts w:ascii="Aptos" w:hAnsi="Aptos"/>
          <w:sz w:val="18"/>
          <w:szCs w:val="18"/>
          <w:lang w:val="en-GB"/>
        </w:rPr>
        <w:t>European Commission 202</w:t>
      </w:r>
      <w:r>
        <w:rPr>
          <w:rFonts w:ascii="Aptos" w:hAnsi="Aptos"/>
          <w:sz w:val="18"/>
          <w:szCs w:val="18"/>
          <w:lang w:val="en-GB"/>
        </w:rPr>
        <w:t>3</w:t>
      </w:r>
      <w:r w:rsidRPr="00A0603B">
        <w:rPr>
          <w:rFonts w:ascii="Aptos" w:hAnsi="Aptos"/>
          <w:sz w:val="18"/>
          <w:szCs w:val="18"/>
          <w:lang w:val="en-GB"/>
        </w:rPr>
        <w:t xml:space="preserve">: </w:t>
      </w:r>
      <w:r>
        <w:rPr>
          <w:rFonts w:ascii="Aptos" w:hAnsi="Aptos"/>
          <w:sz w:val="18"/>
          <w:szCs w:val="18"/>
          <w:lang w:val="en-GB"/>
        </w:rPr>
        <w:t>Energy Poverty</w:t>
      </w:r>
    </w:p>
    <w:p w14:paraId="57BF1BB7" w14:textId="77777777" w:rsidR="00623AF8" w:rsidRDefault="00AC460E" w:rsidP="00623AF8">
      <w:pPr>
        <w:pStyle w:val="Listenabsatz"/>
        <w:ind w:left="360"/>
        <w:jc w:val="both"/>
        <w:rPr>
          <w:rStyle w:val="Hyperlink"/>
          <w:rFonts w:ascii="Aptos" w:hAnsi="Aptos"/>
          <w:sz w:val="18"/>
          <w:szCs w:val="18"/>
          <w:lang w:val="en-GB"/>
        </w:rPr>
      </w:pPr>
      <w:hyperlink r:id="rId127" w:history="1">
        <w:r w:rsidR="00623AF8" w:rsidRPr="00BD3840">
          <w:rPr>
            <w:rStyle w:val="Hyperlink"/>
            <w:rFonts w:ascii="Aptos" w:hAnsi="Aptos"/>
            <w:sz w:val="18"/>
            <w:szCs w:val="18"/>
            <w:lang w:val="en-GB"/>
          </w:rPr>
          <w:t>https://energy.ec.europa.eu/topics/markets-and-consumers/energy-consumer-rights/energy-poverty_en</w:t>
        </w:r>
      </w:hyperlink>
    </w:p>
    <w:p w14:paraId="5997285A" w14:textId="77777777" w:rsidR="00623AF8" w:rsidRDefault="00623AF8" w:rsidP="00623AF8">
      <w:pPr>
        <w:pStyle w:val="Listenabsatz"/>
        <w:jc w:val="both"/>
        <w:rPr>
          <w:rStyle w:val="Hyperlink"/>
          <w:rFonts w:ascii="Aptos" w:hAnsi="Aptos"/>
          <w:sz w:val="18"/>
          <w:szCs w:val="18"/>
          <w:lang w:val="en-GB"/>
        </w:rPr>
      </w:pPr>
    </w:p>
    <w:p w14:paraId="16F3DB9D" w14:textId="77777777" w:rsidR="00623AF8" w:rsidRPr="00BD3840" w:rsidRDefault="00623AF8" w:rsidP="00623AF8">
      <w:pPr>
        <w:rPr>
          <w:rFonts w:ascii="Aptos" w:hAnsi="Aptos"/>
          <w:bCs/>
          <w:sz w:val="22"/>
          <w:szCs w:val="22"/>
          <w:lang w:val="en-GB"/>
        </w:rPr>
      </w:pPr>
    </w:p>
    <w:p w14:paraId="243CE47D" w14:textId="77777777" w:rsidR="00623AF8" w:rsidRPr="00BD3840" w:rsidRDefault="00623AF8" w:rsidP="00623AF8">
      <w:pPr>
        <w:rPr>
          <w:rFonts w:ascii="Aptos" w:hAnsi="Aptos"/>
          <w:bCs/>
          <w:sz w:val="22"/>
          <w:szCs w:val="22"/>
          <w:lang w:val="en-GB"/>
        </w:rPr>
      </w:pPr>
    </w:p>
    <w:p w14:paraId="4F1649B4" w14:textId="77777777" w:rsidR="00623AF8" w:rsidRPr="00ED5F4A" w:rsidRDefault="00623AF8" w:rsidP="00623AF8">
      <w:pPr>
        <w:pStyle w:val="berschrift1"/>
        <w:rPr>
          <w:bCs/>
          <w:szCs w:val="24"/>
          <w:lang w:val="en-GB"/>
        </w:rPr>
      </w:pPr>
      <w:bookmarkStart w:id="455" w:name="_Toc170377508"/>
    </w:p>
    <w:p w14:paraId="2516645F" w14:textId="77777777" w:rsidR="00623AF8" w:rsidRDefault="00623AF8" w:rsidP="00623AF8">
      <w:pPr>
        <w:pStyle w:val="berschrift1"/>
        <w:rPr>
          <w:bCs/>
          <w:szCs w:val="24"/>
        </w:rPr>
      </w:pPr>
      <w:bookmarkStart w:id="456" w:name="_Toc170983811"/>
      <w:r w:rsidRPr="0082018A">
        <w:rPr>
          <w:bCs/>
          <w:szCs w:val="24"/>
        </w:rPr>
        <w:t xml:space="preserve">Vermeidung sozial segregierter und vulnerabler </w:t>
      </w:r>
      <w:r>
        <w:rPr>
          <w:bCs/>
          <w:szCs w:val="24"/>
        </w:rPr>
        <w:t>Stadtq</w:t>
      </w:r>
      <w:r w:rsidRPr="0082018A">
        <w:rPr>
          <w:bCs/>
          <w:szCs w:val="24"/>
        </w:rPr>
        <w:t>uartiere</w:t>
      </w:r>
      <w:bookmarkEnd w:id="455"/>
      <w:bookmarkEnd w:id="456"/>
    </w:p>
    <w:p w14:paraId="67154C27" w14:textId="77777777" w:rsidR="00623AF8" w:rsidRPr="00947286" w:rsidRDefault="00623AF8" w:rsidP="00623AF8"/>
    <w:tbl>
      <w:tblPr>
        <w:tblStyle w:val="Tabellenraster"/>
        <w:tblW w:w="0" w:type="auto"/>
        <w:tblInd w:w="108" w:type="dxa"/>
        <w:tblLook w:val="04A0" w:firstRow="1" w:lastRow="0" w:firstColumn="1" w:lastColumn="0" w:noHBand="0" w:noVBand="1"/>
      </w:tblPr>
      <w:tblGrid>
        <w:gridCol w:w="8952"/>
      </w:tblGrid>
      <w:tr w:rsidR="00623AF8" w:rsidRPr="0050443A" w14:paraId="1776CD9A" w14:textId="77777777" w:rsidTr="00875DD0">
        <w:tc>
          <w:tcPr>
            <w:tcW w:w="9060" w:type="dxa"/>
            <w:shd w:val="clear" w:color="auto" w:fill="D9D9D9" w:themeFill="background1" w:themeFillShade="D9"/>
          </w:tcPr>
          <w:p w14:paraId="3717647D"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5FA74E78" w14:textId="77777777" w:rsidTr="00875DD0">
        <w:tc>
          <w:tcPr>
            <w:tcW w:w="9060" w:type="dxa"/>
          </w:tcPr>
          <w:p w14:paraId="43BA5DA5" w14:textId="77777777" w:rsidR="00623AF8" w:rsidRPr="0050443A" w:rsidRDefault="00623AF8" w:rsidP="00875DD0">
            <w:pPr>
              <w:spacing w:before="120" w:after="120"/>
              <w:jc w:val="both"/>
              <w:rPr>
                <w:rFonts w:ascii="Aptos" w:hAnsi="Aptos"/>
                <w:b/>
                <w:bCs/>
                <w:sz w:val="22"/>
                <w:szCs w:val="22"/>
                <w:lang w:val="de-DE"/>
              </w:rPr>
            </w:pPr>
            <w:r w:rsidRPr="00353C4A">
              <w:rPr>
                <w:rFonts w:ascii="Aptos" w:hAnsi="Aptos" w:cs="Segoe UI"/>
                <w:color w:val="0D0D0D"/>
                <w:sz w:val="22"/>
                <w:szCs w:val="22"/>
                <w:shd w:val="clear" w:color="auto" w:fill="FFFFFF"/>
              </w:rPr>
              <w:t xml:space="preserve">Die Segregation in europäischen Städten stellt ein Problem dar, da sie soziale Ungleichheiten verstärkt, den sozialen Zusammenhalt gefährdet und den Zugang zu Ressourcen und Chancen ungleich verteilt. Dies hat zur Folge, dass bestimmte Bevölkerungsgruppen, wie Menschen mit niedrigem Einkommen oder ethnische Minderheiten, von Bildung, Beschäftigungsmöglichkeiten und anderen wichtigen Dienstleistungen ausgeschlossen sein können. So genannte </w:t>
            </w:r>
            <w:r>
              <w:rPr>
                <w:rFonts w:ascii="Aptos" w:hAnsi="Aptos" w:cs="Segoe UI"/>
                <w:color w:val="0D0D0D"/>
                <w:sz w:val="22"/>
                <w:szCs w:val="22"/>
                <w:shd w:val="clear" w:color="auto" w:fill="FFFFFF"/>
              </w:rPr>
              <w:t>vulnerable Stadtquartiere</w:t>
            </w:r>
            <w:r w:rsidRPr="00353C4A">
              <w:rPr>
                <w:rFonts w:ascii="Aptos" w:hAnsi="Aptos" w:cs="Segoe UI"/>
                <w:color w:val="0D0D0D"/>
                <w:sz w:val="22"/>
                <w:szCs w:val="22"/>
                <w:shd w:val="clear" w:color="auto" w:fill="FFFFFF"/>
              </w:rPr>
              <w:t xml:space="preserve"> können zu einem Sicherheitsproblem werden. Dies ist häufig auf einen Mangel an räumlich verteiltem, bezahlbarem Wohnraum zurückzuführen. </w:t>
            </w:r>
            <w:r w:rsidRPr="007D5302">
              <w:rPr>
                <w:rFonts w:ascii="Aptos" w:hAnsi="Aptos" w:cs="Segoe UI"/>
                <w:b/>
                <w:bCs/>
                <w:color w:val="0D0D0D"/>
                <w:sz w:val="22"/>
                <w:szCs w:val="22"/>
                <w:shd w:val="clear" w:color="auto" w:fill="FFFFFF"/>
              </w:rPr>
              <w:t>Welche Initiativen und EU-Programme planen Sie, um sozial segregierte und gefährdete Stadtviertel in europäischen Städten zu verhindern?</w:t>
            </w:r>
          </w:p>
        </w:tc>
      </w:tr>
      <w:tr w:rsidR="00623AF8" w:rsidRPr="0050443A" w14:paraId="5A6B0CCA" w14:textId="77777777" w:rsidTr="00875DD0">
        <w:tc>
          <w:tcPr>
            <w:tcW w:w="9060" w:type="dxa"/>
            <w:shd w:val="clear" w:color="auto" w:fill="D9D9D9" w:themeFill="background1" w:themeFillShade="D9"/>
          </w:tcPr>
          <w:p w14:paraId="307A2F08"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2713CF08" w14:textId="77777777" w:rsidTr="00875DD0">
        <w:tc>
          <w:tcPr>
            <w:tcW w:w="9060" w:type="dxa"/>
          </w:tcPr>
          <w:p w14:paraId="57D674C7" w14:textId="77777777" w:rsidR="00623AF8" w:rsidRPr="007D5302" w:rsidRDefault="00623AF8" w:rsidP="00F63BE8">
            <w:pPr>
              <w:pStyle w:val="Listenabsatz"/>
              <w:numPr>
                <w:ilvl w:val="0"/>
                <w:numId w:val="20"/>
              </w:numPr>
              <w:spacing w:before="120" w:after="120"/>
              <w:jc w:val="both"/>
              <w:rPr>
                <w:rFonts w:ascii="Aptos" w:hAnsi="Aptos"/>
                <w:sz w:val="22"/>
                <w:szCs w:val="22"/>
              </w:rPr>
            </w:pPr>
            <w:r w:rsidRPr="007D5302">
              <w:rPr>
                <w:rFonts w:ascii="Aptos" w:hAnsi="Aptos"/>
                <w:sz w:val="22"/>
                <w:szCs w:val="22"/>
              </w:rPr>
              <w:t xml:space="preserve">Welche Bedeutung messen Sie dem </w:t>
            </w:r>
            <w:r>
              <w:rPr>
                <w:rFonts w:ascii="Aptos" w:hAnsi="Aptos"/>
                <w:sz w:val="22"/>
                <w:szCs w:val="22"/>
              </w:rPr>
              <w:t>kommunalen</w:t>
            </w:r>
            <w:r w:rsidRPr="007D5302">
              <w:rPr>
                <w:rFonts w:ascii="Aptos" w:hAnsi="Aptos"/>
                <w:sz w:val="22"/>
                <w:szCs w:val="22"/>
              </w:rPr>
              <w:t xml:space="preserve"> und </w:t>
            </w:r>
            <w:r w:rsidRPr="00325640">
              <w:rPr>
                <w:rFonts w:ascii="Aptos" w:hAnsi="Aptos"/>
                <w:sz w:val="22"/>
                <w:szCs w:val="22"/>
              </w:rPr>
              <w:t>gemein</w:t>
            </w:r>
            <w:r>
              <w:rPr>
                <w:rFonts w:ascii="Aptos" w:hAnsi="Aptos"/>
                <w:sz w:val="22"/>
                <w:szCs w:val="22"/>
              </w:rPr>
              <w:t>nützigen</w:t>
            </w:r>
            <w:r w:rsidRPr="00325640">
              <w:rPr>
                <w:rFonts w:ascii="Aptos" w:hAnsi="Aptos"/>
                <w:sz w:val="22"/>
                <w:szCs w:val="22"/>
              </w:rPr>
              <w:t xml:space="preserve"> </w:t>
            </w:r>
            <w:r w:rsidRPr="007D5302">
              <w:rPr>
                <w:rFonts w:ascii="Aptos" w:hAnsi="Aptos"/>
                <w:sz w:val="22"/>
                <w:szCs w:val="22"/>
              </w:rPr>
              <w:t>Wohnungsbau bei, um die soziale Durchmischung in europäischen Städten zu fördern?</w:t>
            </w:r>
          </w:p>
          <w:p w14:paraId="594AD680" w14:textId="77777777" w:rsidR="00623AF8" w:rsidRPr="0050443A" w:rsidRDefault="00623AF8" w:rsidP="00F63BE8">
            <w:pPr>
              <w:pStyle w:val="Listenabsatz"/>
              <w:numPr>
                <w:ilvl w:val="0"/>
                <w:numId w:val="20"/>
              </w:numPr>
              <w:spacing w:before="120" w:after="120"/>
              <w:jc w:val="both"/>
              <w:rPr>
                <w:rFonts w:ascii="Aptos" w:hAnsi="Aptos"/>
                <w:sz w:val="22"/>
                <w:szCs w:val="22"/>
              </w:rPr>
            </w:pPr>
            <w:r w:rsidRPr="007D5302">
              <w:rPr>
                <w:rFonts w:ascii="Aptos" w:hAnsi="Aptos"/>
                <w:sz w:val="22"/>
                <w:szCs w:val="22"/>
              </w:rPr>
              <w:t xml:space="preserve">Welche Rolle spielen </w:t>
            </w:r>
            <w:r w:rsidRPr="00325640">
              <w:rPr>
                <w:rFonts w:ascii="Aptos" w:hAnsi="Aptos"/>
                <w:sz w:val="22"/>
                <w:szCs w:val="22"/>
              </w:rPr>
              <w:t>gemein</w:t>
            </w:r>
            <w:r>
              <w:rPr>
                <w:rFonts w:ascii="Aptos" w:hAnsi="Aptos"/>
                <w:sz w:val="22"/>
                <w:szCs w:val="22"/>
              </w:rPr>
              <w:t>nützige</w:t>
            </w:r>
            <w:r w:rsidRPr="00325640">
              <w:rPr>
                <w:rFonts w:ascii="Aptos" w:hAnsi="Aptos"/>
                <w:sz w:val="22"/>
                <w:szCs w:val="22"/>
              </w:rPr>
              <w:t xml:space="preserve"> </w:t>
            </w:r>
            <w:r w:rsidRPr="007D5302">
              <w:rPr>
                <w:rFonts w:ascii="Aptos" w:hAnsi="Aptos"/>
                <w:sz w:val="22"/>
                <w:szCs w:val="22"/>
              </w:rPr>
              <w:t>Organisationen in Ihren Überlegungen?</w:t>
            </w:r>
          </w:p>
        </w:tc>
      </w:tr>
    </w:tbl>
    <w:p w14:paraId="3DFA3A47" w14:textId="77777777" w:rsidR="00623AF8" w:rsidRDefault="00623AF8" w:rsidP="00623AF8">
      <w:pPr>
        <w:spacing w:after="120"/>
        <w:jc w:val="both"/>
        <w:rPr>
          <w:rFonts w:ascii="Aptos" w:hAnsi="Aptos"/>
          <w:i/>
          <w:iCs/>
          <w:sz w:val="22"/>
          <w:szCs w:val="22"/>
          <w:u w:val="single"/>
        </w:rPr>
      </w:pPr>
    </w:p>
    <w:tbl>
      <w:tblPr>
        <w:tblStyle w:val="TableNormal2"/>
        <w:tblW w:w="0" w:type="auto"/>
        <w:tblLayout w:type="fixed"/>
        <w:tblLook w:val="01E0" w:firstRow="1" w:lastRow="1" w:firstColumn="1" w:lastColumn="1" w:noHBand="0" w:noVBand="0"/>
      </w:tblPr>
      <w:tblGrid>
        <w:gridCol w:w="9066"/>
      </w:tblGrid>
      <w:tr w:rsidR="00623AF8" w:rsidRPr="009B5839" w14:paraId="18CD6AD3" w14:textId="77777777" w:rsidTr="00875DD0">
        <w:trPr>
          <w:trHeight w:val="277"/>
        </w:trPr>
        <w:tc>
          <w:tcPr>
            <w:tcW w:w="9066" w:type="dxa"/>
            <w:shd w:val="clear" w:color="auto" w:fill="D9D9D9"/>
          </w:tcPr>
          <w:p w14:paraId="439A7D80"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1B87D388" w14:textId="77777777" w:rsidR="00623AF8" w:rsidRDefault="00623AF8" w:rsidP="00623AF8">
      <w:pPr>
        <w:spacing w:after="120"/>
        <w:jc w:val="both"/>
        <w:rPr>
          <w:rFonts w:ascii="Aptos" w:hAnsi="Aptos"/>
        </w:rPr>
      </w:pPr>
      <w:r w:rsidRPr="00353C4A">
        <w:rPr>
          <w:rFonts w:ascii="Aptos" w:hAnsi="Aptos"/>
          <w:sz w:val="22"/>
          <w:szCs w:val="22"/>
        </w:rPr>
        <w:t xml:space="preserve">Das Phänomen sogenannter „vulnerabler </w:t>
      </w:r>
      <w:r>
        <w:rPr>
          <w:rFonts w:ascii="Aptos" w:hAnsi="Aptos"/>
          <w:sz w:val="22"/>
          <w:szCs w:val="22"/>
        </w:rPr>
        <w:t>Stadtq</w:t>
      </w:r>
      <w:r w:rsidRPr="00353C4A">
        <w:rPr>
          <w:rFonts w:ascii="Aptos" w:hAnsi="Aptos"/>
          <w:sz w:val="22"/>
          <w:szCs w:val="22"/>
        </w:rPr>
        <w:t>uartiere“ ist in europäischen Großstädten seit Jahrzehnten bekannt. Aufgrund verfehlter Wohnungs- und Stadtentwicklungspolitiken in Verbindung mit dem freien Wohnungsmarkt hat sich die Situation leider verschärft.</w:t>
      </w:r>
      <w:r>
        <w:rPr>
          <w:rFonts w:ascii="Aptos" w:hAnsi="Aptos"/>
          <w:sz w:val="22"/>
          <w:szCs w:val="22"/>
        </w:rPr>
        <w:t xml:space="preserve"> </w:t>
      </w:r>
      <w:r w:rsidRPr="00353C4A">
        <w:rPr>
          <w:rFonts w:ascii="Aptos" w:hAnsi="Aptos"/>
          <w:sz w:val="22"/>
          <w:szCs w:val="22"/>
        </w:rPr>
        <w:t>Die Segregation in europäischen Städten stellt</w:t>
      </w:r>
      <w:r>
        <w:rPr>
          <w:rFonts w:ascii="Aptos" w:hAnsi="Aptos"/>
          <w:sz w:val="22"/>
          <w:szCs w:val="22"/>
        </w:rPr>
        <w:t xml:space="preserve"> somit</w:t>
      </w:r>
      <w:r w:rsidRPr="00353C4A">
        <w:rPr>
          <w:rFonts w:ascii="Aptos" w:hAnsi="Aptos"/>
          <w:sz w:val="22"/>
          <w:szCs w:val="22"/>
        </w:rPr>
        <w:t xml:space="preserve"> ein ernsthaftes soziales Problem dar, das die sozialen Ungleichheiten verstärkt, den sozialen Zusammenhalt gefährdet und den Zugang zu Ressourcen und Chancen ungleich verteilt. Die Segregation</w:t>
      </w:r>
      <w:r>
        <w:rPr>
          <w:rFonts w:ascii="Aptos" w:hAnsi="Aptos"/>
          <w:sz w:val="22"/>
          <w:szCs w:val="22"/>
        </w:rPr>
        <w:t xml:space="preserve"> in solchen Vierteln</w:t>
      </w:r>
      <w:r w:rsidRPr="00353C4A">
        <w:rPr>
          <w:rFonts w:ascii="Aptos" w:hAnsi="Aptos"/>
          <w:sz w:val="22"/>
          <w:szCs w:val="22"/>
        </w:rPr>
        <w:t xml:space="preserve"> führt häufig zu getrennten Lebenswelten, in denen bestimmte Bevölkerungsgruppen, wie Menschen mit niedrigem Einkommen oder ethnische Minderheiten, von Bildung, Beschäftigungsmöglichkeiten und anderen wichtigen Dienstleistungen ausgeschlossen sein können</w:t>
      </w:r>
      <w:r>
        <w:rPr>
          <w:rFonts w:ascii="Aptos" w:hAnsi="Aptos"/>
          <w:sz w:val="22"/>
          <w:szCs w:val="22"/>
        </w:rPr>
        <w:t xml:space="preserve">. </w:t>
      </w:r>
      <w:r w:rsidRPr="00353C4A">
        <w:rPr>
          <w:rFonts w:ascii="Aptos" w:hAnsi="Aptos"/>
          <w:sz w:val="22"/>
          <w:szCs w:val="22"/>
        </w:rPr>
        <w:t xml:space="preserve">Ein Mangel an räumlich verteiltem, bezahlbarem Wohnraum ist in vielen Fällen die Ursache. </w:t>
      </w:r>
      <w:r>
        <w:rPr>
          <w:rFonts w:ascii="Aptos" w:hAnsi="Aptos"/>
          <w:sz w:val="22"/>
          <w:szCs w:val="22"/>
        </w:rPr>
        <w:t>D</w:t>
      </w:r>
      <w:r w:rsidRPr="007E3A3D">
        <w:rPr>
          <w:rFonts w:ascii="Aptos" w:hAnsi="Aptos"/>
          <w:sz w:val="22"/>
          <w:szCs w:val="22"/>
        </w:rPr>
        <w:t>ie Bewohner:innen dieser Stadtviertel sind häufig mit einer unzureichenden Infrastruktur, mangelndem Zugang zu Bildungseinrichtungen, Gesundheitsdiensten und Beschäftigungsmöglichkeiten konfrontiert</w:t>
      </w:r>
      <w:r w:rsidRPr="00353C4A">
        <w:rPr>
          <w:rFonts w:ascii="Aptos" w:hAnsi="Aptos"/>
          <w:sz w:val="22"/>
          <w:szCs w:val="22"/>
        </w:rPr>
        <w:t xml:space="preserve">. Das </w:t>
      </w:r>
      <w:r>
        <w:rPr>
          <w:rFonts w:ascii="Aptos" w:hAnsi="Aptos"/>
          <w:sz w:val="22"/>
          <w:szCs w:val="22"/>
        </w:rPr>
        <w:t xml:space="preserve">daraus resultierende </w:t>
      </w:r>
      <w:r w:rsidRPr="00353C4A">
        <w:rPr>
          <w:rFonts w:ascii="Aptos" w:hAnsi="Aptos"/>
          <w:sz w:val="22"/>
          <w:szCs w:val="22"/>
        </w:rPr>
        <w:t>Fehlen von sozialer Durchmischung in Wohngebieten kann die sozialen und wirtschaftlichen Probleme in diesen Vierteln</w:t>
      </w:r>
      <w:r>
        <w:rPr>
          <w:rFonts w:ascii="Aptos" w:hAnsi="Aptos"/>
          <w:sz w:val="22"/>
          <w:szCs w:val="22"/>
        </w:rPr>
        <w:t xml:space="preserve"> zusätzlich</w:t>
      </w:r>
      <w:r w:rsidRPr="00353C4A">
        <w:rPr>
          <w:rFonts w:ascii="Aptos" w:hAnsi="Aptos"/>
          <w:sz w:val="22"/>
          <w:szCs w:val="22"/>
        </w:rPr>
        <w:t xml:space="preserve"> verstärken. Aus Perspektive der Daseinsvorsorge ist der kommunale und gemeinnützige Wohnbau bei einer nachhaltigen Stadtentwicklung von entscheidender Bedeutung. Er dient der Vorbeugung vulnerabler Quartiere und der räumlich gerechten Verteilung leistbaren Wohnraums.</w:t>
      </w:r>
    </w:p>
    <w:p w14:paraId="44CAC8B2" w14:textId="77777777" w:rsidR="00623AF8" w:rsidRDefault="00623AF8" w:rsidP="00623AF8">
      <w:pPr>
        <w:rPr>
          <w:rFonts w:ascii="Aptos" w:hAnsi="Aptos"/>
        </w:rPr>
      </w:pPr>
    </w:p>
    <w:p w14:paraId="328228A9" w14:textId="77777777" w:rsidR="00623AF8" w:rsidRDefault="00623AF8" w:rsidP="00623AF8">
      <w:pPr>
        <w:rPr>
          <w:rFonts w:ascii="Aptos" w:hAnsi="Aptos"/>
        </w:rPr>
      </w:pPr>
    </w:p>
    <w:p w14:paraId="465EA69F" w14:textId="77777777" w:rsidR="00623AF8" w:rsidRDefault="00623AF8" w:rsidP="00623AF8">
      <w:pPr>
        <w:rPr>
          <w:rFonts w:ascii="Aptos" w:hAnsi="Aptos"/>
        </w:rPr>
      </w:pPr>
    </w:p>
    <w:p w14:paraId="382B09B0" w14:textId="77777777" w:rsidR="00623AF8" w:rsidRDefault="00623AF8" w:rsidP="00623AF8">
      <w:pPr>
        <w:rPr>
          <w:rFonts w:ascii="Aptos" w:hAnsi="Aptos"/>
        </w:rPr>
      </w:pPr>
    </w:p>
    <w:p w14:paraId="661F7C4D" w14:textId="77777777" w:rsidR="00623AF8" w:rsidRDefault="00623AF8" w:rsidP="00623AF8">
      <w:pPr>
        <w:rPr>
          <w:rFonts w:ascii="Aptos" w:hAnsi="Aptos"/>
        </w:rPr>
      </w:pPr>
    </w:p>
    <w:p w14:paraId="60F08E3B" w14:textId="77777777" w:rsidR="00623AF8" w:rsidRDefault="00623AF8" w:rsidP="00623AF8">
      <w:pPr>
        <w:rPr>
          <w:rFonts w:ascii="Aptos" w:hAnsi="Aptos"/>
        </w:rPr>
      </w:pPr>
    </w:p>
    <w:p w14:paraId="4F9E5495" w14:textId="77777777" w:rsidR="00623AF8" w:rsidRDefault="00623AF8" w:rsidP="00623AF8">
      <w:pPr>
        <w:rPr>
          <w:rFonts w:ascii="Aptos" w:hAnsi="Aptos"/>
        </w:rPr>
      </w:pPr>
    </w:p>
    <w:p w14:paraId="081FB245" w14:textId="77777777" w:rsidR="00623AF8" w:rsidRDefault="00623AF8" w:rsidP="00623AF8">
      <w:pPr>
        <w:rPr>
          <w:rFonts w:ascii="Aptos" w:eastAsiaTheme="majorEastAsia" w:hAnsi="Aptos" w:cstheme="majorBidi"/>
          <w:b/>
          <w:bCs/>
          <w:color w:val="E4342D"/>
        </w:rPr>
      </w:pPr>
    </w:p>
    <w:p w14:paraId="4306C840" w14:textId="77777777" w:rsidR="00623AF8" w:rsidRDefault="00623AF8" w:rsidP="00623AF8">
      <w:pPr>
        <w:rPr>
          <w:rFonts w:ascii="Aptos" w:eastAsiaTheme="majorEastAsia" w:hAnsi="Aptos" w:cstheme="majorBidi"/>
          <w:b/>
          <w:bCs/>
          <w:color w:val="E4342D"/>
        </w:rPr>
      </w:pPr>
      <w:r w:rsidRPr="0082018A">
        <w:rPr>
          <w:rFonts w:ascii="Aptos" w:eastAsiaTheme="majorEastAsia" w:hAnsi="Aptos" w:cstheme="majorBidi"/>
          <w:b/>
          <w:bCs/>
          <w:color w:val="E4342D"/>
        </w:rPr>
        <w:t>Kurzzeitvermietung</w:t>
      </w:r>
    </w:p>
    <w:p w14:paraId="763D0827" w14:textId="77777777" w:rsidR="00623AF8" w:rsidRPr="0050443A" w:rsidRDefault="00623AF8" w:rsidP="00623AF8">
      <w:pPr>
        <w:rPr>
          <w:rFonts w:ascii="Aptos" w:hAnsi="Aptos"/>
          <w:i/>
          <w:iCs/>
          <w:sz w:val="22"/>
          <w:szCs w:val="22"/>
          <w:u w:val="single"/>
        </w:rPr>
      </w:pPr>
    </w:p>
    <w:tbl>
      <w:tblPr>
        <w:tblStyle w:val="Tabellenraster"/>
        <w:tblW w:w="0" w:type="auto"/>
        <w:tblInd w:w="108" w:type="dxa"/>
        <w:tblLook w:val="04A0" w:firstRow="1" w:lastRow="0" w:firstColumn="1" w:lastColumn="0" w:noHBand="0" w:noVBand="1"/>
      </w:tblPr>
      <w:tblGrid>
        <w:gridCol w:w="8952"/>
      </w:tblGrid>
      <w:tr w:rsidR="00623AF8" w:rsidRPr="0050443A" w14:paraId="1852BFA5" w14:textId="77777777" w:rsidTr="00875DD0">
        <w:tc>
          <w:tcPr>
            <w:tcW w:w="9060" w:type="dxa"/>
            <w:shd w:val="clear" w:color="auto" w:fill="D9D9D9" w:themeFill="background1" w:themeFillShade="D9"/>
          </w:tcPr>
          <w:p w14:paraId="1E6EB642"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39AFEA15" w14:textId="77777777" w:rsidTr="00875DD0">
        <w:tc>
          <w:tcPr>
            <w:tcW w:w="9060" w:type="dxa"/>
          </w:tcPr>
          <w:p w14:paraId="398EE33A" w14:textId="77777777" w:rsidR="00623AF8" w:rsidRPr="0050443A" w:rsidRDefault="00623AF8" w:rsidP="00875DD0">
            <w:pPr>
              <w:spacing w:before="120" w:after="120"/>
              <w:jc w:val="both"/>
              <w:rPr>
                <w:rFonts w:ascii="Aptos" w:hAnsi="Aptos"/>
                <w:b/>
                <w:bCs/>
                <w:sz w:val="22"/>
                <w:szCs w:val="22"/>
                <w:lang w:val="de-DE"/>
              </w:rPr>
            </w:pPr>
            <w:r w:rsidRPr="007E3A3D">
              <w:rPr>
                <w:rFonts w:ascii="Aptos" w:hAnsi="Aptos" w:cs="Segoe UI"/>
                <w:color w:val="0D0D0D"/>
                <w:sz w:val="22"/>
                <w:szCs w:val="22"/>
                <w:shd w:val="clear" w:color="auto" w:fill="FFFFFF"/>
              </w:rPr>
              <w:t>Die touristische Kurzzeitvermietung in europäischen Städten stellt insbesondere für kommunale und gemeinnützige Wohnungsanbieter eine Herausforderung dar. Plattformen wie AirBnB können zu einer Verknappung von Wohnraum führen, da Wohnungen für touristische Kurzzeitaufenthalte genutzt werden und somit langfristig Wohnraum für Einheimische verloren geht. Darüber hinaus können sie zur Kommerzialisierung von Wohngegenden und zu steigenden Miet- und Immobilienpreisen führen, was wiederum soziale Ungleichheit und Gentrifizierung verstärkt. Die Short-Term-Rental-Initiative (STRI) der EU stellt einen wichtigen Schritt zur Lösung dieses Problems dar.</w:t>
            </w:r>
            <w:r w:rsidRPr="00A00A8B">
              <w:rPr>
                <w:rFonts w:ascii="Aptos" w:hAnsi="Aptos" w:cs="Segoe UI"/>
                <w:color w:val="0D0D0D"/>
                <w:sz w:val="22"/>
                <w:szCs w:val="22"/>
                <w:shd w:val="clear" w:color="auto" w:fill="FFFFFF"/>
              </w:rPr>
              <w:t xml:space="preserve"> </w:t>
            </w:r>
            <w:r w:rsidRPr="00A00A8B">
              <w:rPr>
                <w:rFonts w:ascii="Aptos" w:hAnsi="Aptos" w:cs="Segoe UI"/>
                <w:b/>
                <w:bCs/>
                <w:color w:val="0D0D0D"/>
                <w:sz w:val="22"/>
                <w:szCs w:val="22"/>
                <w:shd w:val="clear" w:color="auto" w:fill="FFFFFF"/>
              </w:rPr>
              <w:t>Beabsichtigen Sie, die private touristische Kurzzeitvermietung in Europa weiter einzuschränken und zu regulieren?</w:t>
            </w:r>
          </w:p>
        </w:tc>
      </w:tr>
      <w:tr w:rsidR="00623AF8" w:rsidRPr="0050443A" w14:paraId="10CE8896" w14:textId="77777777" w:rsidTr="00875DD0">
        <w:tc>
          <w:tcPr>
            <w:tcW w:w="9060" w:type="dxa"/>
            <w:shd w:val="clear" w:color="auto" w:fill="D9D9D9" w:themeFill="background1" w:themeFillShade="D9"/>
          </w:tcPr>
          <w:p w14:paraId="2CB40272"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15D6D6E3" w14:textId="77777777" w:rsidTr="00875DD0">
        <w:tc>
          <w:tcPr>
            <w:tcW w:w="9060" w:type="dxa"/>
          </w:tcPr>
          <w:p w14:paraId="5E5AACAB" w14:textId="77777777" w:rsidR="00623AF8" w:rsidRPr="002852F0" w:rsidRDefault="00623AF8" w:rsidP="00F63BE8">
            <w:pPr>
              <w:pStyle w:val="Listenabsatz"/>
              <w:numPr>
                <w:ilvl w:val="0"/>
                <w:numId w:val="51"/>
              </w:numPr>
              <w:spacing w:before="120" w:after="120"/>
              <w:jc w:val="both"/>
              <w:rPr>
                <w:rFonts w:ascii="Aptos" w:hAnsi="Aptos"/>
                <w:sz w:val="22"/>
                <w:szCs w:val="22"/>
              </w:rPr>
            </w:pPr>
            <w:r w:rsidRPr="002852F0">
              <w:rPr>
                <w:rFonts w:ascii="Aptos" w:hAnsi="Aptos"/>
                <w:sz w:val="22"/>
                <w:szCs w:val="22"/>
              </w:rPr>
              <w:t xml:space="preserve">Wie wollen Sie sicherstellen, dass </w:t>
            </w:r>
            <w:r w:rsidRPr="00325640">
              <w:rPr>
                <w:rFonts w:ascii="Aptos" w:hAnsi="Aptos"/>
                <w:sz w:val="22"/>
                <w:szCs w:val="22"/>
              </w:rPr>
              <w:t>gemein</w:t>
            </w:r>
            <w:r>
              <w:rPr>
                <w:rFonts w:ascii="Aptos" w:hAnsi="Aptos"/>
                <w:sz w:val="22"/>
                <w:szCs w:val="22"/>
              </w:rPr>
              <w:t>nütziger</w:t>
            </w:r>
            <w:r w:rsidRPr="00325640">
              <w:rPr>
                <w:rFonts w:ascii="Aptos" w:hAnsi="Aptos"/>
                <w:sz w:val="22"/>
                <w:szCs w:val="22"/>
              </w:rPr>
              <w:t xml:space="preserve"> </w:t>
            </w:r>
            <w:r w:rsidRPr="002852F0">
              <w:rPr>
                <w:rFonts w:ascii="Aptos" w:hAnsi="Aptos"/>
                <w:sz w:val="22"/>
                <w:szCs w:val="22"/>
              </w:rPr>
              <w:t xml:space="preserve">bzw. geförderter Wohnraum nicht für touristische Kurzzeitvermietungen (z.B. Airbnb) zweckentfremdet wird? </w:t>
            </w:r>
          </w:p>
          <w:p w14:paraId="579F1594" w14:textId="77777777" w:rsidR="00623AF8" w:rsidRDefault="00623AF8" w:rsidP="00F63BE8">
            <w:pPr>
              <w:pStyle w:val="Listenabsatz"/>
              <w:numPr>
                <w:ilvl w:val="0"/>
                <w:numId w:val="51"/>
              </w:numPr>
              <w:spacing w:before="120" w:after="120"/>
              <w:jc w:val="both"/>
              <w:rPr>
                <w:rFonts w:ascii="Aptos" w:hAnsi="Aptos"/>
                <w:sz w:val="22"/>
                <w:szCs w:val="22"/>
              </w:rPr>
            </w:pPr>
            <w:r w:rsidRPr="002852F0">
              <w:rPr>
                <w:rFonts w:ascii="Aptos" w:hAnsi="Aptos"/>
                <w:sz w:val="22"/>
                <w:szCs w:val="22"/>
              </w:rPr>
              <w:t>Sind EU-Programme geplant, um den Mehraufwand der Kommunen - z.B. den Verwaltungsaufwand für die Registrierung und Kontrolle von touristisch vermieteten Wohnungen auf Plattformen - auszugleichen?</w:t>
            </w:r>
          </w:p>
          <w:p w14:paraId="0D0BB978" w14:textId="77777777" w:rsidR="00623AF8" w:rsidRPr="0050443A" w:rsidRDefault="00623AF8" w:rsidP="00F63BE8">
            <w:pPr>
              <w:pStyle w:val="Listenabsatz"/>
              <w:numPr>
                <w:ilvl w:val="0"/>
                <w:numId w:val="51"/>
              </w:numPr>
              <w:spacing w:before="120" w:after="120"/>
              <w:jc w:val="both"/>
              <w:rPr>
                <w:rFonts w:ascii="Aptos" w:hAnsi="Aptos"/>
                <w:sz w:val="22"/>
                <w:szCs w:val="22"/>
              </w:rPr>
            </w:pPr>
            <w:r w:rsidRPr="003A432D">
              <w:rPr>
                <w:rFonts w:ascii="Aptos" w:hAnsi="Aptos"/>
                <w:sz w:val="22"/>
                <w:szCs w:val="22"/>
              </w:rPr>
              <w:t>Planen Sie die Einführung einer an Kurzzeitvermietungsplattformen gerichteten Offenlegungspflicht, um dem Phänomen des dauerhaften Entzugs von Wohnungen vom Wohnungsmarkt effektiv begegnen zu können?</w:t>
            </w:r>
          </w:p>
        </w:tc>
      </w:tr>
    </w:tbl>
    <w:p w14:paraId="6DFE6EF8" w14:textId="77777777" w:rsidR="00623AF8" w:rsidRPr="00002BF2" w:rsidRDefault="00623AF8" w:rsidP="00623AF8"/>
    <w:tbl>
      <w:tblPr>
        <w:tblStyle w:val="TableNormal2"/>
        <w:tblW w:w="0" w:type="auto"/>
        <w:tblLayout w:type="fixed"/>
        <w:tblLook w:val="01E0" w:firstRow="1" w:lastRow="1" w:firstColumn="1" w:lastColumn="1" w:noHBand="0" w:noVBand="0"/>
      </w:tblPr>
      <w:tblGrid>
        <w:gridCol w:w="9066"/>
      </w:tblGrid>
      <w:tr w:rsidR="00623AF8" w:rsidRPr="009B5839" w14:paraId="33EC9C57" w14:textId="77777777" w:rsidTr="00875DD0">
        <w:trPr>
          <w:trHeight w:val="277"/>
        </w:trPr>
        <w:tc>
          <w:tcPr>
            <w:tcW w:w="9066" w:type="dxa"/>
            <w:shd w:val="clear" w:color="auto" w:fill="D9D9D9"/>
          </w:tcPr>
          <w:p w14:paraId="54F41C40" w14:textId="77777777" w:rsidR="00623AF8" w:rsidRPr="009B5839" w:rsidRDefault="00623AF8" w:rsidP="00875DD0">
            <w:pPr>
              <w:pStyle w:val="TableParagraph"/>
              <w:ind w:left="0"/>
              <w:rPr>
                <w:rFonts w:ascii="Aptos" w:hAnsi="Aptos"/>
                <w:b/>
                <w:sz w:val="24"/>
              </w:rPr>
            </w:pPr>
            <w:r>
              <w:rPr>
                <w:rFonts w:ascii="Aptos" w:hAnsi="Aptos"/>
                <w:b/>
                <w:sz w:val="24"/>
              </w:rPr>
              <w:t>Hintergrundinformationen</w:t>
            </w:r>
          </w:p>
        </w:tc>
      </w:tr>
    </w:tbl>
    <w:p w14:paraId="17368E53" w14:textId="77777777" w:rsidR="00623AF8" w:rsidRDefault="00623AF8" w:rsidP="00623AF8">
      <w:pPr>
        <w:pStyle w:val="StandardWeb"/>
        <w:spacing w:before="0" w:beforeAutospacing="0" w:after="0" w:afterAutospacing="0"/>
        <w:jc w:val="both"/>
        <w:rPr>
          <w:rFonts w:ascii="Aptos" w:eastAsiaTheme="minorHAnsi" w:hAnsi="Aptos" w:cstheme="minorBidi"/>
          <w:sz w:val="22"/>
          <w:szCs w:val="22"/>
          <w:lang w:eastAsia="en-US"/>
        </w:rPr>
      </w:pPr>
      <w:r w:rsidRPr="007E3A3D">
        <w:rPr>
          <w:rFonts w:ascii="Aptos" w:eastAsiaTheme="minorHAnsi" w:hAnsi="Aptos" w:cstheme="minorBidi"/>
          <w:sz w:val="22"/>
          <w:szCs w:val="22"/>
          <w:lang w:eastAsia="en-US"/>
        </w:rPr>
        <w:t>Die Geschäftspraktiken von Airbnb und anderen Plattformen für touristische Kurzzeitvermietungen in europäischen Städten sind insbesondere für kommunale und gemeinnützige Wohnungsanbieter mit Herausforderungen verbunden.</w:t>
      </w:r>
      <w:r w:rsidRPr="00D874BA">
        <w:rPr>
          <w:rFonts w:ascii="Aptos" w:eastAsiaTheme="minorHAnsi" w:hAnsi="Aptos" w:cstheme="minorBidi"/>
          <w:sz w:val="22"/>
          <w:szCs w:val="22"/>
          <w:lang w:eastAsia="en-US"/>
        </w:rPr>
        <w:t xml:space="preserve"> Die Nutzung dieser Plattformen kann zu einer Verknappung von Wohnraum führen, da Wohnungen für Kurzaufenthalte genutzt werden, was langfristig die Verfügbarkeit von Wohnraum für Einheimische einschränkt. Dies kann zu einer Kommerzialisierung von Wohngegenden und steigenden Miet- und Immobilienpreisen führen, was wiederum soziale Ungleichheit und Gentrifizierung verstärkt. Diese Entwicklung beeinträchtigt das Ziel von kommunalen und gemeinnützigen Wohnungsanbietern, bezahlbaren Wohnraum für einkommensschwache Bevölkerungsgruppen bereitzustellen, da sie mit der Konkurrenz durch kurzfristige Vermietungen konfrontiert sind. Die Short-Term-Rental-Initiative (STR</w:t>
      </w:r>
      <w:r>
        <w:rPr>
          <w:rFonts w:ascii="Aptos" w:eastAsiaTheme="minorHAnsi" w:hAnsi="Aptos" w:cstheme="minorBidi"/>
          <w:sz w:val="22"/>
          <w:szCs w:val="22"/>
          <w:lang w:eastAsia="en-US"/>
        </w:rPr>
        <w:t>I</w:t>
      </w:r>
      <w:r w:rsidRPr="00D874BA">
        <w:rPr>
          <w:rFonts w:ascii="Aptos" w:eastAsiaTheme="minorHAnsi" w:hAnsi="Aptos" w:cstheme="minorBidi"/>
          <w:sz w:val="22"/>
          <w:szCs w:val="22"/>
          <w:lang w:eastAsia="en-US"/>
        </w:rPr>
        <w:t>) der EU ist ein wichtiger Schritt, um dieses Problem anzugehen, indem sie darauf abzielt, kurzfristige Vermietungen in Europa zu regulieren und gemeinsame Standards und Regulierungsansätze zu entwickeln</w:t>
      </w:r>
      <w:r>
        <w:rPr>
          <w:rFonts w:ascii="Aptos" w:eastAsiaTheme="minorHAnsi" w:hAnsi="Aptos" w:cstheme="minorBidi"/>
          <w:sz w:val="22"/>
          <w:szCs w:val="22"/>
          <w:lang w:eastAsia="en-US"/>
        </w:rPr>
        <w:t xml:space="preserve"> (1)</w:t>
      </w:r>
      <w:r w:rsidRPr="00D874BA">
        <w:rPr>
          <w:rFonts w:ascii="Aptos" w:eastAsiaTheme="minorHAnsi" w:hAnsi="Aptos" w:cstheme="minorBidi"/>
          <w:sz w:val="22"/>
          <w:szCs w:val="22"/>
          <w:lang w:eastAsia="en-US"/>
        </w:rPr>
        <w:t>. Dennoch sind aus Perspektive der Daseinsvorsorge weitere Maßnahmen auf lokaler und nationaler Ebene erforderlich, um sicherzustellen, dass kurzfristige Vermietungen den sozialen und wirtschaftlichen Bedürfnissen der Städte entsprechen und die Verfügbarkeit von langfristigem, bezahlbarem Wohnraum nicht beeinträchtigen</w:t>
      </w:r>
      <w:r>
        <w:rPr>
          <w:rFonts w:ascii="Aptos" w:eastAsiaTheme="minorHAnsi" w:hAnsi="Aptos" w:cstheme="minorBidi"/>
          <w:sz w:val="22"/>
          <w:szCs w:val="22"/>
          <w:lang w:eastAsia="en-US"/>
        </w:rPr>
        <w:t>.</w:t>
      </w:r>
    </w:p>
    <w:p w14:paraId="22FEBC07" w14:textId="77777777" w:rsidR="00623AF8" w:rsidRDefault="00623AF8" w:rsidP="00623AF8">
      <w:pPr>
        <w:pStyle w:val="StandardWeb"/>
        <w:spacing w:before="0" w:beforeAutospacing="0" w:after="0" w:afterAutospacing="0"/>
        <w:jc w:val="both"/>
        <w:rPr>
          <w:rFonts w:ascii="Aptos" w:eastAsiaTheme="minorHAnsi" w:hAnsi="Aptos" w:cstheme="minorBidi"/>
          <w:sz w:val="22"/>
          <w:szCs w:val="22"/>
          <w:lang w:eastAsia="en-US"/>
        </w:rPr>
      </w:pPr>
    </w:p>
    <w:p w14:paraId="21802306" w14:textId="77777777" w:rsidR="00623AF8" w:rsidRPr="00A0603B" w:rsidRDefault="00623AF8" w:rsidP="00F63BE8">
      <w:pPr>
        <w:pStyle w:val="Listenabsatz"/>
        <w:numPr>
          <w:ilvl w:val="0"/>
          <w:numId w:val="69"/>
        </w:numPr>
        <w:jc w:val="both"/>
        <w:rPr>
          <w:rFonts w:ascii="Aptos" w:hAnsi="Aptos"/>
          <w:sz w:val="18"/>
          <w:szCs w:val="18"/>
          <w:lang w:val="en-GB"/>
        </w:rPr>
      </w:pPr>
      <w:r>
        <w:rPr>
          <w:rFonts w:ascii="Aptos" w:hAnsi="Aptos"/>
          <w:sz w:val="18"/>
          <w:szCs w:val="18"/>
          <w:lang w:val="en-GB"/>
        </w:rPr>
        <w:t>European Parliament</w:t>
      </w:r>
      <w:r w:rsidRPr="00A0603B">
        <w:rPr>
          <w:rFonts w:ascii="Aptos" w:hAnsi="Aptos"/>
          <w:sz w:val="18"/>
          <w:szCs w:val="18"/>
          <w:lang w:val="en-GB"/>
        </w:rPr>
        <w:t xml:space="preserve"> 202</w:t>
      </w:r>
      <w:r>
        <w:rPr>
          <w:rFonts w:ascii="Aptos" w:hAnsi="Aptos"/>
          <w:sz w:val="18"/>
          <w:szCs w:val="18"/>
          <w:lang w:val="en-GB"/>
        </w:rPr>
        <w:t>4</w:t>
      </w:r>
      <w:r w:rsidRPr="00A0603B">
        <w:rPr>
          <w:rFonts w:ascii="Aptos" w:hAnsi="Aptos"/>
          <w:sz w:val="18"/>
          <w:szCs w:val="18"/>
          <w:lang w:val="en-GB"/>
        </w:rPr>
        <w:t xml:space="preserve">: </w:t>
      </w:r>
      <w:r w:rsidRPr="00D874BA">
        <w:rPr>
          <w:rFonts w:ascii="Aptos" w:hAnsi="Aptos"/>
          <w:sz w:val="18"/>
          <w:szCs w:val="18"/>
          <w:lang w:val="en-GB"/>
        </w:rPr>
        <w:t>New rules for a responsible and transparent short-term rental sector</w:t>
      </w:r>
    </w:p>
    <w:p w14:paraId="4BCC65C9" w14:textId="77777777" w:rsidR="00623AF8" w:rsidRDefault="00AC460E" w:rsidP="00623AF8">
      <w:pPr>
        <w:pStyle w:val="Listenabsatz"/>
        <w:ind w:left="360"/>
        <w:jc w:val="both"/>
        <w:rPr>
          <w:rStyle w:val="Hyperlink"/>
          <w:rFonts w:ascii="Aptos" w:hAnsi="Aptos"/>
          <w:sz w:val="18"/>
          <w:szCs w:val="18"/>
          <w:lang w:val="en-GB"/>
        </w:rPr>
      </w:pPr>
      <w:hyperlink r:id="rId128" w:history="1">
        <w:r w:rsidR="00623AF8" w:rsidRPr="00D874BA">
          <w:rPr>
            <w:rStyle w:val="Hyperlink"/>
            <w:rFonts w:ascii="Aptos" w:hAnsi="Aptos"/>
            <w:sz w:val="18"/>
            <w:szCs w:val="18"/>
            <w:lang w:val="en-GB"/>
          </w:rPr>
          <w:t>https://www.europarl.europa.eu/news/en/press-room/20240223IPR18094/new-rules-for-a-responsible-and-transparent-short-term-rental-sector</w:t>
        </w:r>
      </w:hyperlink>
    </w:p>
    <w:p w14:paraId="7B69AA3B" w14:textId="77777777" w:rsidR="00623AF8" w:rsidRDefault="00623AF8" w:rsidP="00623AF8">
      <w:pPr>
        <w:rPr>
          <w:rFonts w:ascii="Aptos" w:hAnsi="Aptos"/>
          <w:bCs/>
          <w:sz w:val="22"/>
          <w:szCs w:val="22"/>
          <w:lang w:val="en-GB"/>
        </w:rPr>
      </w:pPr>
    </w:p>
    <w:p w14:paraId="1FB48DF3" w14:textId="77777777" w:rsidR="00623AF8" w:rsidRDefault="00623AF8" w:rsidP="00623AF8">
      <w:pPr>
        <w:rPr>
          <w:rFonts w:ascii="Aptos" w:hAnsi="Aptos"/>
          <w:bCs/>
          <w:sz w:val="22"/>
          <w:szCs w:val="22"/>
          <w:lang w:val="en-GB"/>
        </w:rPr>
      </w:pPr>
    </w:p>
    <w:p w14:paraId="6CB66822" w14:textId="77777777" w:rsidR="00623AF8" w:rsidRDefault="00623AF8" w:rsidP="00623AF8">
      <w:pPr>
        <w:rPr>
          <w:rFonts w:ascii="Aptos" w:hAnsi="Aptos"/>
          <w:bCs/>
          <w:sz w:val="22"/>
          <w:szCs w:val="22"/>
          <w:lang w:val="en-GB"/>
        </w:rPr>
      </w:pPr>
    </w:p>
    <w:p w14:paraId="6D08CAA6" w14:textId="77777777" w:rsidR="00623AF8" w:rsidRPr="00D874BA" w:rsidRDefault="00623AF8" w:rsidP="00623AF8">
      <w:pPr>
        <w:rPr>
          <w:rFonts w:ascii="Aptos" w:hAnsi="Aptos"/>
          <w:bCs/>
          <w:sz w:val="22"/>
          <w:szCs w:val="22"/>
          <w:lang w:val="en-GB"/>
        </w:rPr>
      </w:pPr>
    </w:p>
    <w:p w14:paraId="05534476" w14:textId="77777777" w:rsidR="00623AF8" w:rsidRDefault="00623AF8" w:rsidP="00623AF8">
      <w:pPr>
        <w:rPr>
          <w:rFonts w:ascii="Aptos" w:eastAsiaTheme="majorEastAsia" w:hAnsi="Aptos" w:cstheme="majorBidi"/>
          <w:b/>
          <w:bCs/>
          <w:color w:val="E4342D"/>
        </w:rPr>
      </w:pPr>
      <w:r w:rsidRPr="0082018A">
        <w:rPr>
          <w:rFonts w:ascii="Aptos" w:eastAsiaTheme="majorEastAsia" w:hAnsi="Aptos" w:cstheme="majorBidi"/>
          <w:b/>
          <w:bCs/>
          <w:color w:val="E4342D"/>
        </w:rPr>
        <w:t>Klimaresiliente Quartiere</w:t>
      </w:r>
    </w:p>
    <w:p w14:paraId="6676039C" w14:textId="77777777" w:rsidR="00623AF8" w:rsidRPr="0050443A" w:rsidRDefault="00623AF8" w:rsidP="00623AF8">
      <w:pPr>
        <w:rPr>
          <w:rFonts w:ascii="Aptos" w:hAnsi="Aptos"/>
          <w:i/>
          <w:iCs/>
          <w:sz w:val="22"/>
          <w:szCs w:val="22"/>
          <w:u w:val="single"/>
        </w:rPr>
      </w:pPr>
    </w:p>
    <w:tbl>
      <w:tblPr>
        <w:tblStyle w:val="Tabellenraster"/>
        <w:tblW w:w="0" w:type="auto"/>
        <w:tblInd w:w="108" w:type="dxa"/>
        <w:tblLook w:val="04A0" w:firstRow="1" w:lastRow="0" w:firstColumn="1" w:lastColumn="0" w:noHBand="0" w:noVBand="1"/>
      </w:tblPr>
      <w:tblGrid>
        <w:gridCol w:w="8952"/>
      </w:tblGrid>
      <w:tr w:rsidR="00623AF8" w:rsidRPr="0050443A" w14:paraId="29EFA74E" w14:textId="77777777" w:rsidTr="00875DD0">
        <w:tc>
          <w:tcPr>
            <w:tcW w:w="9060" w:type="dxa"/>
            <w:shd w:val="clear" w:color="auto" w:fill="D9D9D9" w:themeFill="background1" w:themeFillShade="D9"/>
          </w:tcPr>
          <w:p w14:paraId="58755FF9" w14:textId="77777777" w:rsidR="00623AF8" w:rsidRPr="0050443A" w:rsidRDefault="00623AF8" w:rsidP="00875DD0">
            <w:pPr>
              <w:spacing w:before="120" w:after="120"/>
              <w:jc w:val="both"/>
              <w:rPr>
                <w:rFonts w:ascii="Aptos" w:hAnsi="Aptos"/>
                <w:b/>
                <w:iCs/>
                <w:sz w:val="22"/>
                <w:szCs w:val="22"/>
              </w:rPr>
            </w:pPr>
            <w:r w:rsidRPr="0050443A">
              <w:rPr>
                <w:rFonts w:ascii="Aptos" w:hAnsi="Aptos"/>
                <w:b/>
                <w:iCs/>
                <w:sz w:val="22"/>
                <w:szCs w:val="22"/>
              </w:rPr>
              <w:t>Frage</w:t>
            </w:r>
          </w:p>
        </w:tc>
      </w:tr>
      <w:tr w:rsidR="00623AF8" w:rsidRPr="0050443A" w14:paraId="07A7A24C" w14:textId="77777777" w:rsidTr="00875DD0">
        <w:tc>
          <w:tcPr>
            <w:tcW w:w="9060" w:type="dxa"/>
          </w:tcPr>
          <w:p w14:paraId="69F218A0" w14:textId="77777777" w:rsidR="00623AF8" w:rsidRPr="0050443A" w:rsidRDefault="00623AF8" w:rsidP="00875DD0">
            <w:pPr>
              <w:spacing w:before="120" w:after="120"/>
              <w:jc w:val="both"/>
              <w:rPr>
                <w:rFonts w:ascii="Aptos" w:hAnsi="Aptos"/>
                <w:b/>
                <w:bCs/>
                <w:sz w:val="22"/>
                <w:szCs w:val="22"/>
              </w:rPr>
            </w:pPr>
            <w:r w:rsidRPr="007E3A3D">
              <w:rPr>
                <w:rFonts w:ascii="Aptos" w:hAnsi="Aptos" w:cs="Segoe UI"/>
                <w:color w:val="0D0D0D"/>
                <w:sz w:val="22"/>
                <w:szCs w:val="22"/>
                <w:shd w:val="clear" w:color="auto" w:fill="FFFFFF"/>
              </w:rPr>
              <w:t xml:space="preserve">Um die europäischen Städte klimaresilient zu machen, ist ein Quartiersansatz in der Stadtentwicklung erforderlich. Der Quartiersansatz in der Stadtentwicklung bezieht sich auf die Planung und Entwicklung von Stadtquartieren auf lokaler Ebene. Dabei stehen die Bedürfnisse und das soziale Miteinander der Bewohner im Vordergrund. Dies ist eine wesentliche Voraussetzung, um die Akzeptanz für baulich-investive Maßnahmen zu fördern und die Lebensqualität nachhaltig zu verbessern. </w:t>
            </w:r>
            <w:r w:rsidRPr="002852F0">
              <w:rPr>
                <w:rFonts w:ascii="Aptos" w:hAnsi="Aptos" w:cs="Segoe UI"/>
                <w:b/>
                <w:bCs/>
                <w:color w:val="0D0D0D"/>
                <w:sz w:val="22"/>
                <w:szCs w:val="22"/>
                <w:shd w:val="clear" w:color="auto" w:fill="FFFFFF"/>
              </w:rPr>
              <w:t>Welche Initiativen planen Sie, um sichere, widerstandsfähige und an den Klimawandel angepasste Quartiere zu fördern?</w:t>
            </w:r>
          </w:p>
        </w:tc>
      </w:tr>
      <w:tr w:rsidR="00623AF8" w:rsidRPr="0050443A" w14:paraId="28F7103A" w14:textId="77777777" w:rsidTr="00875DD0">
        <w:tc>
          <w:tcPr>
            <w:tcW w:w="9060" w:type="dxa"/>
            <w:shd w:val="clear" w:color="auto" w:fill="D9D9D9" w:themeFill="background1" w:themeFillShade="D9"/>
          </w:tcPr>
          <w:p w14:paraId="4509EDDD" w14:textId="77777777" w:rsidR="00623AF8" w:rsidRPr="0050443A" w:rsidRDefault="00623AF8" w:rsidP="00875DD0">
            <w:pPr>
              <w:spacing w:before="120" w:after="120"/>
              <w:jc w:val="both"/>
              <w:rPr>
                <w:rFonts w:ascii="Aptos" w:hAnsi="Aptos"/>
                <w:b/>
                <w:bCs/>
                <w:sz w:val="22"/>
                <w:szCs w:val="22"/>
              </w:rPr>
            </w:pPr>
            <w:r w:rsidRPr="0050443A">
              <w:rPr>
                <w:rFonts w:ascii="Aptos" w:hAnsi="Aptos"/>
                <w:b/>
                <w:bCs/>
                <w:sz w:val="22"/>
                <w:szCs w:val="22"/>
              </w:rPr>
              <w:t>Nachfrage</w:t>
            </w:r>
          </w:p>
        </w:tc>
      </w:tr>
      <w:tr w:rsidR="00623AF8" w:rsidRPr="0050443A" w14:paraId="1E2DCECB" w14:textId="77777777" w:rsidTr="00875DD0">
        <w:tc>
          <w:tcPr>
            <w:tcW w:w="9060" w:type="dxa"/>
          </w:tcPr>
          <w:p w14:paraId="29364BDA" w14:textId="77777777" w:rsidR="00623AF8" w:rsidRPr="002852F0" w:rsidRDefault="00623AF8" w:rsidP="00F63BE8">
            <w:pPr>
              <w:pStyle w:val="Listenabsatz"/>
              <w:numPr>
                <w:ilvl w:val="0"/>
                <w:numId w:val="50"/>
              </w:numPr>
              <w:spacing w:before="120" w:after="120"/>
              <w:jc w:val="both"/>
              <w:rPr>
                <w:rFonts w:ascii="Aptos" w:hAnsi="Aptos"/>
                <w:sz w:val="22"/>
                <w:szCs w:val="22"/>
              </w:rPr>
            </w:pPr>
            <w:r w:rsidRPr="002852F0">
              <w:rPr>
                <w:rFonts w:ascii="Aptos" w:hAnsi="Aptos"/>
                <w:sz w:val="22"/>
                <w:szCs w:val="22"/>
              </w:rPr>
              <w:t>Welche Rolle spielt aus Ihrer Sicht der Quartiersansatz und welche Anknüpfungspunkte sehen Sie zur Verkehrspolitik, um die Anpassung an den Klimawandel in europäischen Städten zu gewährleisten?</w:t>
            </w:r>
          </w:p>
          <w:p w14:paraId="2308A850" w14:textId="77777777" w:rsidR="00623AF8" w:rsidRPr="0050443A" w:rsidRDefault="00623AF8" w:rsidP="00F63BE8">
            <w:pPr>
              <w:pStyle w:val="Listenabsatz"/>
              <w:numPr>
                <w:ilvl w:val="0"/>
                <w:numId w:val="50"/>
              </w:numPr>
              <w:spacing w:before="120" w:after="120"/>
              <w:jc w:val="both"/>
              <w:rPr>
                <w:rFonts w:ascii="Aptos" w:hAnsi="Aptos"/>
                <w:sz w:val="22"/>
                <w:szCs w:val="22"/>
              </w:rPr>
            </w:pPr>
            <w:r w:rsidRPr="002852F0">
              <w:rPr>
                <w:rFonts w:ascii="Aptos" w:hAnsi="Aptos"/>
                <w:sz w:val="22"/>
                <w:szCs w:val="22"/>
              </w:rPr>
              <w:t>Welche Gefahr sehen Sie in der Zunahme von Hitzetagen in europäischen Großstädten und welche kurz- und langfristigen Maßnahmen planen Sie, um vulnerable Gruppen vor dieser temporären Gesundheitsgefährdung zu schützen?</w:t>
            </w:r>
          </w:p>
        </w:tc>
      </w:tr>
    </w:tbl>
    <w:p w14:paraId="5E631165" w14:textId="77777777" w:rsidR="00623AF8" w:rsidRDefault="00623AF8" w:rsidP="00623AF8">
      <w:pPr>
        <w:spacing w:after="120"/>
        <w:jc w:val="both"/>
      </w:pPr>
    </w:p>
    <w:tbl>
      <w:tblPr>
        <w:tblStyle w:val="TableNormal2"/>
        <w:tblW w:w="0" w:type="auto"/>
        <w:tblLayout w:type="fixed"/>
        <w:tblLook w:val="01E0" w:firstRow="1" w:lastRow="1" w:firstColumn="1" w:lastColumn="1" w:noHBand="0" w:noVBand="0"/>
      </w:tblPr>
      <w:tblGrid>
        <w:gridCol w:w="9066"/>
      </w:tblGrid>
      <w:tr w:rsidR="00623AF8" w:rsidRPr="009B5839" w14:paraId="0A84B285" w14:textId="77777777" w:rsidTr="00875DD0">
        <w:trPr>
          <w:trHeight w:val="277"/>
        </w:trPr>
        <w:tc>
          <w:tcPr>
            <w:tcW w:w="9066" w:type="dxa"/>
            <w:shd w:val="clear" w:color="auto" w:fill="D9D9D9"/>
          </w:tcPr>
          <w:p w14:paraId="199F2CC1" w14:textId="77777777" w:rsidR="00623AF8" w:rsidRPr="009B5839" w:rsidRDefault="00623AF8" w:rsidP="00875DD0">
            <w:pPr>
              <w:pStyle w:val="TableParagraph"/>
              <w:spacing w:line="258" w:lineRule="exact"/>
              <w:ind w:left="0"/>
              <w:rPr>
                <w:rFonts w:ascii="Aptos" w:hAnsi="Aptos"/>
                <w:b/>
                <w:sz w:val="24"/>
              </w:rPr>
            </w:pPr>
            <w:r>
              <w:rPr>
                <w:rFonts w:ascii="Aptos" w:hAnsi="Aptos"/>
                <w:b/>
                <w:sz w:val="24"/>
              </w:rPr>
              <w:t>Hintergrundinformationen</w:t>
            </w:r>
          </w:p>
        </w:tc>
      </w:tr>
    </w:tbl>
    <w:p w14:paraId="1FC159F5" w14:textId="77777777" w:rsidR="00623AF8" w:rsidRPr="0050443A" w:rsidRDefault="00623AF8" w:rsidP="00623AF8">
      <w:pPr>
        <w:spacing w:after="120"/>
        <w:jc w:val="both"/>
        <w:rPr>
          <w:rFonts w:ascii="Aptos" w:hAnsi="Aptos"/>
          <w:i/>
          <w:iCs/>
          <w:sz w:val="22"/>
          <w:szCs w:val="22"/>
          <w:u w:val="single"/>
        </w:rPr>
      </w:pPr>
      <w:r w:rsidRPr="009B2678">
        <w:t>Um die europäischen Städte klimaresilient zu machen, ist ein Quartiersansatz in der Stadtentwicklung erforderlich, der die Anforderungen an die urbane Mobilität und die Notwendigkeit der Anpassung an den Klimawandel, insbesondere angesichts der Zunahme von Hitzetagen, berücksichtigt. Der Ansatz zielt auf die Planung und Entwicklung von Stadtquartieren auf lokaler Ebene ab. Dabei stehen die Bedürfnisse und das soziale Miteinander der Bewohner im Vordergrund. Die Schaffung klimaresilienter Quartiere erfordert somit einen ganzheitlichen Ansatz, der sowohl infrastrukturelle als auch soziale Aspekte berücksichtigt und öffentliche, kommunale und gemeinnützige Akteure zusammenbringt. Dies ist eine wesentliche Voraussetzung, um die Akzeptanz für baulich-investive Maßnahmen zu fördern und die Lebensqualität nachhaltig zu verbessern. Eine effektive Stadtentwicklungspolitik muss daher die Integration von nachhaltigen Verkehrssystemen, Grünflächen und Anpassungsmaßnahmen an den Klimawandel in den Quartiersansatz integrieren. Der Ausbau von Fuß- und Radwegen, die Schaffung von öffentlichen Grünflächen sowie die Installation von hitzeresistenten Infrastrukturen wie Dach- und Fassadenbegrünungen tragen dazu bei, die Lebensqualität in städtischen Gebieten zu verbessern und gleichzeitig die Folgen des Klimawandels abzumildern. Aus der Perspektive der Daseinsvorsorge ist ein solcher Politikansatz zu begrüßen, zumal viele dieser Leistungen des täglichen Bedarfs wie bezahlbarer Wohnraum, urbane Mobilität und Gesundheitseinrichtungen von staatlichen, kommunalen und gemeinnützigen Akteuren bereitgestellt werden.</w:t>
      </w:r>
    </w:p>
    <w:p w14:paraId="57A4C3F9" w14:textId="77777777" w:rsidR="00623AF8" w:rsidRDefault="00623AF8" w:rsidP="00623AF8">
      <w:pPr>
        <w:rPr>
          <w:lang w:eastAsia="de-AT"/>
        </w:rPr>
      </w:pPr>
    </w:p>
    <w:p w14:paraId="66FF1B98" w14:textId="77777777" w:rsidR="00623AF8" w:rsidRDefault="00623AF8" w:rsidP="00623AF8">
      <w:pPr>
        <w:rPr>
          <w:lang w:eastAsia="de-AT"/>
        </w:rPr>
      </w:pPr>
    </w:p>
    <w:p w14:paraId="63D284E3" w14:textId="77777777" w:rsidR="00623AF8" w:rsidRDefault="00623AF8" w:rsidP="00623AF8">
      <w:pPr>
        <w:rPr>
          <w:lang w:eastAsia="de-AT"/>
        </w:rPr>
      </w:pPr>
    </w:p>
    <w:bookmarkStart w:id="457" w:name="_Toc170983812" w:displacedByCustomXml="next"/>
    <w:sdt>
      <w:sdtPr>
        <w:rPr>
          <w:color w:val="4472C4" w:themeColor="accent1"/>
        </w:rPr>
        <w:id w:val="-450016085"/>
        <w:docPartObj>
          <w:docPartGallery w:val="Cover Pages"/>
          <w:docPartUnique/>
        </w:docPartObj>
      </w:sdtPr>
      <w:sdtEndPr>
        <w:rPr>
          <w:rFonts w:ascii="Aptos" w:hAnsi="Aptos"/>
          <w:color w:val="A6A6A6" w:themeColor="background1" w:themeShade="A6"/>
          <w:sz w:val="28"/>
          <w:szCs w:val="28"/>
        </w:rPr>
      </w:sdtEndPr>
      <w:sdtContent>
        <w:p w14:paraId="09A31E45" w14:textId="77777777" w:rsidR="00A66104" w:rsidRDefault="00A66104" w:rsidP="00623AF8">
          <w:pPr>
            <w:pStyle w:val="berschrift1"/>
            <w:jc w:val="center"/>
            <w:rPr>
              <w:color w:val="4472C4" w:themeColor="accent1"/>
            </w:rPr>
          </w:pPr>
        </w:p>
        <w:p w14:paraId="5AF03F04" w14:textId="77777777" w:rsidR="00A66104" w:rsidRDefault="00A66104" w:rsidP="00623AF8">
          <w:pPr>
            <w:pStyle w:val="berschrift1"/>
            <w:jc w:val="center"/>
            <w:rPr>
              <w:color w:val="4472C4" w:themeColor="accent1"/>
            </w:rPr>
          </w:pPr>
        </w:p>
        <w:p w14:paraId="39719942" w14:textId="32C436E2" w:rsidR="00623AF8" w:rsidRPr="00A66104" w:rsidRDefault="00623AF8" w:rsidP="00A66104">
          <w:pPr>
            <w:pStyle w:val="berschrift1"/>
            <w:jc w:val="center"/>
            <w:rPr>
              <w:rFonts w:ascii="Aptos" w:hAnsi="Aptos" w:cstheme="minorBidi"/>
              <w:color w:val="A6A6A6" w:themeColor="background1" w:themeShade="A6"/>
              <w:sz w:val="28"/>
              <w:szCs w:val="28"/>
              <w:lang w:val="de-DE" w:eastAsia="de-AT"/>
            </w:rPr>
          </w:pPr>
          <w:r w:rsidRPr="006A7950">
            <w:rPr>
              <w:rFonts w:ascii="Aptos" w:hAnsi="Aptos"/>
              <w:color w:val="A6A6A6" w:themeColor="background1" w:themeShade="A6"/>
              <w:sz w:val="28"/>
              <w:szCs w:val="28"/>
            </w:rPr>
            <w:t xml:space="preserve">Ausarbeitung </w:t>
          </w:r>
          <w:r>
            <w:rPr>
              <w:rFonts w:ascii="Aptos" w:hAnsi="Aptos"/>
              <w:color w:val="A6A6A6" w:themeColor="background1" w:themeShade="A6"/>
              <w:sz w:val="28"/>
              <w:szCs w:val="28"/>
            </w:rPr>
            <w:t>der</w:t>
          </w:r>
          <w:r w:rsidRPr="006A7950">
            <w:rPr>
              <w:rFonts w:ascii="Aptos" w:hAnsi="Aptos"/>
              <w:color w:val="A6A6A6" w:themeColor="background1" w:themeShade="A6"/>
              <w:sz w:val="28"/>
              <w:szCs w:val="28"/>
            </w:rPr>
            <w:t xml:space="preserve"> Fragen aus dem Bereich Gesundheits- und- Sozialpolitik</w:t>
          </w:r>
        </w:p>
      </w:sdtContent>
    </w:sdt>
    <w:bookmarkEnd w:id="457" w:displacedByCustomXml="prev"/>
    <w:p w14:paraId="56113C43" w14:textId="77777777" w:rsidR="00623AF8" w:rsidRPr="00CD3D28" w:rsidRDefault="00623AF8" w:rsidP="00623AF8">
      <w:pPr>
        <w:pStyle w:val="berschrift1"/>
        <w:rPr>
          <w:rFonts w:ascii="Aptos" w:hAnsi="Aptos"/>
        </w:rPr>
      </w:pPr>
      <w:bookmarkStart w:id="458" w:name="_Toc170142542"/>
      <w:bookmarkStart w:id="459" w:name="_Toc170983813"/>
      <w:r>
        <w:rPr>
          <w:rFonts w:ascii="Aptos" w:hAnsi="Aptos"/>
        </w:rPr>
        <w:t xml:space="preserve">Sicherung öffentlicher Aufträge für </w:t>
      </w:r>
      <w:r w:rsidRPr="0036338A">
        <w:rPr>
          <w:rFonts w:ascii="Aptos" w:hAnsi="Aptos"/>
        </w:rPr>
        <w:t>gemeinnützige und soziale Organisationen</w:t>
      </w:r>
      <w:bookmarkEnd w:id="458"/>
      <w:bookmarkEnd w:id="459"/>
    </w:p>
    <w:p w14:paraId="6E41B486"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3ABFD4A6" w14:textId="77777777" w:rsidTr="00875DD0">
        <w:tc>
          <w:tcPr>
            <w:tcW w:w="9060" w:type="dxa"/>
            <w:shd w:val="clear" w:color="auto" w:fill="D9D9D9" w:themeFill="background1" w:themeFillShade="D9"/>
          </w:tcPr>
          <w:p w14:paraId="69B75EE1"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7F0871A7" w14:textId="77777777" w:rsidTr="00875DD0">
        <w:tc>
          <w:tcPr>
            <w:tcW w:w="9060" w:type="dxa"/>
          </w:tcPr>
          <w:p w14:paraId="6C4DC842" w14:textId="77777777" w:rsidR="00623AF8" w:rsidRPr="00CD3D28" w:rsidRDefault="00623AF8" w:rsidP="00875DD0">
            <w:pPr>
              <w:spacing w:before="120" w:after="120"/>
              <w:jc w:val="both"/>
              <w:rPr>
                <w:rFonts w:ascii="Aptos" w:hAnsi="Aptos"/>
                <w:sz w:val="22"/>
                <w:szCs w:val="22"/>
              </w:rPr>
            </w:pPr>
            <w:r>
              <w:rPr>
                <w:rFonts w:ascii="Aptos" w:hAnsi="Aptos"/>
                <w:sz w:val="22"/>
                <w:szCs w:val="22"/>
              </w:rPr>
              <w:t>Aktuell werden viele soziale Dienste an kommerzielle Anbieter ausgelagert, die diese bei niedrigerer Qualität und Arbeitsbedingungen erbringen.</w:t>
            </w:r>
            <w:r w:rsidRPr="00CD3D28">
              <w:rPr>
                <w:rFonts w:ascii="Aptos" w:hAnsi="Aptos"/>
                <w:sz w:val="22"/>
                <w:szCs w:val="22"/>
              </w:rPr>
              <w:t xml:space="preserve"> </w:t>
            </w:r>
            <w:r w:rsidRPr="00F810FB">
              <w:rPr>
                <w:rFonts w:ascii="Aptos" w:hAnsi="Aptos"/>
                <w:b/>
                <w:bCs/>
                <w:sz w:val="22"/>
                <w:szCs w:val="22"/>
              </w:rPr>
              <w:t xml:space="preserve">Wie </w:t>
            </w:r>
            <w:r>
              <w:rPr>
                <w:rFonts w:ascii="Aptos" w:hAnsi="Aptos"/>
                <w:b/>
                <w:bCs/>
                <w:sz w:val="22"/>
                <w:szCs w:val="22"/>
              </w:rPr>
              <w:t>stellen Sie</w:t>
            </w:r>
            <w:r w:rsidRPr="00F810FB">
              <w:rPr>
                <w:rFonts w:ascii="Aptos" w:hAnsi="Aptos"/>
                <w:b/>
                <w:bCs/>
                <w:sz w:val="22"/>
                <w:szCs w:val="22"/>
              </w:rPr>
              <w:t xml:space="preserve"> sicher, dass </w:t>
            </w:r>
            <w:bookmarkStart w:id="460" w:name="_Hlk164694036"/>
            <w:r w:rsidRPr="00F810FB">
              <w:rPr>
                <w:rFonts w:ascii="Aptos" w:hAnsi="Aptos"/>
                <w:b/>
                <w:bCs/>
                <w:sz w:val="22"/>
                <w:szCs w:val="22"/>
              </w:rPr>
              <w:t>gemeinnützige und soziale Organisationen</w:t>
            </w:r>
            <w:bookmarkEnd w:id="460"/>
            <w:r w:rsidRPr="00F810FB">
              <w:rPr>
                <w:rFonts w:ascii="Aptos" w:hAnsi="Aptos"/>
                <w:b/>
                <w:bCs/>
                <w:sz w:val="22"/>
                <w:szCs w:val="22"/>
              </w:rPr>
              <w:t xml:space="preserve"> in Zukunft auch entsprechend</w:t>
            </w:r>
            <w:r>
              <w:rPr>
                <w:rFonts w:ascii="Aptos" w:hAnsi="Aptos"/>
                <w:b/>
                <w:bCs/>
                <w:sz w:val="22"/>
                <w:szCs w:val="22"/>
              </w:rPr>
              <w:t>e</w:t>
            </w:r>
            <w:r w:rsidRPr="00F810FB">
              <w:rPr>
                <w:rFonts w:ascii="Aptos" w:hAnsi="Aptos"/>
                <w:b/>
                <w:bCs/>
                <w:sz w:val="22"/>
                <w:szCs w:val="22"/>
              </w:rPr>
              <w:t xml:space="preserve"> Aufträge </w:t>
            </w:r>
            <w:r>
              <w:rPr>
                <w:rFonts w:ascii="Aptos" w:hAnsi="Aptos"/>
                <w:b/>
                <w:bCs/>
                <w:sz w:val="22"/>
                <w:szCs w:val="22"/>
              </w:rPr>
              <w:t>erhalten</w:t>
            </w:r>
            <w:r w:rsidRPr="00F810FB">
              <w:rPr>
                <w:rFonts w:ascii="Aptos" w:hAnsi="Aptos"/>
                <w:b/>
                <w:bCs/>
                <w:sz w:val="22"/>
                <w:szCs w:val="22"/>
              </w:rPr>
              <w:t xml:space="preserve"> und diese nicht an kommerzielle Anbieter ausgelagert werden</w:t>
            </w:r>
            <w:r w:rsidRPr="00CD3D28">
              <w:rPr>
                <w:rFonts w:ascii="Aptos" w:hAnsi="Aptos"/>
                <w:b/>
                <w:bCs/>
                <w:sz w:val="22"/>
                <w:szCs w:val="22"/>
              </w:rPr>
              <w:t>?</w:t>
            </w:r>
          </w:p>
        </w:tc>
      </w:tr>
      <w:tr w:rsidR="00623AF8" w:rsidRPr="00CD3D28" w14:paraId="61FF05A4" w14:textId="77777777" w:rsidTr="00875DD0">
        <w:tc>
          <w:tcPr>
            <w:tcW w:w="9060" w:type="dxa"/>
            <w:shd w:val="clear" w:color="auto" w:fill="D9D9D9" w:themeFill="background1" w:themeFillShade="D9"/>
          </w:tcPr>
          <w:p w14:paraId="01FD003E"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7A9E42B9" w14:textId="77777777" w:rsidTr="00875DD0">
        <w:tc>
          <w:tcPr>
            <w:tcW w:w="9060" w:type="dxa"/>
          </w:tcPr>
          <w:p w14:paraId="0F884A7C" w14:textId="77777777" w:rsidR="00623AF8" w:rsidRPr="0033105F" w:rsidRDefault="00623AF8" w:rsidP="00F63BE8">
            <w:pPr>
              <w:pStyle w:val="Listenabsatz"/>
              <w:numPr>
                <w:ilvl w:val="0"/>
                <w:numId w:val="71"/>
              </w:numPr>
              <w:spacing w:before="120" w:after="120"/>
              <w:jc w:val="both"/>
              <w:rPr>
                <w:rFonts w:ascii="Aptos" w:hAnsi="Aptos"/>
                <w:sz w:val="22"/>
                <w:szCs w:val="22"/>
              </w:rPr>
            </w:pPr>
            <w:r w:rsidRPr="0033105F">
              <w:rPr>
                <w:rFonts w:ascii="Aptos" w:hAnsi="Aptos"/>
                <w:sz w:val="22"/>
                <w:szCs w:val="22"/>
              </w:rPr>
              <w:t>Wie werden Sie dazu beitragen, dass die nachhaltige Finanzierung der öffentlichen Versorgung mit sozialen Diensten auch in Zukunft gesichert ist?</w:t>
            </w:r>
          </w:p>
        </w:tc>
      </w:tr>
    </w:tbl>
    <w:p w14:paraId="24729E95" w14:textId="77777777" w:rsidR="00623AF8" w:rsidRDefault="00623AF8" w:rsidP="00623AF8">
      <w:pPr>
        <w:tabs>
          <w:tab w:val="left" w:pos="2412"/>
        </w:tabs>
        <w:spacing w:before="100" w:beforeAutospacing="1"/>
        <w:jc w:val="both"/>
        <w:rPr>
          <w:rFonts w:ascii="Aptos" w:hAnsi="Aptos"/>
          <w:b/>
          <w:iCs/>
          <w:sz w:val="22"/>
          <w:szCs w:val="22"/>
        </w:rPr>
      </w:pPr>
    </w:p>
    <w:tbl>
      <w:tblPr>
        <w:tblStyle w:val="Tabellenraster"/>
        <w:tblW w:w="0" w:type="auto"/>
        <w:tblLook w:val="04A0" w:firstRow="1" w:lastRow="0" w:firstColumn="1" w:lastColumn="0" w:noHBand="0" w:noVBand="1"/>
      </w:tblPr>
      <w:tblGrid>
        <w:gridCol w:w="9060"/>
      </w:tblGrid>
      <w:tr w:rsidR="00623AF8" w14:paraId="4A3AD195" w14:textId="77777777" w:rsidTr="00875DD0">
        <w:trPr>
          <w:trHeight w:val="80"/>
        </w:trPr>
        <w:tc>
          <w:tcPr>
            <w:tcW w:w="9060" w:type="dxa"/>
            <w:tcBorders>
              <w:top w:val="nil"/>
              <w:left w:val="nil"/>
              <w:bottom w:val="nil"/>
              <w:right w:val="nil"/>
            </w:tcBorders>
            <w:shd w:val="clear" w:color="auto" w:fill="D9D9D9" w:themeFill="background1" w:themeFillShade="D9"/>
          </w:tcPr>
          <w:p w14:paraId="5C3A78D8" w14:textId="77777777" w:rsidR="00623AF8" w:rsidRDefault="00623AF8" w:rsidP="00875DD0">
            <w:pPr>
              <w:tabs>
                <w:tab w:val="left" w:pos="2412"/>
              </w:tabs>
              <w:spacing w:before="100" w:beforeAutospacing="1" w:after="100" w:afterAutospacing="1"/>
              <w:jc w:val="both"/>
              <w:rPr>
                <w:rFonts w:ascii="Aptos" w:hAnsi="Aptos"/>
                <w:b/>
                <w:iCs/>
                <w:sz w:val="22"/>
                <w:szCs w:val="22"/>
              </w:rPr>
            </w:pPr>
            <w:bookmarkStart w:id="461" w:name="_Hlk170311233"/>
            <w:r>
              <w:rPr>
                <w:rFonts w:ascii="Aptos" w:hAnsi="Aptos"/>
                <w:b/>
                <w:iCs/>
                <w:sz w:val="22"/>
                <w:szCs w:val="22"/>
              </w:rPr>
              <w:t>Hintergrund</w:t>
            </w:r>
          </w:p>
        </w:tc>
      </w:tr>
    </w:tbl>
    <w:bookmarkEnd w:id="461"/>
    <w:p w14:paraId="4D87162C" w14:textId="77777777" w:rsidR="00623AF8" w:rsidRDefault="00623AF8" w:rsidP="00623AF8">
      <w:pPr>
        <w:spacing w:after="120"/>
        <w:jc w:val="both"/>
        <w:rPr>
          <w:rFonts w:ascii="Aptos" w:hAnsi="Aptos"/>
          <w:sz w:val="22"/>
          <w:szCs w:val="22"/>
        </w:rPr>
      </w:pPr>
      <w:r>
        <w:rPr>
          <w:rFonts w:ascii="Aptos" w:hAnsi="Aptos"/>
          <w:sz w:val="22"/>
          <w:szCs w:val="22"/>
        </w:rPr>
        <w:t>Die Liberalisierungs- und Privatisierungsbestrebungen der vergangenen Jahrzehnte haben in vielen EU-Staaten eine signifikante Senkung der Qualität und des Angebots in der öffentlichen Infrastruktur verursacht. Dramatisch ist diese Lage insbesondere im Bereich der sozialen und gesundheitlichen Daseinsvorsorge. Viele Dienste wurden an kommerzielle Anbieter ausgelagert, die diese dann bei niedrigerer Qualität und schlechteren Arbeitsbedingungen, oftmals auch bei höheren Preisen, erbracht haben.</w:t>
      </w:r>
      <w:r>
        <w:rPr>
          <w:rStyle w:val="Funotenzeichen"/>
          <w:rFonts w:ascii="Aptos" w:hAnsi="Aptos"/>
          <w:sz w:val="22"/>
          <w:szCs w:val="22"/>
        </w:rPr>
        <w:footnoteReference w:id="16"/>
      </w:r>
      <w:r>
        <w:rPr>
          <w:rFonts w:ascii="Aptos" w:hAnsi="Aptos"/>
          <w:sz w:val="22"/>
          <w:szCs w:val="22"/>
        </w:rPr>
        <w:t xml:space="preserve"> </w:t>
      </w:r>
    </w:p>
    <w:p w14:paraId="526A760B" w14:textId="7C99029B" w:rsidR="00623AF8" w:rsidRPr="009B6452" w:rsidRDefault="00623AF8" w:rsidP="00623AF8">
      <w:pPr>
        <w:spacing w:after="120"/>
        <w:jc w:val="both"/>
        <w:rPr>
          <w:rFonts w:ascii="Aptos" w:hAnsi="Aptos"/>
          <w:sz w:val="22"/>
          <w:szCs w:val="22"/>
        </w:rPr>
        <w:sectPr w:rsidR="00623AF8" w:rsidRPr="009B6452" w:rsidSect="00922120">
          <w:headerReference w:type="default" r:id="rId129"/>
          <w:footerReference w:type="default" r:id="rId130"/>
          <w:headerReference w:type="first" r:id="rId131"/>
          <w:footnotePr>
            <w:pos w:val="beneathText"/>
            <w:numRestart w:val="eachPage"/>
          </w:footnotePr>
          <w:pgSz w:w="11906" w:h="16838"/>
          <w:pgMar w:top="1418" w:right="1418" w:bottom="1134" w:left="1418" w:header="709" w:footer="510" w:gutter="0"/>
          <w:cols w:space="708"/>
          <w:titlePg/>
          <w:docGrid w:linePitch="360"/>
        </w:sectPr>
      </w:pPr>
      <w:r>
        <w:rPr>
          <w:rFonts w:ascii="Aptos" w:hAnsi="Aptos"/>
          <w:sz w:val="22"/>
          <w:szCs w:val="22"/>
        </w:rPr>
        <w:t>Der demographische Wandel, vor allem die</w:t>
      </w:r>
      <w:r w:rsidRPr="00A8341A">
        <w:rPr>
          <w:rFonts w:ascii="Aptos" w:hAnsi="Aptos"/>
          <w:sz w:val="22"/>
          <w:szCs w:val="22"/>
        </w:rPr>
        <w:t xml:space="preserve"> Alterung der Gesellschaft und d</w:t>
      </w:r>
      <w:r>
        <w:rPr>
          <w:rFonts w:ascii="Aptos" w:hAnsi="Aptos"/>
          <w:sz w:val="22"/>
          <w:szCs w:val="22"/>
        </w:rPr>
        <w:t xml:space="preserve">er damit erhöhte Bedarf </w:t>
      </w:r>
      <w:r w:rsidRPr="00A8341A">
        <w:rPr>
          <w:rFonts w:ascii="Aptos" w:hAnsi="Aptos"/>
          <w:sz w:val="22"/>
          <w:szCs w:val="22"/>
        </w:rPr>
        <w:t>nach sozialen Dienstleistungen, aber auch die anhaltende Nachfrage im Bereich der Wohnungslosigkeit, der Integration von Flüchtlingen</w:t>
      </w:r>
      <w:r>
        <w:rPr>
          <w:rFonts w:ascii="Aptos" w:hAnsi="Aptos"/>
          <w:sz w:val="22"/>
          <w:szCs w:val="22"/>
        </w:rPr>
        <w:t>,</w:t>
      </w:r>
      <w:r w:rsidRPr="00A8341A">
        <w:rPr>
          <w:rFonts w:ascii="Aptos" w:hAnsi="Aptos"/>
          <w:sz w:val="22"/>
          <w:szCs w:val="22"/>
        </w:rPr>
        <w:t xml:space="preserve"> etc.</w:t>
      </w:r>
      <w:r>
        <w:rPr>
          <w:rFonts w:ascii="Aptos" w:hAnsi="Aptos"/>
          <w:sz w:val="22"/>
          <w:szCs w:val="22"/>
        </w:rPr>
        <w:t>,</w:t>
      </w:r>
      <w:r w:rsidRPr="00A8341A">
        <w:rPr>
          <w:rFonts w:ascii="Aptos" w:hAnsi="Aptos"/>
          <w:sz w:val="22"/>
          <w:szCs w:val="22"/>
        </w:rPr>
        <w:t xml:space="preserve"> erfordern eine nachhaltige Finanzierung der gemeinnützigen und sozialen Organisationen in diesem Bereich, auch um eine Verlagerung auf minderwertige kommerzielle Anbieter zu verhindern. Die </w:t>
      </w:r>
      <w:r>
        <w:rPr>
          <w:rFonts w:ascii="Aptos" w:hAnsi="Aptos"/>
          <w:sz w:val="22"/>
          <w:szCs w:val="22"/>
        </w:rPr>
        <w:t xml:space="preserve">Aufgabe der </w:t>
      </w:r>
      <w:r w:rsidRPr="00A8341A">
        <w:rPr>
          <w:rFonts w:ascii="Aptos" w:hAnsi="Aptos"/>
          <w:sz w:val="22"/>
          <w:szCs w:val="22"/>
        </w:rPr>
        <w:t>Europäische</w:t>
      </w:r>
      <w:r>
        <w:rPr>
          <w:rFonts w:ascii="Aptos" w:hAnsi="Aptos"/>
          <w:sz w:val="22"/>
          <w:szCs w:val="22"/>
        </w:rPr>
        <w:t>n</w:t>
      </w:r>
      <w:r w:rsidRPr="00A8341A">
        <w:rPr>
          <w:rFonts w:ascii="Aptos" w:hAnsi="Aptos"/>
          <w:sz w:val="22"/>
          <w:szCs w:val="22"/>
        </w:rPr>
        <w:t xml:space="preserve"> Kommission </w:t>
      </w:r>
      <w:r>
        <w:rPr>
          <w:rFonts w:ascii="Aptos" w:hAnsi="Aptos"/>
          <w:sz w:val="22"/>
          <w:szCs w:val="22"/>
        </w:rPr>
        <w:t>ist es auch</w:t>
      </w:r>
      <w:r w:rsidRPr="00A8341A">
        <w:rPr>
          <w:rFonts w:ascii="Aptos" w:hAnsi="Aptos"/>
          <w:sz w:val="22"/>
          <w:szCs w:val="22"/>
        </w:rPr>
        <w:t xml:space="preserve"> dafür Sorge </w:t>
      </w:r>
      <w:r>
        <w:rPr>
          <w:rFonts w:ascii="Aptos" w:hAnsi="Aptos"/>
          <w:sz w:val="22"/>
          <w:szCs w:val="22"/>
        </w:rPr>
        <w:t xml:space="preserve">zu </w:t>
      </w:r>
      <w:r w:rsidRPr="00A8341A">
        <w:rPr>
          <w:rFonts w:ascii="Aptos" w:hAnsi="Aptos"/>
          <w:sz w:val="22"/>
          <w:szCs w:val="22"/>
        </w:rPr>
        <w:t xml:space="preserve">tragen, dass </w:t>
      </w:r>
      <w:r>
        <w:rPr>
          <w:rFonts w:ascii="Aptos" w:hAnsi="Aptos"/>
          <w:sz w:val="22"/>
          <w:szCs w:val="22"/>
        </w:rPr>
        <w:t>Sozialorganisationen und gemeinnützige Organisationen</w:t>
      </w:r>
      <w:r w:rsidRPr="00A8341A">
        <w:rPr>
          <w:rFonts w:ascii="Aptos" w:hAnsi="Aptos"/>
          <w:sz w:val="22"/>
          <w:szCs w:val="22"/>
        </w:rPr>
        <w:t xml:space="preserve"> Leistungen der </w:t>
      </w:r>
      <w:r>
        <w:rPr>
          <w:rFonts w:ascii="Aptos" w:hAnsi="Aptos"/>
          <w:sz w:val="22"/>
          <w:szCs w:val="22"/>
        </w:rPr>
        <w:t xml:space="preserve">sozialen </w:t>
      </w:r>
      <w:r w:rsidRPr="00A8341A">
        <w:rPr>
          <w:rFonts w:ascii="Aptos" w:hAnsi="Aptos"/>
          <w:sz w:val="22"/>
          <w:szCs w:val="22"/>
        </w:rPr>
        <w:t xml:space="preserve">Daseinsvorsorge </w:t>
      </w:r>
      <w:r>
        <w:rPr>
          <w:rFonts w:ascii="Aptos" w:hAnsi="Aptos"/>
          <w:sz w:val="22"/>
          <w:szCs w:val="22"/>
        </w:rPr>
        <w:t xml:space="preserve">kontinuierlich und nachhaltig erbringen können. </w:t>
      </w:r>
      <w:r w:rsidRPr="00A8341A">
        <w:rPr>
          <w:rFonts w:ascii="Aptos" w:hAnsi="Aptos"/>
          <w:sz w:val="22"/>
          <w:szCs w:val="22"/>
        </w:rPr>
        <w:t xml:space="preserve">Liberalisierungs- und Privatisierungsbestrebungen </w:t>
      </w:r>
      <w:r>
        <w:rPr>
          <w:rFonts w:ascii="Aptos" w:hAnsi="Aptos"/>
          <w:sz w:val="22"/>
          <w:szCs w:val="22"/>
        </w:rPr>
        <w:t>sowie rein punktuelle Förderungen erschweren dies und sollten daher einer langfristigen Sicherung öffentlicher Aufträge weichen</w:t>
      </w:r>
    </w:p>
    <w:p w14:paraId="34BAF5A4" w14:textId="3B6714E2" w:rsidR="00A66104" w:rsidRDefault="00A66104" w:rsidP="00623AF8">
      <w:pPr>
        <w:rPr>
          <w:rFonts w:ascii="Aptos" w:hAnsi="Aptos"/>
        </w:rPr>
      </w:pPr>
    </w:p>
    <w:p w14:paraId="45D73B07" w14:textId="77777777" w:rsidR="00A66104" w:rsidRDefault="00A66104" w:rsidP="00A66104">
      <w:pPr>
        <w:rPr>
          <w:rFonts w:ascii="Aptos" w:hAnsi="Aptos"/>
        </w:rPr>
      </w:pPr>
    </w:p>
    <w:p w14:paraId="42B86CAD" w14:textId="77777777" w:rsidR="00A66104" w:rsidRDefault="00A66104" w:rsidP="00A66104">
      <w:pPr>
        <w:rPr>
          <w:rFonts w:ascii="Aptos" w:hAnsi="Aptos"/>
        </w:rPr>
      </w:pPr>
    </w:p>
    <w:p w14:paraId="5874A83F" w14:textId="77777777" w:rsidR="00A66104" w:rsidRDefault="00A66104" w:rsidP="00A66104">
      <w:pPr>
        <w:rPr>
          <w:rFonts w:ascii="Aptos" w:hAnsi="Aptos"/>
        </w:rPr>
      </w:pPr>
    </w:p>
    <w:p w14:paraId="2DFCEE50" w14:textId="77777777" w:rsidR="00A66104" w:rsidRPr="00A66104" w:rsidRDefault="00A66104" w:rsidP="00A66104">
      <w:pPr>
        <w:rPr>
          <w:rFonts w:ascii="Aptos" w:hAnsi="Aptos"/>
        </w:rPr>
      </w:pPr>
    </w:p>
    <w:p w14:paraId="6E367577" w14:textId="77777777" w:rsidR="00623AF8" w:rsidRDefault="00623AF8" w:rsidP="00623AF8">
      <w:pPr>
        <w:pStyle w:val="berschrift1"/>
        <w:rPr>
          <w:rFonts w:ascii="Aptos" w:hAnsi="Aptos"/>
        </w:rPr>
      </w:pPr>
    </w:p>
    <w:p w14:paraId="3A45438D" w14:textId="77777777" w:rsidR="00623AF8" w:rsidRDefault="00623AF8" w:rsidP="00623AF8">
      <w:pPr>
        <w:pStyle w:val="berschrift1"/>
        <w:ind w:left="720"/>
        <w:rPr>
          <w:rFonts w:ascii="Aptos" w:hAnsi="Aptos"/>
        </w:rPr>
      </w:pPr>
    </w:p>
    <w:p w14:paraId="0E3D52AA" w14:textId="77777777" w:rsidR="00623AF8" w:rsidRPr="00CD3D28" w:rsidRDefault="00623AF8" w:rsidP="00623AF8">
      <w:pPr>
        <w:pStyle w:val="berschrift1"/>
        <w:rPr>
          <w:rFonts w:ascii="Aptos" w:hAnsi="Aptos"/>
        </w:rPr>
      </w:pPr>
      <w:bookmarkStart w:id="462" w:name="_Toc170142543"/>
      <w:bookmarkStart w:id="463" w:name="_Toc170983814"/>
      <w:r w:rsidRPr="00CD3D28">
        <w:rPr>
          <w:rFonts w:ascii="Aptos" w:hAnsi="Aptos"/>
        </w:rPr>
        <w:t>Finanzi</w:t>
      </w:r>
      <w:r>
        <w:rPr>
          <w:rFonts w:ascii="Aptos" w:hAnsi="Aptos"/>
        </w:rPr>
        <w:t>erung der sozialen Daseinsvorsorge</w:t>
      </w:r>
      <w:bookmarkEnd w:id="462"/>
      <w:bookmarkEnd w:id="463"/>
    </w:p>
    <w:p w14:paraId="61990073"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030ED78A" w14:textId="77777777" w:rsidTr="00875DD0">
        <w:tc>
          <w:tcPr>
            <w:tcW w:w="9060" w:type="dxa"/>
            <w:shd w:val="clear" w:color="auto" w:fill="D9D9D9" w:themeFill="background1" w:themeFillShade="D9"/>
          </w:tcPr>
          <w:p w14:paraId="45B31A90"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2E76C513" w14:textId="77777777" w:rsidTr="00875DD0">
        <w:tc>
          <w:tcPr>
            <w:tcW w:w="9060" w:type="dxa"/>
          </w:tcPr>
          <w:p w14:paraId="6B6F78B6" w14:textId="77777777" w:rsidR="00623AF8" w:rsidRPr="00CD3D28" w:rsidRDefault="00623AF8" w:rsidP="00875DD0">
            <w:pPr>
              <w:spacing w:before="120" w:after="120"/>
              <w:jc w:val="both"/>
              <w:rPr>
                <w:rFonts w:ascii="Aptos" w:hAnsi="Aptos"/>
                <w:sz w:val="22"/>
                <w:szCs w:val="22"/>
              </w:rPr>
            </w:pPr>
            <w:r>
              <w:rPr>
                <w:rFonts w:ascii="Aptos" w:hAnsi="Aptos"/>
                <w:sz w:val="22"/>
                <w:szCs w:val="22"/>
              </w:rPr>
              <w:t>Der finanzielle Spielraum der Kommunen ist vielerorts stark belastet</w:t>
            </w:r>
            <w:r w:rsidRPr="00CD3D28">
              <w:rPr>
                <w:rFonts w:ascii="Aptos" w:hAnsi="Aptos"/>
                <w:sz w:val="22"/>
                <w:szCs w:val="22"/>
              </w:rPr>
              <w:t>.</w:t>
            </w:r>
            <w:r>
              <w:rPr>
                <w:rFonts w:ascii="Aptos" w:hAnsi="Aptos"/>
                <w:sz w:val="22"/>
                <w:szCs w:val="22"/>
              </w:rPr>
              <w:t xml:space="preserve"> Die soziale Daseinsvorsorge erfordert aber eine stabile Finanzierung und kontinuierliche Investitionen durch Kommunen.</w:t>
            </w:r>
            <w:r w:rsidRPr="00CD3D28">
              <w:rPr>
                <w:rFonts w:ascii="Aptos" w:hAnsi="Aptos"/>
                <w:sz w:val="22"/>
                <w:szCs w:val="22"/>
              </w:rPr>
              <w:t xml:space="preserve"> </w:t>
            </w:r>
            <w:r w:rsidRPr="00383992">
              <w:rPr>
                <w:rFonts w:ascii="Aptos" w:hAnsi="Aptos"/>
                <w:b/>
                <w:bCs/>
                <w:sz w:val="22"/>
                <w:szCs w:val="22"/>
              </w:rPr>
              <w:t xml:space="preserve">Wie </w:t>
            </w:r>
            <w:r>
              <w:rPr>
                <w:rFonts w:ascii="Aptos" w:hAnsi="Aptos"/>
                <w:b/>
                <w:bCs/>
                <w:sz w:val="22"/>
                <w:szCs w:val="22"/>
              </w:rPr>
              <w:t>stellen Sie sicher, dass die Kommunen und Regionen genug finanziellen Spielraum haben, um die soziale Daseinsvorsorge abzusichern</w:t>
            </w:r>
            <w:r w:rsidRPr="00383992">
              <w:rPr>
                <w:rFonts w:ascii="Aptos" w:hAnsi="Aptos"/>
                <w:b/>
                <w:bCs/>
                <w:sz w:val="22"/>
                <w:szCs w:val="22"/>
              </w:rPr>
              <w:t>?</w:t>
            </w:r>
            <w:r w:rsidRPr="00CD3D28">
              <w:rPr>
                <w:rFonts w:ascii="Aptos" w:hAnsi="Aptos"/>
                <w:sz w:val="22"/>
                <w:szCs w:val="22"/>
              </w:rPr>
              <w:t xml:space="preserve"> </w:t>
            </w:r>
          </w:p>
        </w:tc>
      </w:tr>
      <w:tr w:rsidR="00623AF8" w:rsidRPr="00CD3D28" w14:paraId="653D9845" w14:textId="77777777" w:rsidTr="00875DD0">
        <w:tc>
          <w:tcPr>
            <w:tcW w:w="9060" w:type="dxa"/>
            <w:shd w:val="clear" w:color="auto" w:fill="D9D9D9" w:themeFill="background1" w:themeFillShade="D9"/>
          </w:tcPr>
          <w:p w14:paraId="1D732420"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4427C8BE" w14:textId="77777777" w:rsidTr="00875DD0">
        <w:tc>
          <w:tcPr>
            <w:tcW w:w="9060" w:type="dxa"/>
          </w:tcPr>
          <w:p w14:paraId="07077533" w14:textId="77777777" w:rsidR="00623AF8" w:rsidRPr="00CD4EF6" w:rsidRDefault="00623AF8" w:rsidP="00F63BE8">
            <w:pPr>
              <w:pStyle w:val="Listenabsatz"/>
              <w:numPr>
                <w:ilvl w:val="0"/>
                <w:numId w:val="71"/>
              </w:numPr>
              <w:spacing w:before="120" w:after="120"/>
              <w:jc w:val="both"/>
              <w:rPr>
                <w:rFonts w:ascii="Aptos" w:hAnsi="Aptos"/>
                <w:sz w:val="22"/>
                <w:szCs w:val="22"/>
              </w:rPr>
            </w:pPr>
            <w:r w:rsidRPr="00CD4EF6">
              <w:rPr>
                <w:rFonts w:ascii="Aptos" w:hAnsi="Aptos"/>
                <w:sz w:val="22"/>
                <w:szCs w:val="22"/>
              </w:rPr>
              <w:t>Werden in Zukunft öffentliche Investitionen in die soziale Infrastruktur vom Stabilitäts- und Wachstumspakt ausgenommen?</w:t>
            </w:r>
          </w:p>
        </w:tc>
      </w:tr>
    </w:tbl>
    <w:p w14:paraId="454D0919"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8A0449E" w14:textId="77777777" w:rsidTr="00875DD0">
        <w:tc>
          <w:tcPr>
            <w:tcW w:w="9060" w:type="dxa"/>
            <w:tcBorders>
              <w:top w:val="nil"/>
              <w:left w:val="nil"/>
              <w:bottom w:val="nil"/>
              <w:right w:val="nil"/>
            </w:tcBorders>
            <w:shd w:val="clear" w:color="auto" w:fill="D9D9D9" w:themeFill="background1" w:themeFillShade="D9"/>
          </w:tcPr>
          <w:p w14:paraId="3762E963" w14:textId="77777777" w:rsidR="00623AF8" w:rsidRDefault="00623AF8" w:rsidP="00875DD0">
            <w:pPr>
              <w:tabs>
                <w:tab w:val="left" w:pos="2412"/>
              </w:tabs>
              <w:spacing w:before="100" w:beforeAutospacing="1" w:after="100" w:afterAutospacing="1"/>
              <w:jc w:val="both"/>
              <w:rPr>
                <w:rFonts w:ascii="Aptos" w:hAnsi="Aptos"/>
                <w:b/>
                <w:iCs/>
                <w:sz w:val="22"/>
                <w:szCs w:val="22"/>
              </w:rPr>
            </w:pPr>
            <w:r>
              <w:rPr>
                <w:rFonts w:ascii="Aptos" w:hAnsi="Aptos"/>
                <w:b/>
                <w:iCs/>
                <w:sz w:val="22"/>
                <w:szCs w:val="22"/>
              </w:rPr>
              <w:t>Hintergrund</w:t>
            </w:r>
          </w:p>
        </w:tc>
      </w:tr>
    </w:tbl>
    <w:p w14:paraId="67755071" w14:textId="77777777" w:rsidR="00623AF8" w:rsidRPr="00CD4EF6" w:rsidRDefault="00623AF8" w:rsidP="00623AF8">
      <w:pPr>
        <w:tabs>
          <w:tab w:val="left" w:pos="2412"/>
        </w:tabs>
        <w:spacing w:after="100" w:afterAutospacing="1"/>
        <w:jc w:val="both"/>
        <w:rPr>
          <w:rFonts w:ascii="Aptos" w:hAnsi="Aptos"/>
          <w:b/>
          <w:iCs/>
          <w:sz w:val="22"/>
          <w:szCs w:val="22"/>
        </w:rPr>
      </w:pPr>
      <w:r w:rsidRPr="00A8341A">
        <w:rPr>
          <w:rFonts w:ascii="Aptos" w:hAnsi="Aptos"/>
          <w:sz w:val="22"/>
          <w:szCs w:val="22"/>
        </w:rPr>
        <w:t xml:space="preserve">Die Europäische Kommission muss dafür Sorge tragen, dass den </w:t>
      </w:r>
      <w:r>
        <w:rPr>
          <w:rFonts w:ascii="Aptos" w:hAnsi="Aptos"/>
          <w:sz w:val="22"/>
          <w:szCs w:val="22"/>
        </w:rPr>
        <w:t xml:space="preserve">Sozialorganisationen und </w:t>
      </w:r>
      <w:r w:rsidRPr="00A8341A">
        <w:rPr>
          <w:rFonts w:ascii="Aptos" w:hAnsi="Aptos"/>
          <w:sz w:val="22"/>
          <w:szCs w:val="22"/>
        </w:rPr>
        <w:t>Kommunen die Erbringung von Leistungen der Daseinsvorsorge durch Liberalisierungs- und Privatisierungsbestrebungen sowie weitere Vorgaben nicht unmöglich gemacht oder unverhältnismäßig erschwert wird. Interkommunale Zusammenarbeit, öffentlich-rechtliche Verträge und Verwaltungsgemeinschaften sind ebenfalls wichtige Instrumente, um öffentliche Aufgaben effizient und unter Berücksichtigung eines nachhaltigen Umgangs mit den vorhandenen Finanzmitteln zu erfüllen</w:t>
      </w:r>
      <w:r>
        <w:rPr>
          <w:rFonts w:ascii="Aptos" w:hAnsi="Aptos"/>
          <w:sz w:val="22"/>
          <w:szCs w:val="22"/>
        </w:rPr>
        <w:t>. Auch diese Formen der Finanzierung und Erbringung sozialer Dienste sollten gestärkt und gefördert werden.</w:t>
      </w:r>
    </w:p>
    <w:p w14:paraId="1A9BE03C" w14:textId="77777777" w:rsidR="00623AF8" w:rsidRDefault="00623AF8" w:rsidP="00623AF8">
      <w:pPr>
        <w:jc w:val="both"/>
        <w:rPr>
          <w:rFonts w:ascii="Aptos" w:hAnsi="Aptos"/>
          <w:sz w:val="22"/>
          <w:szCs w:val="22"/>
        </w:rPr>
      </w:pPr>
    </w:p>
    <w:p w14:paraId="68F627D3" w14:textId="77777777" w:rsidR="00623AF8" w:rsidRPr="009A234F" w:rsidRDefault="00623AF8" w:rsidP="00623AF8">
      <w:pPr>
        <w:spacing w:after="120"/>
        <w:jc w:val="both"/>
        <w:rPr>
          <w:rFonts w:ascii="Aptos" w:hAnsi="Aptos"/>
          <w:sz w:val="22"/>
          <w:szCs w:val="22"/>
          <w:highlight w:val="yellow"/>
        </w:rPr>
        <w:sectPr w:rsidR="00623AF8" w:rsidRPr="009A234F" w:rsidSect="00312646">
          <w:headerReference w:type="default" r:id="rId132"/>
          <w:footnotePr>
            <w:pos w:val="beneathText"/>
            <w:numRestart w:val="eachPage"/>
          </w:footnotePr>
          <w:type w:val="continuous"/>
          <w:pgSz w:w="11906" w:h="16838"/>
          <w:pgMar w:top="1418" w:right="1418" w:bottom="1134" w:left="1418" w:header="708" w:footer="510" w:gutter="0"/>
          <w:cols w:space="708"/>
          <w:docGrid w:linePitch="360"/>
        </w:sectPr>
      </w:pPr>
      <w:r w:rsidRPr="0036338A">
        <w:rPr>
          <w:rFonts w:ascii="Aptos" w:hAnsi="Aptos"/>
          <w:sz w:val="22"/>
          <w:szCs w:val="22"/>
        </w:rPr>
        <w:t>Der Stabilitäts- und Wachstumspakt gibt im Sinne der finanzpolitischen Stabilität klare Schuldengrenzen und -ziele vor</w:t>
      </w:r>
      <w:r>
        <w:rPr>
          <w:rFonts w:ascii="Aptos" w:hAnsi="Aptos"/>
          <w:sz w:val="22"/>
          <w:szCs w:val="22"/>
        </w:rPr>
        <w:t>. D</w:t>
      </w:r>
      <w:r w:rsidRPr="0036338A">
        <w:rPr>
          <w:rFonts w:ascii="Aptos" w:hAnsi="Aptos"/>
          <w:sz w:val="22"/>
          <w:szCs w:val="22"/>
        </w:rPr>
        <w:t xml:space="preserve">abei </w:t>
      </w:r>
      <w:r>
        <w:rPr>
          <w:rFonts w:ascii="Aptos" w:hAnsi="Aptos"/>
          <w:sz w:val="22"/>
          <w:szCs w:val="22"/>
        </w:rPr>
        <w:t>werden</w:t>
      </w:r>
      <w:r w:rsidRPr="0036338A">
        <w:rPr>
          <w:rFonts w:ascii="Aptos" w:hAnsi="Aptos"/>
          <w:sz w:val="22"/>
          <w:szCs w:val="22"/>
        </w:rPr>
        <w:t xml:space="preserve"> allerdings Ausgaben, die für eine funktionierende soziale Infrastruktur notwendig sind</w:t>
      </w:r>
      <w:r>
        <w:rPr>
          <w:rFonts w:ascii="Aptos" w:hAnsi="Aptos"/>
          <w:sz w:val="22"/>
          <w:szCs w:val="22"/>
        </w:rPr>
        <w:t xml:space="preserve">, nicht von anderen Ausgaben unterschieden. </w:t>
      </w:r>
      <w:r w:rsidRPr="005657C8">
        <w:rPr>
          <w:rFonts w:ascii="Aptos" w:hAnsi="Aptos"/>
          <w:sz w:val="22"/>
          <w:szCs w:val="22"/>
        </w:rPr>
        <w:t>Hier ist eine differenziertere Behandlung der öffentlichen Ausgaben erforderlich. Um dem zunehmenden fiskalischen Druck aufgrund des demographischen Wandels zu begegnen,</w:t>
      </w:r>
      <w:r>
        <w:rPr>
          <w:rStyle w:val="Funotenzeichen"/>
          <w:rFonts w:ascii="Aptos" w:hAnsi="Aptos"/>
          <w:sz w:val="22"/>
          <w:szCs w:val="22"/>
        </w:rPr>
        <w:footnoteReference w:id="17"/>
      </w:r>
      <w:r w:rsidRPr="005657C8">
        <w:rPr>
          <w:rFonts w:ascii="Aptos" w:hAnsi="Aptos"/>
          <w:sz w:val="22"/>
          <w:szCs w:val="22"/>
        </w:rPr>
        <w:t xml:space="preserve"> könnten öffentliche Investitionen in die soziale Infrastruktur künftig vom Stabilitäts- und Wachstumspakt ausgenommen werden.</w:t>
      </w:r>
    </w:p>
    <w:p w14:paraId="4662B52D" w14:textId="77777777" w:rsidR="00623AF8" w:rsidRPr="00E51C8F" w:rsidRDefault="00623AF8" w:rsidP="00623AF8">
      <w:pPr>
        <w:rPr>
          <w:rFonts w:ascii="Aptos" w:eastAsiaTheme="majorEastAsia" w:hAnsi="Aptos" w:cstheme="majorBidi"/>
          <w:b/>
          <w:color w:val="E4342D"/>
          <w:szCs w:val="32"/>
        </w:rPr>
      </w:pPr>
      <w:r w:rsidRPr="007A2675">
        <w:rPr>
          <w:rFonts w:ascii="Aptos" w:hAnsi="Aptos"/>
          <w:sz w:val="22"/>
          <w:szCs w:val="22"/>
        </w:rPr>
        <w:br w:type="page"/>
      </w:r>
    </w:p>
    <w:p w14:paraId="53CD4BEC" w14:textId="77777777" w:rsidR="00623AF8" w:rsidRPr="00CD3D28" w:rsidRDefault="00623AF8" w:rsidP="00623AF8">
      <w:pPr>
        <w:pStyle w:val="berschrift1"/>
        <w:ind w:left="720"/>
        <w:rPr>
          <w:rFonts w:ascii="Aptos" w:hAnsi="Aptos"/>
        </w:rPr>
      </w:pPr>
    </w:p>
    <w:p w14:paraId="05E68F01" w14:textId="77777777" w:rsidR="00623AF8" w:rsidRPr="00CD3D28" w:rsidRDefault="00623AF8" w:rsidP="00623AF8">
      <w:pPr>
        <w:pStyle w:val="berschrift1"/>
        <w:rPr>
          <w:rFonts w:ascii="Aptos" w:hAnsi="Aptos"/>
        </w:rPr>
      </w:pPr>
      <w:bookmarkStart w:id="464" w:name="_Toc170142544"/>
      <w:bookmarkStart w:id="465" w:name="_Toc170983815"/>
      <w:r>
        <w:rPr>
          <w:rFonts w:ascii="Aptos" w:hAnsi="Aptos"/>
        </w:rPr>
        <w:t>Versorgung mit Pflegediensten</w:t>
      </w:r>
      <w:bookmarkEnd w:id="464"/>
      <w:bookmarkEnd w:id="465"/>
    </w:p>
    <w:p w14:paraId="7908CCE9"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52A786A6" w14:textId="77777777" w:rsidTr="00875DD0">
        <w:tc>
          <w:tcPr>
            <w:tcW w:w="9060" w:type="dxa"/>
            <w:shd w:val="clear" w:color="auto" w:fill="D9D9D9" w:themeFill="background1" w:themeFillShade="D9"/>
          </w:tcPr>
          <w:p w14:paraId="61AA05A5"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1E354C7D" w14:textId="77777777" w:rsidTr="00875DD0">
        <w:tc>
          <w:tcPr>
            <w:tcW w:w="9060" w:type="dxa"/>
          </w:tcPr>
          <w:p w14:paraId="7FE563DF" w14:textId="77777777" w:rsidR="00623AF8" w:rsidRPr="00134F50" w:rsidRDefault="00623AF8" w:rsidP="00875DD0">
            <w:pPr>
              <w:spacing w:before="120" w:after="120"/>
              <w:jc w:val="both"/>
              <w:rPr>
                <w:rFonts w:ascii="Aptos" w:hAnsi="Aptos"/>
                <w:sz w:val="22"/>
                <w:szCs w:val="22"/>
              </w:rPr>
            </w:pPr>
            <w:r>
              <w:rPr>
                <w:rFonts w:ascii="Aptos" w:hAnsi="Aptos"/>
                <w:sz w:val="22"/>
                <w:szCs w:val="22"/>
              </w:rPr>
              <w:t xml:space="preserve">Der demographische Wandel bzw. die Alterung der Gesellschaft in der EU erhöht die Nachfrage nach Pflegediensten, während gleichzeitig das Angebot an Pflegekräften nicht mitzieht. </w:t>
            </w:r>
            <w:r w:rsidRPr="00C86FE4">
              <w:rPr>
                <w:rFonts w:ascii="Aptos" w:hAnsi="Aptos"/>
                <w:b/>
                <w:bCs/>
                <w:sz w:val="22"/>
                <w:szCs w:val="22"/>
              </w:rPr>
              <w:t>Wie stellen Sie sicher, dass auch im Zuge der Alterung der Bevölkerung die öffentliche Versorgung mit Pflegediensten abgesichert wird?</w:t>
            </w:r>
          </w:p>
        </w:tc>
      </w:tr>
      <w:tr w:rsidR="00623AF8" w:rsidRPr="00CD3D28" w14:paraId="658930A2" w14:textId="77777777" w:rsidTr="00875DD0">
        <w:tc>
          <w:tcPr>
            <w:tcW w:w="9060" w:type="dxa"/>
            <w:shd w:val="clear" w:color="auto" w:fill="D9D9D9" w:themeFill="background1" w:themeFillShade="D9"/>
          </w:tcPr>
          <w:p w14:paraId="7DC40F3A"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4413526D" w14:textId="77777777" w:rsidTr="00875DD0">
        <w:tc>
          <w:tcPr>
            <w:tcW w:w="9060" w:type="dxa"/>
          </w:tcPr>
          <w:p w14:paraId="5B1BADC3" w14:textId="77777777" w:rsidR="00623AF8" w:rsidRPr="00635259" w:rsidRDefault="00623AF8" w:rsidP="00F63BE8">
            <w:pPr>
              <w:pStyle w:val="Listenabsatz"/>
              <w:numPr>
                <w:ilvl w:val="0"/>
                <w:numId w:val="71"/>
              </w:numPr>
              <w:spacing w:before="120" w:after="120"/>
              <w:jc w:val="both"/>
              <w:rPr>
                <w:rFonts w:ascii="Aptos" w:hAnsi="Aptos"/>
                <w:sz w:val="22"/>
                <w:szCs w:val="22"/>
              </w:rPr>
            </w:pPr>
            <w:r w:rsidRPr="00635259">
              <w:rPr>
                <w:rFonts w:ascii="Aptos" w:hAnsi="Aptos"/>
                <w:sz w:val="22"/>
                <w:szCs w:val="22"/>
              </w:rPr>
              <w:t>Wie stellen Sie sicher, dass nicht Private aufgrund des demografischen Wandels und den damit verbundenen Angebotslücken große Profite auf Kosten der Leistbarkeit, Qualität und Arbeitsbedingungen machen?</w:t>
            </w:r>
          </w:p>
          <w:p w14:paraId="4FE5F5CB" w14:textId="77777777" w:rsidR="00623AF8" w:rsidRPr="00635259" w:rsidRDefault="00623AF8" w:rsidP="00F63BE8">
            <w:pPr>
              <w:pStyle w:val="Listenabsatz"/>
              <w:numPr>
                <w:ilvl w:val="0"/>
                <w:numId w:val="71"/>
              </w:numPr>
              <w:spacing w:before="120" w:after="120"/>
              <w:jc w:val="both"/>
              <w:rPr>
                <w:rFonts w:ascii="Aptos" w:hAnsi="Aptos"/>
                <w:sz w:val="22"/>
                <w:szCs w:val="22"/>
              </w:rPr>
            </w:pPr>
            <w:r w:rsidRPr="00635259">
              <w:rPr>
                <w:rFonts w:ascii="Aptos" w:hAnsi="Aptos"/>
                <w:sz w:val="22"/>
                <w:szCs w:val="22"/>
              </w:rPr>
              <w:t>Nachdem in Schweden bereits Fälle organisierter Kriminalität im Bereich der Langzeitpflege aufgetreten sind: Wie stellen Sie sicher, dass organisierte Kriminalität nicht in den Bereich der Langzeitpflege eindringt bzw. in bestehenden Fällen zurückgedrängt wird?</w:t>
            </w:r>
          </w:p>
        </w:tc>
      </w:tr>
    </w:tbl>
    <w:p w14:paraId="344DE5BB" w14:textId="77777777" w:rsidR="00623AF8" w:rsidRDefault="00623AF8" w:rsidP="00623AF8">
      <w:pPr>
        <w:spacing w:after="120"/>
        <w:jc w:val="both"/>
        <w:rPr>
          <w:rFonts w:ascii="Aptos" w:hAnsi="Aptos"/>
          <w:b/>
          <w:iCs/>
          <w:sz w:val="22"/>
          <w:szCs w:val="22"/>
        </w:rPr>
      </w:pPr>
    </w:p>
    <w:tbl>
      <w:tblPr>
        <w:tblStyle w:val="Tabellenraster"/>
        <w:tblW w:w="0" w:type="auto"/>
        <w:tblLook w:val="04A0" w:firstRow="1" w:lastRow="0" w:firstColumn="1" w:lastColumn="0" w:noHBand="0" w:noVBand="1"/>
      </w:tblPr>
      <w:tblGrid>
        <w:gridCol w:w="9060"/>
      </w:tblGrid>
      <w:tr w:rsidR="00623AF8" w14:paraId="786E4C90" w14:textId="77777777" w:rsidTr="00875DD0">
        <w:trPr>
          <w:trHeight w:val="303"/>
        </w:trPr>
        <w:tc>
          <w:tcPr>
            <w:tcW w:w="9060" w:type="dxa"/>
            <w:tcBorders>
              <w:top w:val="nil"/>
              <w:left w:val="nil"/>
              <w:bottom w:val="nil"/>
              <w:right w:val="nil"/>
            </w:tcBorders>
            <w:shd w:val="clear" w:color="auto" w:fill="D9D9D9" w:themeFill="background1" w:themeFillShade="D9"/>
          </w:tcPr>
          <w:p w14:paraId="2B731160" w14:textId="77777777" w:rsidR="00623AF8" w:rsidRDefault="00623AF8" w:rsidP="00875DD0">
            <w:pPr>
              <w:spacing w:after="120"/>
              <w:jc w:val="both"/>
              <w:rPr>
                <w:rFonts w:ascii="Aptos" w:hAnsi="Aptos"/>
                <w:b/>
                <w:iCs/>
                <w:sz w:val="22"/>
                <w:szCs w:val="22"/>
              </w:rPr>
            </w:pPr>
            <w:bookmarkStart w:id="466" w:name="_Hlk170312283"/>
            <w:r w:rsidRPr="00E61B2A">
              <w:rPr>
                <w:rFonts w:ascii="Aptos" w:hAnsi="Aptos"/>
                <w:b/>
                <w:iCs/>
                <w:sz w:val="22"/>
                <w:szCs w:val="22"/>
              </w:rPr>
              <w:t>Hintergrund</w:t>
            </w:r>
          </w:p>
        </w:tc>
      </w:tr>
    </w:tbl>
    <w:bookmarkEnd w:id="466"/>
    <w:p w14:paraId="3A7C3576" w14:textId="77777777" w:rsidR="00623AF8" w:rsidRDefault="00623AF8" w:rsidP="00623AF8">
      <w:pPr>
        <w:spacing w:after="120"/>
        <w:jc w:val="both"/>
        <w:rPr>
          <w:rFonts w:ascii="Aptos" w:hAnsi="Aptos"/>
          <w:sz w:val="22"/>
          <w:szCs w:val="22"/>
        </w:rPr>
      </w:pPr>
      <w:r>
        <w:rPr>
          <w:rFonts w:ascii="Aptos" w:hAnsi="Aptos"/>
          <w:sz w:val="22"/>
          <w:szCs w:val="22"/>
        </w:rPr>
        <w:t>Die</w:t>
      </w:r>
      <w:r w:rsidRPr="00DA3412">
        <w:rPr>
          <w:rFonts w:ascii="Aptos" w:hAnsi="Aptos"/>
          <w:sz w:val="22"/>
          <w:szCs w:val="22"/>
        </w:rPr>
        <w:t xml:space="preserve"> EU</w:t>
      </w:r>
      <w:r>
        <w:rPr>
          <w:rFonts w:ascii="Aptos" w:hAnsi="Aptos"/>
          <w:sz w:val="22"/>
          <w:szCs w:val="22"/>
        </w:rPr>
        <w:t xml:space="preserve"> ist seit einigen Jahren von einer</w:t>
      </w:r>
      <w:r w:rsidRPr="00DA3412">
        <w:rPr>
          <w:rFonts w:ascii="Aptos" w:hAnsi="Aptos"/>
          <w:sz w:val="22"/>
          <w:szCs w:val="22"/>
        </w:rPr>
        <w:t xml:space="preserve"> zunehmenden Alterung der Gesellschaft</w:t>
      </w:r>
      <w:r>
        <w:rPr>
          <w:rFonts w:ascii="Aptos" w:hAnsi="Aptos"/>
          <w:sz w:val="22"/>
          <w:szCs w:val="22"/>
        </w:rPr>
        <w:t xml:space="preserve"> betroffen</w:t>
      </w:r>
      <w:r w:rsidRPr="00DA3412">
        <w:rPr>
          <w:rFonts w:ascii="Aptos" w:hAnsi="Aptos"/>
          <w:sz w:val="22"/>
          <w:szCs w:val="22"/>
        </w:rPr>
        <w:t>, was die Nachfrage nach Pflegediensten erheblich erhöht. Gleichzeitig wächst das Angebot an Pflegekräften nicht im gleichen Maße, was zu einer Versorgungslücke führt. Di</w:t>
      </w:r>
      <w:r>
        <w:rPr>
          <w:rFonts w:ascii="Aptos" w:hAnsi="Aptos"/>
          <w:sz w:val="22"/>
          <w:szCs w:val="22"/>
        </w:rPr>
        <w:t xml:space="preserve">e </w:t>
      </w:r>
      <w:r w:rsidRPr="00DA3412">
        <w:rPr>
          <w:rFonts w:ascii="Aptos" w:hAnsi="Aptos"/>
          <w:sz w:val="22"/>
          <w:szCs w:val="22"/>
        </w:rPr>
        <w:t xml:space="preserve">große Herausforderung </w:t>
      </w:r>
      <w:r>
        <w:rPr>
          <w:rFonts w:ascii="Aptos" w:hAnsi="Aptos"/>
          <w:sz w:val="22"/>
          <w:szCs w:val="22"/>
        </w:rPr>
        <w:t xml:space="preserve">ist dabei bei Personalknappheit </w:t>
      </w:r>
      <w:r w:rsidRPr="00DA3412">
        <w:rPr>
          <w:rFonts w:ascii="Aptos" w:hAnsi="Aptos"/>
          <w:sz w:val="22"/>
          <w:szCs w:val="22"/>
        </w:rPr>
        <w:t>die Qualität und Erschwinglichkeit der Pflegeleistungen sicher</w:t>
      </w:r>
      <w:r>
        <w:rPr>
          <w:rFonts w:ascii="Aptos" w:hAnsi="Aptos"/>
          <w:sz w:val="22"/>
          <w:szCs w:val="22"/>
        </w:rPr>
        <w:t xml:space="preserve">zustellen. Dabei besteht das </w:t>
      </w:r>
      <w:r w:rsidRPr="00DA3412">
        <w:rPr>
          <w:rFonts w:ascii="Aptos" w:hAnsi="Aptos"/>
          <w:sz w:val="22"/>
          <w:szCs w:val="22"/>
        </w:rPr>
        <w:t xml:space="preserve">Risiko, dass private Anbieter </w:t>
      </w:r>
      <w:r>
        <w:rPr>
          <w:rFonts w:ascii="Aptos" w:hAnsi="Aptos"/>
          <w:sz w:val="22"/>
          <w:szCs w:val="22"/>
        </w:rPr>
        <w:t>die Lücken der öffentlichen Pflegeversorgung mit kommerziellen Angeboten ausfüllen und dabei ihre Position ausnutzen, um auf Kosten der Qualität, der Arbeitsbedingungen und der Leistbarkeit große Profite zu machen</w:t>
      </w:r>
      <w:r w:rsidRPr="00DA3412">
        <w:rPr>
          <w:rFonts w:ascii="Aptos" w:hAnsi="Aptos"/>
          <w:sz w:val="22"/>
          <w:szCs w:val="22"/>
        </w:rPr>
        <w:t xml:space="preserve">. </w:t>
      </w:r>
    </w:p>
    <w:p w14:paraId="4A1BC12A" w14:textId="77777777" w:rsidR="00623AF8" w:rsidRPr="00DA3412" w:rsidRDefault="00623AF8" w:rsidP="00623AF8">
      <w:pPr>
        <w:spacing w:after="120"/>
        <w:jc w:val="both"/>
        <w:rPr>
          <w:rFonts w:ascii="Aptos" w:hAnsi="Aptos"/>
          <w:sz w:val="22"/>
          <w:szCs w:val="22"/>
        </w:rPr>
      </w:pPr>
      <w:r w:rsidRPr="00396C0C">
        <w:rPr>
          <w:rFonts w:ascii="Aptos" w:hAnsi="Aptos"/>
          <w:sz w:val="22"/>
          <w:szCs w:val="22"/>
        </w:rPr>
        <w:t xml:space="preserve">In Ländern wie Schweden sind bereits Fälle aufgetreten, in denen die Langzeitpflege von der organisierten Kriminalität als Geldanlage missbraucht wurde. </w:t>
      </w:r>
      <w:r>
        <w:rPr>
          <w:rFonts w:ascii="Aptos" w:hAnsi="Aptos"/>
          <w:sz w:val="22"/>
          <w:szCs w:val="22"/>
        </w:rPr>
        <w:t>Dabei</w:t>
      </w:r>
      <w:r w:rsidRPr="00DA3412">
        <w:rPr>
          <w:rFonts w:ascii="Aptos" w:hAnsi="Aptos"/>
          <w:sz w:val="22"/>
          <w:szCs w:val="22"/>
        </w:rPr>
        <w:t xml:space="preserve"> handelt es sich um Fälle, in denen kriminelle Netzwerke Pflegeunternehmen übernommen haben, um von den staatlichen Fördermitteln zu profitieren, die für die Pflege älterer Menschen bereitgestellt w</w:t>
      </w:r>
      <w:r>
        <w:rPr>
          <w:rFonts w:ascii="Aptos" w:hAnsi="Aptos"/>
          <w:sz w:val="22"/>
          <w:szCs w:val="22"/>
        </w:rPr>
        <w:t>u</w:t>
      </w:r>
      <w:r w:rsidRPr="00DA3412">
        <w:rPr>
          <w:rFonts w:ascii="Aptos" w:hAnsi="Aptos"/>
          <w:sz w:val="22"/>
          <w:szCs w:val="22"/>
        </w:rPr>
        <w:t xml:space="preserve">rden. Um solchen Entwicklungen entgegenzuwirken, sind </w:t>
      </w:r>
      <w:r>
        <w:rPr>
          <w:rFonts w:ascii="Aptos" w:hAnsi="Aptos"/>
          <w:sz w:val="22"/>
          <w:szCs w:val="22"/>
        </w:rPr>
        <w:t>klare</w:t>
      </w:r>
      <w:r w:rsidRPr="00DA3412">
        <w:rPr>
          <w:rFonts w:ascii="Aptos" w:hAnsi="Aptos"/>
          <w:sz w:val="22"/>
          <w:szCs w:val="22"/>
        </w:rPr>
        <w:t xml:space="preserve"> gesetzliche Rahmenbedingungen, Überwachung</w:t>
      </w:r>
      <w:r>
        <w:rPr>
          <w:rFonts w:ascii="Aptos" w:hAnsi="Aptos"/>
          <w:sz w:val="22"/>
          <w:szCs w:val="22"/>
        </w:rPr>
        <w:t>smaßnahmen</w:t>
      </w:r>
      <w:r w:rsidRPr="00DA3412">
        <w:rPr>
          <w:rFonts w:ascii="Aptos" w:hAnsi="Aptos"/>
          <w:sz w:val="22"/>
          <w:szCs w:val="22"/>
        </w:rPr>
        <w:t xml:space="preserve"> und eine verstärkte internationale Zusammenarbeit notwendig.</w:t>
      </w:r>
      <w:r>
        <w:rPr>
          <w:rStyle w:val="Funotenzeichen"/>
          <w:rFonts w:ascii="Aptos" w:hAnsi="Aptos"/>
          <w:sz w:val="22"/>
          <w:szCs w:val="22"/>
        </w:rPr>
        <w:footnoteReference w:id="18"/>
      </w:r>
      <w:r>
        <w:rPr>
          <w:rStyle w:val="Funotenzeichen"/>
          <w:rFonts w:ascii="Aptos" w:hAnsi="Aptos"/>
          <w:sz w:val="22"/>
          <w:szCs w:val="22"/>
        </w:rPr>
        <w:footnoteReference w:id="19"/>
      </w:r>
      <w:r w:rsidRPr="00DA3412">
        <w:rPr>
          <w:rFonts w:ascii="Aptos" w:hAnsi="Aptos"/>
          <w:sz w:val="22"/>
          <w:szCs w:val="22"/>
        </w:rPr>
        <w:t xml:space="preserve"> </w:t>
      </w:r>
      <w:r>
        <w:rPr>
          <w:rFonts w:ascii="Aptos" w:hAnsi="Aptos"/>
          <w:sz w:val="22"/>
          <w:szCs w:val="22"/>
        </w:rPr>
        <w:t xml:space="preserve">Wichtiger noch wäre die Sicherstellung einer nachhaltigen funktionierenden Versorgung mit öffentlichen Pflegediensten. </w:t>
      </w:r>
    </w:p>
    <w:p w14:paraId="25CE452C" w14:textId="77777777" w:rsidR="00623AF8" w:rsidRPr="0010091C" w:rsidRDefault="00623AF8" w:rsidP="00623AF8">
      <w:pPr>
        <w:spacing w:after="120"/>
        <w:jc w:val="both"/>
        <w:rPr>
          <w:rFonts w:ascii="Aptos" w:hAnsi="Aptos"/>
          <w:sz w:val="22"/>
          <w:szCs w:val="22"/>
        </w:rPr>
        <w:sectPr w:rsidR="00623AF8" w:rsidRPr="0010091C" w:rsidSect="00312646">
          <w:footnotePr>
            <w:pos w:val="beneathText"/>
            <w:numRestart w:val="eachPage"/>
          </w:footnotePr>
          <w:type w:val="continuous"/>
          <w:pgSz w:w="11906" w:h="16838"/>
          <w:pgMar w:top="1418" w:right="1418" w:bottom="1134" w:left="1418" w:header="708" w:footer="510" w:gutter="0"/>
          <w:cols w:space="708"/>
          <w:docGrid w:linePitch="360"/>
        </w:sectPr>
      </w:pPr>
    </w:p>
    <w:p w14:paraId="75406573" w14:textId="77777777" w:rsidR="00623AF8" w:rsidRPr="0010091C" w:rsidRDefault="00623AF8" w:rsidP="00623AF8">
      <w:pPr>
        <w:jc w:val="both"/>
        <w:rPr>
          <w:rFonts w:ascii="Aptos" w:hAnsi="Aptos"/>
          <w:bCs/>
          <w:sz w:val="22"/>
          <w:szCs w:val="22"/>
          <w:u w:val="single"/>
        </w:rPr>
      </w:pPr>
    </w:p>
    <w:p w14:paraId="4280DD05" w14:textId="77777777" w:rsidR="00623AF8" w:rsidRPr="0010091C" w:rsidRDefault="00623AF8" w:rsidP="00623AF8">
      <w:pPr>
        <w:jc w:val="both"/>
        <w:rPr>
          <w:rFonts w:ascii="Aptos" w:hAnsi="Aptos"/>
          <w:bCs/>
          <w:sz w:val="22"/>
          <w:szCs w:val="22"/>
          <w:u w:val="single"/>
        </w:rPr>
      </w:pPr>
    </w:p>
    <w:p w14:paraId="64ABE68D" w14:textId="77777777" w:rsidR="00623AF8" w:rsidRPr="00CD3D28" w:rsidRDefault="00623AF8" w:rsidP="00623AF8">
      <w:pPr>
        <w:pStyle w:val="berschrift1"/>
        <w:rPr>
          <w:rFonts w:ascii="Aptos" w:hAnsi="Aptos"/>
        </w:rPr>
      </w:pPr>
      <w:bookmarkStart w:id="467" w:name="_Toc170142545"/>
      <w:bookmarkStart w:id="468" w:name="_Toc170983816"/>
      <w:r>
        <w:rPr>
          <w:rFonts w:ascii="Aptos" w:hAnsi="Aptos"/>
        </w:rPr>
        <w:t>Einsatz von Digitaltechnologien in der Pflege</w:t>
      </w:r>
      <w:bookmarkEnd w:id="467"/>
      <w:bookmarkEnd w:id="468"/>
      <w:r w:rsidRPr="00CD3D28">
        <w:rPr>
          <w:rFonts w:ascii="Aptos" w:hAnsi="Aptos"/>
        </w:rPr>
        <w:t xml:space="preserve"> </w:t>
      </w:r>
    </w:p>
    <w:p w14:paraId="31B891FB"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7294336C" w14:textId="77777777" w:rsidTr="00875DD0">
        <w:tc>
          <w:tcPr>
            <w:tcW w:w="9060" w:type="dxa"/>
            <w:shd w:val="clear" w:color="auto" w:fill="D9D9D9" w:themeFill="background1" w:themeFillShade="D9"/>
          </w:tcPr>
          <w:p w14:paraId="10C50D19"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35E5C1BF" w14:textId="77777777" w:rsidTr="00875DD0">
        <w:tc>
          <w:tcPr>
            <w:tcW w:w="9060" w:type="dxa"/>
          </w:tcPr>
          <w:p w14:paraId="3A85B10B" w14:textId="77777777" w:rsidR="00623AF8" w:rsidRPr="00CD3D28" w:rsidRDefault="00623AF8" w:rsidP="00875DD0">
            <w:pPr>
              <w:spacing w:before="120" w:after="120"/>
              <w:jc w:val="both"/>
              <w:rPr>
                <w:rFonts w:ascii="Aptos" w:hAnsi="Aptos"/>
                <w:sz w:val="22"/>
                <w:szCs w:val="22"/>
              </w:rPr>
            </w:pPr>
            <w:r w:rsidRPr="002D357B">
              <w:rPr>
                <w:rFonts w:ascii="Aptos" w:hAnsi="Aptos"/>
                <w:sz w:val="22"/>
                <w:szCs w:val="22"/>
              </w:rPr>
              <w:t xml:space="preserve">Die rasante Entwicklung digitaler Technologien, insbesondere im Bereich der künstlichen Intelligenz und der Robotik, bietet auch für die Pflege und Gesundheitsversorgung zahlreiche </w:t>
            </w:r>
            <w:r>
              <w:rPr>
                <w:rFonts w:ascii="Aptos" w:hAnsi="Aptos"/>
                <w:sz w:val="22"/>
                <w:szCs w:val="22"/>
              </w:rPr>
              <w:t xml:space="preserve">neue </w:t>
            </w:r>
            <w:r w:rsidRPr="002D357B">
              <w:rPr>
                <w:rFonts w:ascii="Aptos" w:hAnsi="Aptos"/>
                <w:sz w:val="22"/>
                <w:szCs w:val="22"/>
              </w:rPr>
              <w:t xml:space="preserve">Chancen. </w:t>
            </w:r>
            <w:r>
              <w:rPr>
                <w:rFonts w:ascii="Aptos" w:hAnsi="Aptos"/>
                <w:b/>
                <w:bCs/>
                <w:sz w:val="22"/>
                <w:szCs w:val="22"/>
              </w:rPr>
              <w:t xml:space="preserve">Welche </w:t>
            </w:r>
            <w:r w:rsidRPr="004F33B8">
              <w:rPr>
                <w:rFonts w:ascii="Aptos" w:hAnsi="Aptos"/>
                <w:b/>
                <w:bCs/>
                <w:sz w:val="22"/>
                <w:szCs w:val="22"/>
              </w:rPr>
              <w:t xml:space="preserve">Maßnahmen </w:t>
            </w:r>
            <w:r>
              <w:rPr>
                <w:rFonts w:ascii="Aptos" w:hAnsi="Aptos"/>
                <w:b/>
                <w:bCs/>
                <w:sz w:val="22"/>
                <w:szCs w:val="22"/>
              </w:rPr>
              <w:t xml:space="preserve">gedenken Sie </w:t>
            </w:r>
            <w:r w:rsidRPr="004F33B8">
              <w:rPr>
                <w:rFonts w:ascii="Aptos" w:hAnsi="Aptos"/>
                <w:b/>
                <w:bCs/>
                <w:sz w:val="22"/>
                <w:szCs w:val="22"/>
              </w:rPr>
              <w:t xml:space="preserve">zu </w:t>
            </w:r>
            <w:r>
              <w:rPr>
                <w:rFonts w:ascii="Aptos" w:hAnsi="Aptos"/>
                <w:b/>
                <w:bCs/>
                <w:sz w:val="22"/>
                <w:szCs w:val="22"/>
              </w:rPr>
              <w:t>setzen</w:t>
            </w:r>
            <w:r w:rsidRPr="004F33B8">
              <w:rPr>
                <w:rFonts w:ascii="Aptos" w:hAnsi="Aptos"/>
                <w:b/>
                <w:bCs/>
                <w:sz w:val="22"/>
                <w:szCs w:val="22"/>
              </w:rPr>
              <w:t xml:space="preserve">, </w:t>
            </w:r>
            <w:r>
              <w:rPr>
                <w:rFonts w:ascii="Aptos" w:hAnsi="Aptos"/>
                <w:b/>
                <w:bCs/>
                <w:sz w:val="22"/>
                <w:szCs w:val="22"/>
              </w:rPr>
              <w:t>um den Einsatz</w:t>
            </w:r>
            <w:r w:rsidRPr="00303CCE">
              <w:rPr>
                <w:rFonts w:ascii="Aptos" w:hAnsi="Aptos"/>
                <w:b/>
                <w:bCs/>
                <w:sz w:val="22"/>
                <w:szCs w:val="22"/>
              </w:rPr>
              <w:t xml:space="preserve"> </w:t>
            </w:r>
            <w:r>
              <w:rPr>
                <w:rFonts w:ascii="Aptos" w:hAnsi="Aptos"/>
                <w:b/>
                <w:bCs/>
                <w:sz w:val="22"/>
                <w:szCs w:val="22"/>
              </w:rPr>
              <w:t>von Digitaltechnologien</w:t>
            </w:r>
            <w:r w:rsidRPr="00303CCE">
              <w:rPr>
                <w:rFonts w:ascii="Aptos" w:hAnsi="Aptos"/>
                <w:b/>
                <w:bCs/>
                <w:sz w:val="22"/>
                <w:szCs w:val="22"/>
              </w:rPr>
              <w:t xml:space="preserve"> </w:t>
            </w:r>
            <w:r>
              <w:rPr>
                <w:rFonts w:ascii="Aptos" w:hAnsi="Aptos"/>
                <w:b/>
                <w:bCs/>
                <w:sz w:val="22"/>
                <w:szCs w:val="22"/>
              </w:rPr>
              <w:t>zur Verbesserung von</w:t>
            </w:r>
            <w:r w:rsidRPr="00303CCE">
              <w:rPr>
                <w:rFonts w:ascii="Aptos" w:hAnsi="Aptos"/>
                <w:b/>
                <w:bCs/>
                <w:sz w:val="22"/>
                <w:szCs w:val="22"/>
              </w:rPr>
              <w:t xml:space="preserve"> Pflege</w:t>
            </w:r>
            <w:r>
              <w:rPr>
                <w:rFonts w:ascii="Aptos" w:hAnsi="Aptos"/>
                <w:b/>
                <w:bCs/>
                <w:sz w:val="22"/>
                <w:szCs w:val="22"/>
              </w:rPr>
              <w:t>diensten</w:t>
            </w:r>
            <w:r w:rsidRPr="00303CCE">
              <w:rPr>
                <w:rFonts w:ascii="Aptos" w:hAnsi="Aptos"/>
                <w:b/>
                <w:bCs/>
                <w:sz w:val="22"/>
                <w:szCs w:val="22"/>
              </w:rPr>
              <w:t xml:space="preserve"> und </w:t>
            </w:r>
            <w:r>
              <w:rPr>
                <w:rFonts w:ascii="Aptos" w:hAnsi="Aptos"/>
                <w:b/>
                <w:bCs/>
                <w:sz w:val="22"/>
                <w:szCs w:val="22"/>
              </w:rPr>
              <w:t>der Bekämpfung des</w:t>
            </w:r>
            <w:r w:rsidRPr="00303CCE">
              <w:rPr>
                <w:rFonts w:ascii="Aptos" w:hAnsi="Aptos"/>
                <w:b/>
                <w:bCs/>
                <w:sz w:val="22"/>
                <w:szCs w:val="22"/>
              </w:rPr>
              <w:t xml:space="preserve"> Fachkräftemangel</w:t>
            </w:r>
            <w:r>
              <w:rPr>
                <w:rFonts w:ascii="Aptos" w:hAnsi="Aptos"/>
                <w:b/>
                <w:bCs/>
                <w:sz w:val="22"/>
                <w:szCs w:val="22"/>
              </w:rPr>
              <w:t>s zu unterstützen?</w:t>
            </w:r>
            <w:r w:rsidRPr="00303CCE">
              <w:rPr>
                <w:rFonts w:ascii="Aptos" w:hAnsi="Aptos"/>
                <w:b/>
                <w:bCs/>
                <w:sz w:val="22"/>
                <w:szCs w:val="22"/>
              </w:rPr>
              <w:t xml:space="preserve"> </w:t>
            </w:r>
          </w:p>
        </w:tc>
      </w:tr>
      <w:tr w:rsidR="00623AF8" w:rsidRPr="00CD3D28" w14:paraId="10712715" w14:textId="77777777" w:rsidTr="00875DD0">
        <w:tc>
          <w:tcPr>
            <w:tcW w:w="9060" w:type="dxa"/>
            <w:shd w:val="clear" w:color="auto" w:fill="D9D9D9" w:themeFill="background1" w:themeFillShade="D9"/>
          </w:tcPr>
          <w:p w14:paraId="4A46928E"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39DD10F8" w14:textId="77777777" w:rsidTr="00875DD0">
        <w:tc>
          <w:tcPr>
            <w:tcW w:w="9060" w:type="dxa"/>
          </w:tcPr>
          <w:p w14:paraId="5FF50DC5" w14:textId="77777777" w:rsidR="00623AF8" w:rsidRPr="00C94AD3" w:rsidRDefault="00623AF8" w:rsidP="00F63BE8">
            <w:pPr>
              <w:pStyle w:val="Listenabsatz"/>
              <w:numPr>
                <w:ilvl w:val="0"/>
                <w:numId w:val="71"/>
              </w:numPr>
              <w:spacing w:before="120" w:after="120"/>
              <w:jc w:val="both"/>
              <w:rPr>
                <w:rFonts w:ascii="Aptos" w:hAnsi="Aptos"/>
                <w:sz w:val="22"/>
                <w:szCs w:val="22"/>
              </w:rPr>
            </w:pPr>
            <w:r w:rsidRPr="00C94AD3">
              <w:rPr>
                <w:rFonts w:ascii="Aptos" w:hAnsi="Aptos"/>
                <w:sz w:val="22"/>
                <w:szCs w:val="22"/>
              </w:rPr>
              <w:t>Wie stellen Sie sicher, dass dabei geltende Standards nicht unterlaufen werden?</w:t>
            </w:r>
          </w:p>
          <w:p w14:paraId="571E20CC" w14:textId="77777777" w:rsidR="00623AF8" w:rsidRPr="00C94AD3" w:rsidRDefault="00623AF8" w:rsidP="00F63BE8">
            <w:pPr>
              <w:pStyle w:val="Listenabsatz"/>
              <w:numPr>
                <w:ilvl w:val="0"/>
                <w:numId w:val="71"/>
              </w:numPr>
              <w:spacing w:before="120" w:after="120"/>
              <w:jc w:val="both"/>
              <w:rPr>
                <w:rFonts w:ascii="Aptos" w:hAnsi="Aptos"/>
                <w:sz w:val="22"/>
                <w:szCs w:val="22"/>
              </w:rPr>
            </w:pPr>
            <w:r w:rsidRPr="00C94AD3">
              <w:rPr>
                <w:rFonts w:ascii="Aptos" w:hAnsi="Aptos"/>
                <w:sz w:val="22"/>
                <w:szCs w:val="22"/>
              </w:rPr>
              <w:t>Wie stellen Sie sicher, dass der Einsatz von Digitaltechnologien in der Pflege menschenzentriert die Arbeit der Pflegenden erleichtert und gleichzeitig die Qualität der Pflege verbessert?</w:t>
            </w:r>
          </w:p>
        </w:tc>
      </w:tr>
    </w:tbl>
    <w:p w14:paraId="70E0D248" w14:textId="77777777" w:rsidR="00623AF8" w:rsidRDefault="00623AF8" w:rsidP="00623AF8">
      <w:pPr>
        <w:spacing w:after="120"/>
        <w:jc w:val="both"/>
        <w:rPr>
          <w:rFonts w:ascii="Aptos" w:hAnsi="Aptos"/>
          <w:b/>
          <w:iCs/>
          <w:sz w:val="22"/>
          <w:szCs w:val="22"/>
        </w:rPr>
      </w:pPr>
    </w:p>
    <w:tbl>
      <w:tblPr>
        <w:tblStyle w:val="Tabellenraster"/>
        <w:tblW w:w="0" w:type="auto"/>
        <w:tblLook w:val="04A0" w:firstRow="1" w:lastRow="0" w:firstColumn="1" w:lastColumn="0" w:noHBand="0" w:noVBand="1"/>
      </w:tblPr>
      <w:tblGrid>
        <w:gridCol w:w="9060"/>
      </w:tblGrid>
      <w:tr w:rsidR="00623AF8" w14:paraId="43164CEF" w14:textId="77777777" w:rsidTr="00875DD0">
        <w:tc>
          <w:tcPr>
            <w:tcW w:w="9060" w:type="dxa"/>
            <w:tcBorders>
              <w:top w:val="nil"/>
              <w:left w:val="nil"/>
              <w:bottom w:val="nil"/>
              <w:right w:val="nil"/>
            </w:tcBorders>
            <w:shd w:val="clear" w:color="auto" w:fill="D9D9D9" w:themeFill="background1" w:themeFillShade="D9"/>
          </w:tcPr>
          <w:p w14:paraId="7BF00C57" w14:textId="77777777" w:rsidR="00623AF8" w:rsidRDefault="00623AF8" w:rsidP="00875DD0">
            <w:pPr>
              <w:spacing w:after="120"/>
              <w:jc w:val="both"/>
              <w:rPr>
                <w:rFonts w:ascii="Aptos" w:hAnsi="Aptos"/>
                <w:b/>
                <w:iCs/>
                <w:sz w:val="22"/>
                <w:szCs w:val="22"/>
              </w:rPr>
            </w:pPr>
            <w:bookmarkStart w:id="469" w:name="_Hlk170312555"/>
            <w:r w:rsidRPr="00E61B2A">
              <w:rPr>
                <w:rFonts w:ascii="Aptos" w:hAnsi="Aptos"/>
                <w:b/>
                <w:iCs/>
                <w:sz w:val="22"/>
                <w:szCs w:val="22"/>
              </w:rPr>
              <w:t>Hintergrund</w:t>
            </w:r>
          </w:p>
        </w:tc>
      </w:tr>
    </w:tbl>
    <w:bookmarkEnd w:id="469"/>
    <w:p w14:paraId="499232E2" w14:textId="77777777" w:rsidR="00623AF8" w:rsidRPr="00B47B64" w:rsidRDefault="00623AF8" w:rsidP="00623AF8">
      <w:pPr>
        <w:spacing w:after="120"/>
        <w:jc w:val="both"/>
        <w:rPr>
          <w:rFonts w:ascii="Aptos" w:hAnsi="Aptos"/>
          <w:sz w:val="22"/>
          <w:szCs w:val="22"/>
        </w:rPr>
      </w:pPr>
      <w:r w:rsidRPr="00B47B64">
        <w:rPr>
          <w:rFonts w:ascii="Aptos" w:hAnsi="Aptos"/>
          <w:sz w:val="22"/>
          <w:szCs w:val="22"/>
        </w:rPr>
        <w:t xml:space="preserve">Die rasante Entwicklung digitaler Technologien, insbesondere im Bereich der künstlichen Intelligenz und der Robotik, bietet auch für die Pflege und Gesundheitsversorgung zahlreiche neue Chancen. Diese Technologien können die Effizienz und Qualität der Pflegedienste erheblich steigern und helfen, dem Fachkräftemangel entgegenzuwirken. Maßnahmen, die den Einsatz von Digitaltechnologien unterstützen, umfassen gezielte Investitionen in digitale Infrastruktur, Schulungsprogramme für Pflegekräfte sowie die Förderung von Forschung und Entwicklung. Dabei ist es essenziell, dass geltende Standards und ethische Richtlinien strikt eingehalten werden. </w:t>
      </w:r>
    </w:p>
    <w:p w14:paraId="08B6DB93" w14:textId="77777777" w:rsidR="00623AF8" w:rsidRPr="009F1843" w:rsidRDefault="00623AF8" w:rsidP="00623AF8">
      <w:pPr>
        <w:spacing w:after="120"/>
        <w:jc w:val="both"/>
        <w:rPr>
          <w:rFonts w:ascii="Aptos" w:hAnsi="Aptos"/>
          <w:sz w:val="22"/>
          <w:szCs w:val="22"/>
        </w:rPr>
      </w:pPr>
      <w:r w:rsidRPr="00B47B64">
        <w:rPr>
          <w:rFonts w:ascii="Aptos" w:hAnsi="Aptos"/>
          <w:sz w:val="22"/>
          <w:szCs w:val="22"/>
        </w:rPr>
        <w:t xml:space="preserve">Um sicherzustellen, dass der Einsatz von Digitaltechnologien menschenzentriert bleibt, sollten Pflegekräfte aktiv in die Gestaltung und Implementierung der Technologien eingebunden werden. Ihre Bedürfnisse und ihre Expertise sind entscheidend für die Akzeptanz und Effektivität neuer Technologien im Pflegealltag. Technologien sollten so gestaltet werden, dass sie die Arbeitsbelastung reduzieren, etwa durch Automatisierung von Routinetätigkeiten und Verwaltungsaufgaben, damit Pflegekräfte mehr Zeit für die direkte Patientenversorgung haben. </w:t>
      </w:r>
      <w:r>
        <w:rPr>
          <w:rFonts w:ascii="Aptos" w:hAnsi="Aptos"/>
          <w:sz w:val="22"/>
          <w:szCs w:val="22"/>
        </w:rPr>
        <w:t xml:space="preserve"> </w:t>
      </w:r>
      <w:r w:rsidRPr="00B47B64">
        <w:rPr>
          <w:rFonts w:ascii="Aptos" w:hAnsi="Aptos"/>
          <w:sz w:val="22"/>
          <w:szCs w:val="22"/>
        </w:rPr>
        <w:t xml:space="preserve">Darüber hinaus ist eine kontinuierliche Evaluation und Anpassung der Technologien notwendig, um sicherzustellen, dass sie tatsächlich die Pflegequalität verbessern und nicht nur zusätzliche Komplexität </w:t>
      </w:r>
      <w:r>
        <w:rPr>
          <w:rFonts w:ascii="Aptos" w:hAnsi="Aptos"/>
          <w:sz w:val="22"/>
          <w:szCs w:val="22"/>
        </w:rPr>
        <w:t>und Komplikationen hervorrufen</w:t>
      </w:r>
      <w:r w:rsidRPr="00B47B64">
        <w:rPr>
          <w:rFonts w:ascii="Aptos" w:hAnsi="Aptos"/>
          <w:sz w:val="22"/>
          <w:szCs w:val="22"/>
        </w:rPr>
        <w:t xml:space="preserve">. </w:t>
      </w:r>
      <w:r>
        <w:rPr>
          <w:rFonts w:ascii="Aptos" w:hAnsi="Aptos"/>
          <w:sz w:val="22"/>
          <w:szCs w:val="22"/>
        </w:rPr>
        <w:t xml:space="preserve">Auch </w:t>
      </w:r>
      <w:r w:rsidRPr="00B47B64">
        <w:rPr>
          <w:rFonts w:ascii="Aptos" w:hAnsi="Aptos"/>
          <w:sz w:val="22"/>
          <w:szCs w:val="22"/>
        </w:rPr>
        <w:t>Schulungen und Weiterbildungen müssen regelmäßig angeboten werden, um sicherzustellen, dass Pflegekräfte die neuen Technologien effektiv nutzen können und ihre Fähigkeiten entsprechend ausgebaut werden.</w:t>
      </w:r>
      <w:r w:rsidRPr="00E61B2A">
        <w:rPr>
          <w:rFonts w:ascii="Aptos" w:hAnsi="Aptos"/>
          <w:bCs/>
          <w:sz w:val="22"/>
          <w:szCs w:val="22"/>
        </w:rPr>
        <w:br w:type="page"/>
      </w:r>
    </w:p>
    <w:p w14:paraId="6A125737" w14:textId="77777777" w:rsidR="00623AF8" w:rsidRDefault="00623AF8" w:rsidP="00623AF8">
      <w:pPr>
        <w:pStyle w:val="berschrift1"/>
        <w:ind w:left="720"/>
        <w:rPr>
          <w:rFonts w:ascii="Aptos" w:hAnsi="Aptos"/>
        </w:rPr>
      </w:pPr>
    </w:p>
    <w:p w14:paraId="5CA8B764" w14:textId="77777777" w:rsidR="00623AF8" w:rsidRDefault="00623AF8" w:rsidP="00623AF8">
      <w:pPr>
        <w:pStyle w:val="berschrift1"/>
        <w:ind w:left="720"/>
        <w:rPr>
          <w:rFonts w:ascii="Aptos" w:hAnsi="Aptos"/>
        </w:rPr>
      </w:pPr>
    </w:p>
    <w:p w14:paraId="4F904C12" w14:textId="77777777" w:rsidR="00623AF8" w:rsidRPr="00CD3D28" w:rsidRDefault="00623AF8" w:rsidP="00623AF8">
      <w:pPr>
        <w:pStyle w:val="berschrift1"/>
        <w:rPr>
          <w:rFonts w:ascii="Aptos" w:hAnsi="Aptos"/>
        </w:rPr>
      </w:pPr>
      <w:bookmarkStart w:id="470" w:name="_Toc170142546"/>
      <w:bookmarkStart w:id="471" w:name="_Toc170983817"/>
      <w:r>
        <w:rPr>
          <w:rFonts w:ascii="Aptos" w:hAnsi="Aptos"/>
        </w:rPr>
        <w:t>Substanzen menschlichen Ursprungs</w:t>
      </w:r>
      <w:bookmarkEnd w:id="470"/>
      <w:bookmarkEnd w:id="471"/>
    </w:p>
    <w:p w14:paraId="6DC33916"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2D941BBA" w14:textId="77777777" w:rsidTr="00875DD0">
        <w:tc>
          <w:tcPr>
            <w:tcW w:w="9060" w:type="dxa"/>
            <w:shd w:val="clear" w:color="auto" w:fill="D9D9D9" w:themeFill="background1" w:themeFillShade="D9"/>
          </w:tcPr>
          <w:p w14:paraId="7571E611"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4AEC31F0" w14:textId="77777777" w:rsidTr="00875DD0">
        <w:tc>
          <w:tcPr>
            <w:tcW w:w="9060" w:type="dxa"/>
          </w:tcPr>
          <w:p w14:paraId="25F88AA9" w14:textId="77777777" w:rsidR="00623AF8" w:rsidRPr="00CD3D28" w:rsidRDefault="00623AF8" w:rsidP="00875DD0">
            <w:pPr>
              <w:spacing w:before="120" w:after="120"/>
              <w:jc w:val="both"/>
              <w:rPr>
                <w:rFonts w:ascii="Aptos" w:hAnsi="Aptos"/>
                <w:sz w:val="22"/>
                <w:szCs w:val="22"/>
              </w:rPr>
            </w:pPr>
            <w:r>
              <w:rPr>
                <w:rFonts w:ascii="Aptos" w:hAnsi="Aptos"/>
                <w:sz w:val="22"/>
                <w:szCs w:val="22"/>
              </w:rPr>
              <w:t xml:space="preserve">In der Gesundheitsversorgung besteht ein ständiger Bedarf nach Substanzen menschlichen Ursprungs. </w:t>
            </w:r>
            <w:r w:rsidRPr="00AD58F3">
              <w:rPr>
                <w:rFonts w:ascii="Aptos" w:hAnsi="Aptos"/>
                <w:sz w:val="22"/>
                <w:szCs w:val="22"/>
              </w:rPr>
              <w:t>Der kommerzielle Handel mit diesen besonders sensiblen Substanzen birgt zahlreiche Risiken</w:t>
            </w:r>
            <w:r w:rsidRPr="00CD3D28">
              <w:rPr>
                <w:rFonts w:ascii="Aptos" w:hAnsi="Aptos"/>
                <w:sz w:val="22"/>
                <w:szCs w:val="22"/>
              </w:rPr>
              <w:t>.</w:t>
            </w:r>
            <w:r w:rsidRPr="00383992">
              <w:rPr>
                <w:rFonts w:ascii="Aptos" w:hAnsi="Aptos"/>
                <w:b/>
                <w:bCs/>
                <w:sz w:val="22"/>
                <w:szCs w:val="22"/>
              </w:rPr>
              <w:t xml:space="preserve"> </w:t>
            </w:r>
            <w:r>
              <w:rPr>
                <w:rFonts w:ascii="Aptos" w:hAnsi="Aptos"/>
                <w:b/>
                <w:bCs/>
                <w:sz w:val="22"/>
                <w:szCs w:val="22"/>
              </w:rPr>
              <w:t>Planen Sie weitere legislative Schritte</w:t>
            </w:r>
            <w:r w:rsidRPr="00383992">
              <w:rPr>
                <w:rFonts w:ascii="Aptos" w:hAnsi="Aptos"/>
                <w:b/>
                <w:bCs/>
                <w:sz w:val="22"/>
                <w:szCs w:val="22"/>
              </w:rPr>
              <w:t xml:space="preserve"> </w:t>
            </w:r>
            <w:r>
              <w:rPr>
                <w:rFonts w:ascii="Aptos" w:hAnsi="Aptos"/>
                <w:b/>
                <w:bCs/>
                <w:sz w:val="22"/>
                <w:szCs w:val="22"/>
              </w:rPr>
              <w:t>in Bezug auf die Verordnung über Substanzen menschlichen Ursprungs</w:t>
            </w:r>
            <w:r w:rsidRPr="00383992">
              <w:rPr>
                <w:rFonts w:ascii="Aptos" w:hAnsi="Aptos"/>
                <w:b/>
                <w:bCs/>
                <w:sz w:val="22"/>
                <w:szCs w:val="22"/>
              </w:rPr>
              <w:t>?</w:t>
            </w:r>
          </w:p>
        </w:tc>
      </w:tr>
      <w:tr w:rsidR="00623AF8" w:rsidRPr="00CD3D28" w14:paraId="7C1653BB" w14:textId="77777777" w:rsidTr="00875DD0">
        <w:tc>
          <w:tcPr>
            <w:tcW w:w="9060" w:type="dxa"/>
            <w:shd w:val="clear" w:color="auto" w:fill="D9D9D9" w:themeFill="background1" w:themeFillShade="D9"/>
          </w:tcPr>
          <w:p w14:paraId="62449509"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46EC0F14" w14:textId="77777777" w:rsidTr="00875DD0">
        <w:tc>
          <w:tcPr>
            <w:tcW w:w="9060" w:type="dxa"/>
          </w:tcPr>
          <w:p w14:paraId="7F97287D" w14:textId="77777777" w:rsidR="00623AF8" w:rsidRPr="003317CC" w:rsidRDefault="00623AF8" w:rsidP="00F63BE8">
            <w:pPr>
              <w:pStyle w:val="Listenabsatz"/>
              <w:numPr>
                <w:ilvl w:val="0"/>
                <w:numId w:val="71"/>
              </w:numPr>
              <w:spacing w:before="120" w:after="120"/>
              <w:jc w:val="both"/>
              <w:rPr>
                <w:rFonts w:ascii="Aptos" w:hAnsi="Aptos"/>
                <w:sz w:val="22"/>
                <w:szCs w:val="22"/>
              </w:rPr>
            </w:pPr>
            <w:r w:rsidRPr="003317CC">
              <w:rPr>
                <w:rFonts w:ascii="Aptos" w:hAnsi="Aptos"/>
                <w:sz w:val="22"/>
                <w:szCs w:val="22"/>
              </w:rPr>
              <w:t>Wie kann eine stabile Versorgung medizinischer Einrichtungen mit Substanzen menschlichen Ursprungs sichergestellt werden?</w:t>
            </w:r>
          </w:p>
          <w:p w14:paraId="64F9317A" w14:textId="77777777" w:rsidR="00623AF8" w:rsidRPr="003317CC" w:rsidRDefault="00623AF8" w:rsidP="00F63BE8">
            <w:pPr>
              <w:pStyle w:val="Listenabsatz"/>
              <w:numPr>
                <w:ilvl w:val="0"/>
                <w:numId w:val="71"/>
              </w:numPr>
              <w:spacing w:before="120" w:after="120"/>
              <w:jc w:val="both"/>
              <w:rPr>
                <w:rFonts w:ascii="Aptos" w:hAnsi="Aptos"/>
                <w:sz w:val="22"/>
                <w:szCs w:val="22"/>
              </w:rPr>
            </w:pPr>
            <w:r w:rsidRPr="003317CC">
              <w:rPr>
                <w:rFonts w:ascii="Aptos" w:hAnsi="Aptos"/>
                <w:sz w:val="22"/>
                <w:szCs w:val="22"/>
              </w:rPr>
              <w:t>Wie können Sie sicherstellen, dass der Handel mit Substanzen menschlichen Ursprungs nicht kommerzialisiert wird?</w:t>
            </w:r>
          </w:p>
        </w:tc>
      </w:tr>
    </w:tbl>
    <w:p w14:paraId="690B5279" w14:textId="77777777" w:rsidR="00623AF8" w:rsidRDefault="00623AF8" w:rsidP="00623AF8">
      <w:pPr>
        <w:spacing w:after="120"/>
        <w:jc w:val="both"/>
        <w:rPr>
          <w:rFonts w:ascii="Aptos" w:hAnsi="Aptos"/>
          <w:b/>
          <w:iCs/>
          <w:sz w:val="22"/>
          <w:szCs w:val="22"/>
        </w:rPr>
      </w:pPr>
    </w:p>
    <w:tbl>
      <w:tblPr>
        <w:tblStyle w:val="Tabellenraster"/>
        <w:tblW w:w="0" w:type="auto"/>
        <w:tblLook w:val="04A0" w:firstRow="1" w:lastRow="0" w:firstColumn="1" w:lastColumn="0" w:noHBand="0" w:noVBand="1"/>
      </w:tblPr>
      <w:tblGrid>
        <w:gridCol w:w="9060"/>
      </w:tblGrid>
      <w:tr w:rsidR="00623AF8" w14:paraId="136965C8" w14:textId="77777777" w:rsidTr="00875DD0">
        <w:tc>
          <w:tcPr>
            <w:tcW w:w="9060" w:type="dxa"/>
            <w:tcBorders>
              <w:top w:val="nil"/>
              <w:left w:val="nil"/>
              <w:bottom w:val="nil"/>
              <w:right w:val="nil"/>
            </w:tcBorders>
            <w:shd w:val="clear" w:color="auto" w:fill="D9D9D9" w:themeFill="background1" w:themeFillShade="D9"/>
          </w:tcPr>
          <w:p w14:paraId="7267CE7C" w14:textId="77777777" w:rsidR="00623AF8" w:rsidRDefault="00623AF8" w:rsidP="00875DD0">
            <w:pPr>
              <w:spacing w:after="120"/>
              <w:jc w:val="both"/>
              <w:rPr>
                <w:rFonts w:ascii="Aptos" w:hAnsi="Aptos"/>
                <w:b/>
                <w:iCs/>
                <w:sz w:val="22"/>
                <w:szCs w:val="22"/>
              </w:rPr>
            </w:pPr>
            <w:r w:rsidRPr="00E61B2A">
              <w:rPr>
                <w:rFonts w:ascii="Aptos" w:hAnsi="Aptos"/>
                <w:b/>
                <w:iCs/>
                <w:sz w:val="22"/>
                <w:szCs w:val="22"/>
              </w:rPr>
              <w:t>Hintergrund</w:t>
            </w:r>
          </w:p>
        </w:tc>
      </w:tr>
    </w:tbl>
    <w:p w14:paraId="4D727183" w14:textId="77777777" w:rsidR="00623AF8" w:rsidRDefault="00623AF8" w:rsidP="00623AF8">
      <w:pPr>
        <w:spacing w:after="120"/>
        <w:jc w:val="both"/>
        <w:rPr>
          <w:rFonts w:ascii="Aptos" w:hAnsi="Aptos"/>
          <w:sz w:val="22"/>
          <w:szCs w:val="22"/>
        </w:rPr>
      </w:pPr>
      <w:r>
        <w:rPr>
          <w:rFonts w:ascii="Aptos" w:hAnsi="Aptos"/>
          <w:sz w:val="22"/>
          <w:szCs w:val="22"/>
        </w:rPr>
        <w:t>Im Frühjahr 2024 haben EU Parlament und Rat der EU</w:t>
      </w:r>
      <w:r w:rsidRPr="007874B2">
        <w:rPr>
          <w:rFonts w:ascii="Aptos" w:hAnsi="Aptos"/>
          <w:sz w:val="22"/>
          <w:szCs w:val="22"/>
        </w:rPr>
        <w:t xml:space="preserve"> </w:t>
      </w:r>
      <w:r>
        <w:rPr>
          <w:rFonts w:ascii="Aptos" w:hAnsi="Aptos"/>
          <w:sz w:val="22"/>
          <w:szCs w:val="22"/>
        </w:rPr>
        <w:t xml:space="preserve">die Verordnung zur </w:t>
      </w:r>
      <w:r w:rsidRPr="007874B2">
        <w:rPr>
          <w:rFonts w:ascii="Aptos" w:hAnsi="Aptos"/>
          <w:sz w:val="22"/>
          <w:szCs w:val="22"/>
        </w:rPr>
        <w:t>Bereitstellung von Substanzen menschlichen Ursprungs (SoHO) für medizinische Zwecke</w:t>
      </w:r>
      <w:r>
        <w:rPr>
          <w:rFonts w:ascii="Aptos" w:hAnsi="Aptos"/>
          <w:sz w:val="22"/>
          <w:szCs w:val="22"/>
        </w:rPr>
        <w:t xml:space="preserve"> angenommen, mit dem Ziel die Sicherheit und Qualität von Substanzen menschlichen Ursprungs für medizinische Anwendungen am menschlichen Körper zu gewährleisten</w:t>
      </w:r>
      <w:r w:rsidRPr="007874B2">
        <w:rPr>
          <w:rFonts w:ascii="Aptos" w:hAnsi="Aptos"/>
          <w:sz w:val="22"/>
          <w:szCs w:val="22"/>
        </w:rPr>
        <w:t>.</w:t>
      </w:r>
      <w:r>
        <w:rPr>
          <w:rStyle w:val="Funotenzeichen"/>
          <w:rFonts w:ascii="Aptos" w:hAnsi="Aptos"/>
          <w:sz w:val="22"/>
          <w:szCs w:val="22"/>
        </w:rPr>
        <w:footnoteReference w:id="20"/>
      </w:r>
      <w:r w:rsidRPr="007874B2">
        <w:rPr>
          <w:rFonts w:ascii="Aptos" w:hAnsi="Aptos"/>
          <w:sz w:val="22"/>
          <w:szCs w:val="22"/>
        </w:rPr>
        <w:t xml:space="preserve"> </w:t>
      </w:r>
      <w:r>
        <w:rPr>
          <w:rFonts w:ascii="Aptos" w:hAnsi="Aptos"/>
          <w:sz w:val="22"/>
          <w:szCs w:val="22"/>
        </w:rPr>
        <w:t>Die Verordnung soll die</w:t>
      </w:r>
      <w:r w:rsidRPr="007874B2">
        <w:rPr>
          <w:rFonts w:ascii="Aptos" w:hAnsi="Aptos"/>
          <w:sz w:val="22"/>
          <w:szCs w:val="22"/>
        </w:rPr>
        <w:t xml:space="preserve"> kontinuierliche</w:t>
      </w:r>
      <w:r>
        <w:rPr>
          <w:rFonts w:ascii="Aptos" w:hAnsi="Aptos"/>
          <w:sz w:val="22"/>
          <w:szCs w:val="22"/>
        </w:rPr>
        <w:t xml:space="preserve"> und stabile</w:t>
      </w:r>
      <w:r w:rsidRPr="007874B2">
        <w:rPr>
          <w:rFonts w:ascii="Aptos" w:hAnsi="Aptos"/>
          <w:sz w:val="22"/>
          <w:szCs w:val="22"/>
        </w:rPr>
        <w:t xml:space="preserve"> </w:t>
      </w:r>
      <w:r>
        <w:rPr>
          <w:rFonts w:ascii="Aptos" w:hAnsi="Aptos"/>
          <w:sz w:val="22"/>
          <w:szCs w:val="22"/>
        </w:rPr>
        <w:t>Verfügbarkeit</w:t>
      </w:r>
      <w:r w:rsidRPr="007874B2">
        <w:rPr>
          <w:rFonts w:ascii="Aptos" w:hAnsi="Aptos"/>
          <w:sz w:val="22"/>
          <w:szCs w:val="22"/>
        </w:rPr>
        <w:t xml:space="preserve"> von SoHO-Therapien auf der Grundlage hoher Sicherheits- und Qualitätsstandards</w:t>
      </w:r>
      <w:r>
        <w:rPr>
          <w:rFonts w:ascii="Aptos" w:hAnsi="Aptos"/>
          <w:sz w:val="22"/>
          <w:szCs w:val="22"/>
        </w:rPr>
        <w:t xml:space="preserve"> unterstützen</w:t>
      </w:r>
      <w:r w:rsidRPr="007874B2">
        <w:rPr>
          <w:rFonts w:ascii="Aptos" w:hAnsi="Aptos"/>
          <w:sz w:val="22"/>
          <w:szCs w:val="22"/>
        </w:rPr>
        <w:t>.</w:t>
      </w:r>
      <w:r>
        <w:rPr>
          <w:rFonts w:ascii="Aptos" w:hAnsi="Aptos"/>
          <w:sz w:val="22"/>
          <w:szCs w:val="22"/>
        </w:rPr>
        <w:t xml:space="preserve"> Neben der weiteren Harmonisierung der Gesundheitsversorgung in der EU, sollen damit die Bedingungen für sichere, effektive, zugängliche und leistbare Innovationen in diesem heiklen Sektor sichergestellt werden. Damit soll die Verordnung auch einen Teil zur Verwirklichung der Europäischen Gesundheitsunion und der digitalen Zukunft im Gesundheitsbereich leisten.</w:t>
      </w:r>
    </w:p>
    <w:p w14:paraId="3A798FD9" w14:textId="77777777" w:rsidR="00623AF8" w:rsidRDefault="00623AF8" w:rsidP="00623AF8">
      <w:pPr>
        <w:spacing w:after="120"/>
        <w:jc w:val="both"/>
        <w:rPr>
          <w:rFonts w:ascii="Aptos" w:hAnsi="Aptos"/>
          <w:sz w:val="22"/>
          <w:szCs w:val="22"/>
        </w:rPr>
      </w:pPr>
      <w:r>
        <w:rPr>
          <w:rFonts w:ascii="Aptos" w:hAnsi="Aptos"/>
          <w:sz w:val="22"/>
          <w:szCs w:val="22"/>
        </w:rPr>
        <w:t xml:space="preserve">Bedenken gibt es hinsichtlich der </w:t>
      </w:r>
      <w:r w:rsidRPr="007874B2">
        <w:rPr>
          <w:rFonts w:ascii="Aptos" w:hAnsi="Aptos"/>
          <w:sz w:val="22"/>
          <w:szCs w:val="22"/>
        </w:rPr>
        <w:t xml:space="preserve">kommerziellen </w:t>
      </w:r>
      <w:r>
        <w:rPr>
          <w:rFonts w:ascii="Aptos" w:hAnsi="Aptos"/>
          <w:sz w:val="22"/>
          <w:szCs w:val="22"/>
        </w:rPr>
        <w:t xml:space="preserve">Nutzung und des </w:t>
      </w:r>
      <w:r w:rsidRPr="007874B2">
        <w:rPr>
          <w:rFonts w:ascii="Aptos" w:hAnsi="Aptos"/>
          <w:sz w:val="22"/>
          <w:szCs w:val="22"/>
        </w:rPr>
        <w:t>Handel</w:t>
      </w:r>
      <w:r>
        <w:rPr>
          <w:rFonts w:ascii="Aptos" w:hAnsi="Aptos"/>
          <w:sz w:val="22"/>
          <w:szCs w:val="22"/>
        </w:rPr>
        <w:t>s</w:t>
      </w:r>
      <w:r w:rsidRPr="007874B2">
        <w:rPr>
          <w:rFonts w:ascii="Aptos" w:hAnsi="Aptos"/>
          <w:sz w:val="22"/>
          <w:szCs w:val="22"/>
        </w:rPr>
        <w:t xml:space="preserve"> mit S</w:t>
      </w:r>
      <w:r>
        <w:rPr>
          <w:rFonts w:ascii="Aptos" w:hAnsi="Aptos"/>
          <w:sz w:val="22"/>
          <w:szCs w:val="22"/>
        </w:rPr>
        <w:t>ubstanzen menschlichen Ursprungs.</w:t>
      </w:r>
      <w:r w:rsidRPr="007874B2">
        <w:rPr>
          <w:rFonts w:ascii="Aptos" w:hAnsi="Aptos"/>
          <w:sz w:val="22"/>
          <w:szCs w:val="22"/>
        </w:rPr>
        <w:t xml:space="preserve"> </w:t>
      </w:r>
      <w:r>
        <w:rPr>
          <w:rFonts w:ascii="Aptos" w:hAnsi="Aptos"/>
          <w:sz w:val="22"/>
          <w:szCs w:val="22"/>
        </w:rPr>
        <w:t>D</w:t>
      </w:r>
      <w:r w:rsidRPr="007874B2">
        <w:rPr>
          <w:rFonts w:ascii="Aptos" w:hAnsi="Aptos"/>
          <w:sz w:val="22"/>
          <w:szCs w:val="22"/>
        </w:rPr>
        <w:t xml:space="preserve">iese </w:t>
      </w:r>
      <w:r>
        <w:rPr>
          <w:rFonts w:ascii="Aptos" w:hAnsi="Aptos"/>
          <w:sz w:val="22"/>
          <w:szCs w:val="22"/>
        </w:rPr>
        <w:t>hoch</w:t>
      </w:r>
      <w:r w:rsidRPr="007874B2">
        <w:rPr>
          <w:rFonts w:ascii="Aptos" w:hAnsi="Aptos"/>
          <w:sz w:val="22"/>
          <w:szCs w:val="22"/>
        </w:rPr>
        <w:t xml:space="preserve">sensiblen Substanzen </w:t>
      </w:r>
      <w:r>
        <w:rPr>
          <w:rFonts w:ascii="Aptos" w:hAnsi="Aptos"/>
          <w:sz w:val="22"/>
          <w:szCs w:val="22"/>
        </w:rPr>
        <w:t xml:space="preserve">sollten </w:t>
      </w:r>
      <w:r w:rsidRPr="007874B2">
        <w:rPr>
          <w:rFonts w:ascii="Aptos" w:hAnsi="Aptos"/>
          <w:sz w:val="22"/>
          <w:szCs w:val="22"/>
        </w:rPr>
        <w:t>nicht kommerzialisiert werden.</w:t>
      </w:r>
      <w:r>
        <w:rPr>
          <w:rFonts w:ascii="Aptos" w:hAnsi="Aptos"/>
          <w:sz w:val="22"/>
          <w:szCs w:val="22"/>
        </w:rPr>
        <w:t xml:space="preserve"> Hier muss auch die</w:t>
      </w:r>
      <w:r w:rsidRPr="007874B2">
        <w:rPr>
          <w:rFonts w:ascii="Aptos" w:hAnsi="Aptos"/>
          <w:sz w:val="22"/>
          <w:szCs w:val="22"/>
        </w:rPr>
        <w:t xml:space="preserve"> Einhaltung ethischer Grundsätze </w:t>
      </w:r>
      <w:r>
        <w:rPr>
          <w:rFonts w:ascii="Aptos" w:hAnsi="Aptos"/>
          <w:sz w:val="22"/>
          <w:szCs w:val="22"/>
        </w:rPr>
        <w:t xml:space="preserve">sichergestellt sein. </w:t>
      </w:r>
    </w:p>
    <w:p w14:paraId="649048D4" w14:textId="77777777" w:rsidR="00623AF8" w:rsidRPr="00CD3D28" w:rsidRDefault="00623AF8" w:rsidP="00623AF8">
      <w:pPr>
        <w:jc w:val="both"/>
        <w:rPr>
          <w:rFonts w:ascii="Aptos" w:hAnsi="Aptos"/>
          <w:bCs/>
          <w:sz w:val="22"/>
          <w:szCs w:val="22"/>
          <w:u w:val="single"/>
        </w:rPr>
      </w:pPr>
      <w:r w:rsidRPr="00223C43">
        <w:rPr>
          <w:rFonts w:ascii="Aptos" w:hAnsi="Aptos"/>
          <w:sz w:val="22"/>
          <w:szCs w:val="22"/>
        </w:rPr>
        <w:t>Die Versorgung medizinischer Einrichtungen mit notwendigen Therapien auf der Basis von SoHo ist von freiwilligen und unentgeltlichen Spenden abhängig. In Österreich ist beispielsweise das Rote Kreuz ein unersetzlicher Versorger mit Blutkonserven, die Patient:innen mit schweren Krankheiten, nach einem Unfall oder auch nach der Geburt benötigen. Diese sind auf freiwillige Spenden aus der Bevölkerung angewiesen. Daher muss auch hier das Vertrauen und die Sicherheit geschaffen werden, die kommerzielle Anbieter zerstören könnten.</w:t>
      </w:r>
      <w:r w:rsidRPr="00CD3D28">
        <w:rPr>
          <w:rFonts w:ascii="Aptos" w:hAnsi="Aptos"/>
          <w:bCs/>
          <w:sz w:val="22"/>
          <w:szCs w:val="22"/>
          <w:u w:val="single"/>
        </w:rPr>
        <w:br w:type="page"/>
      </w:r>
    </w:p>
    <w:p w14:paraId="0E46D46C" w14:textId="77777777" w:rsidR="00623AF8" w:rsidRPr="00CD3D28" w:rsidRDefault="00623AF8" w:rsidP="00623AF8">
      <w:pPr>
        <w:jc w:val="both"/>
        <w:rPr>
          <w:rFonts w:ascii="Aptos" w:hAnsi="Aptos"/>
          <w:bCs/>
          <w:sz w:val="22"/>
          <w:szCs w:val="22"/>
          <w:u w:val="single"/>
        </w:rPr>
      </w:pPr>
    </w:p>
    <w:p w14:paraId="4E4FD9D2" w14:textId="77777777" w:rsidR="00623AF8" w:rsidRPr="00CD3D28" w:rsidRDefault="00623AF8" w:rsidP="00623AF8">
      <w:pPr>
        <w:pStyle w:val="berschrift1"/>
        <w:ind w:left="720"/>
        <w:rPr>
          <w:rFonts w:ascii="Aptos" w:hAnsi="Aptos"/>
        </w:rPr>
      </w:pPr>
    </w:p>
    <w:p w14:paraId="68643C08" w14:textId="77777777" w:rsidR="00623AF8" w:rsidRPr="00CD3D28" w:rsidRDefault="00623AF8" w:rsidP="00623AF8">
      <w:pPr>
        <w:pStyle w:val="berschrift1"/>
        <w:rPr>
          <w:rFonts w:ascii="Aptos" w:hAnsi="Aptos"/>
        </w:rPr>
      </w:pPr>
      <w:bookmarkStart w:id="472" w:name="_Toc170142547"/>
      <w:bookmarkStart w:id="473" w:name="_Toc170983818"/>
      <w:r w:rsidRPr="00CD3D28">
        <w:rPr>
          <w:rFonts w:ascii="Aptos" w:hAnsi="Aptos"/>
        </w:rPr>
        <w:t>F</w:t>
      </w:r>
      <w:r>
        <w:rPr>
          <w:rFonts w:ascii="Aptos" w:hAnsi="Aptos"/>
        </w:rPr>
        <w:t>örderprogramme zur Bekämpfung des Fachkräftemangels</w:t>
      </w:r>
      <w:bookmarkEnd w:id="472"/>
      <w:bookmarkEnd w:id="473"/>
    </w:p>
    <w:p w14:paraId="685FEA93"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03122FD2" w14:textId="77777777" w:rsidTr="00875DD0">
        <w:tc>
          <w:tcPr>
            <w:tcW w:w="9060" w:type="dxa"/>
            <w:shd w:val="clear" w:color="auto" w:fill="D9D9D9" w:themeFill="background1" w:themeFillShade="D9"/>
          </w:tcPr>
          <w:p w14:paraId="42B70A47"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6FB15574" w14:textId="77777777" w:rsidTr="00875DD0">
        <w:tc>
          <w:tcPr>
            <w:tcW w:w="9060" w:type="dxa"/>
          </w:tcPr>
          <w:p w14:paraId="6BC13F96" w14:textId="77777777" w:rsidR="00623AF8" w:rsidRPr="00CD3D28" w:rsidRDefault="00623AF8" w:rsidP="00875DD0">
            <w:pPr>
              <w:spacing w:before="120" w:after="120"/>
              <w:jc w:val="both"/>
              <w:rPr>
                <w:rFonts w:ascii="Aptos" w:hAnsi="Aptos"/>
                <w:sz w:val="22"/>
                <w:szCs w:val="22"/>
              </w:rPr>
            </w:pPr>
            <w:r>
              <w:rPr>
                <w:rFonts w:ascii="Aptos" w:hAnsi="Aptos"/>
                <w:sz w:val="22"/>
                <w:szCs w:val="22"/>
              </w:rPr>
              <w:t xml:space="preserve">Der Fachkräftemangel in der EU bedroht die grüne Transformation der europäischen Wirtschaft sowie die Erhaltung des Wohlstandes in der EU. </w:t>
            </w:r>
            <w:r>
              <w:rPr>
                <w:rFonts w:ascii="Aptos" w:hAnsi="Aptos"/>
                <w:b/>
                <w:bCs/>
                <w:sz w:val="22"/>
                <w:szCs w:val="22"/>
              </w:rPr>
              <w:t>Gedenken Sie Förderprogramme aufzusetzen, um dem Fachkräftemangel entgegenzuwirken?</w:t>
            </w:r>
          </w:p>
        </w:tc>
      </w:tr>
      <w:tr w:rsidR="00623AF8" w:rsidRPr="00CD3D28" w14:paraId="7D428007" w14:textId="77777777" w:rsidTr="00875DD0">
        <w:tc>
          <w:tcPr>
            <w:tcW w:w="9060" w:type="dxa"/>
            <w:shd w:val="clear" w:color="auto" w:fill="D9D9D9" w:themeFill="background1" w:themeFillShade="D9"/>
          </w:tcPr>
          <w:p w14:paraId="01282C92"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75C2841B" w14:textId="77777777" w:rsidTr="00875DD0">
        <w:tc>
          <w:tcPr>
            <w:tcW w:w="9060" w:type="dxa"/>
          </w:tcPr>
          <w:p w14:paraId="7B368613" w14:textId="77777777" w:rsidR="00623AF8" w:rsidRPr="003B55E0" w:rsidRDefault="00623AF8" w:rsidP="00F63BE8">
            <w:pPr>
              <w:pStyle w:val="Listenabsatz"/>
              <w:numPr>
                <w:ilvl w:val="0"/>
                <w:numId w:val="71"/>
              </w:numPr>
              <w:spacing w:before="120" w:after="120"/>
              <w:jc w:val="both"/>
              <w:rPr>
                <w:rFonts w:ascii="Aptos" w:hAnsi="Aptos"/>
                <w:sz w:val="22"/>
                <w:szCs w:val="22"/>
              </w:rPr>
            </w:pPr>
            <w:r w:rsidRPr="003B55E0">
              <w:rPr>
                <w:rFonts w:ascii="Aptos" w:hAnsi="Aptos"/>
                <w:sz w:val="22"/>
                <w:szCs w:val="22"/>
              </w:rPr>
              <w:t xml:space="preserve">Wie könnten derartige Förderprogramme ausgestaltet sein? </w:t>
            </w:r>
          </w:p>
        </w:tc>
      </w:tr>
    </w:tbl>
    <w:p w14:paraId="4252EDBB"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624B8C8" w14:textId="77777777" w:rsidTr="00875DD0">
        <w:tc>
          <w:tcPr>
            <w:tcW w:w="9060" w:type="dxa"/>
            <w:tcBorders>
              <w:top w:val="nil"/>
              <w:left w:val="nil"/>
              <w:bottom w:val="nil"/>
              <w:right w:val="nil"/>
            </w:tcBorders>
            <w:shd w:val="clear" w:color="auto" w:fill="D9D9D9" w:themeFill="background1" w:themeFillShade="D9"/>
          </w:tcPr>
          <w:p w14:paraId="0276E465" w14:textId="77777777" w:rsidR="00623AF8" w:rsidRDefault="00623AF8" w:rsidP="00875DD0">
            <w:pPr>
              <w:spacing w:after="120"/>
              <w:jc w:val="both"/>
              <w:rPr>
                <w:rFonts w:ascii="Aptos" w:hAnsi="Aptos"/>
                <w:b/>
                <w:iCs/>
                <w:sz w:val="22"/>
                <w:szCs w:val="22"/>
              </w:rPr>
            </w:pPr>
            <w:r w:rsidRPr="00DE51AB">
              <w:rPr>
                <w:rFonts w:ascii="Aptos" w:hAnsi="Aptos"/>
                <w:b/>
                <w:iCs/>
                <w:sz w:val="22"/>
                <w:szCs w:val="22"/>
              </w:rPr>
              <w:t>Hintergrund</w:t>
            </w:r>
          </w:p>
        </w:tc>
      </w:tr>
    </w:tbl>
    <w:p w14:paraId="69D18C13" w14:textId="77777777" w:rsidR="00623AF8" w:rsidRPr="001E1A50" w:rsidRDefault="00623AF8" w:rsidP="00623AF8">
      <w:pPr>
        <w:jc w:val="both"/>
        <w:rPr>
          <w:rFonts w:ascii="Aptos" w:eastAsia="Times New Roman" w:hAnsi="Aptos" w:cs="Arial"/>
          <w:sz w:val="22"/>
          <w:szCs w:val="22"/>
        </w:rPr>
      </w:pPr>
      <w:r w:rsidRPr="001E1A50">
        <w:rPr>
          <w:rFonts w:ascii="Aptos" w:eastAsia="Times New Roman" w:hAnsi="Aptos" w:cs="Arial"/>
          <w:sz w:val="22"/>
          <w:szCs w:val="22"/>
        </w:rPr>
        <w:t xml:space="preserve">Der Fachkräftemangel stellt eine erhebliche Herausforderung für </w:t>
      </w:r>
      <w:r w:rsidRPr="005F0D70">
        <w:rPr>
          <w:rFonts w:ascii="Aptos" w:eastAsia="Times New Roman" w:hAnsi="Aptos" w:cs="Arial"/>
          <w:sz w:val="22"/>
          <w:szCs w:val="22"/>
        </w:rPr>
        <w:t>die</w:t>
      </w:r>
      <w:r w:rsidRPr="001E1A50">
        <w:rPr>
          <w:rFonts w:ascii="Aptos" w:eastAsia="Times New Roman" w:hAnsi="Aptos" w:cs="Arial"/>
          <w:sz w:val="22"/>
          <w:szCs w:val="22"/>
        </w:rPr>
        <w:t xml:space="preserve"> Volkswirtschaften </w:t>
      </w:r>
      <w:r w:rsidRPr="005F0D70">
        <w:rPr>
          <w:rFonts w:ascii="Aptos" w:eastAsia="Times New Roman" w:hAnsi="Aptos" w:cs="Arial"/>
          <w:sz w:val="22"/>
          <w:szCs w:val="22"/>
        </w:rPr>
        <w:t xml:space="preserve">der Europäischen Union </w:t>
      </w:r>
      <w:r w:rsidRPr="001E1A50">
        <w:rPr>
          <w:rFonts w:ascii="Aptos" w:eastAsia="Times New Roman" w:hAnsi="Aptos" w:cs="Arial"/>
          <w:sz w:val="22"/>
          <w:szCs w:val="22"/>
        </w:rPr>
        <w:t xml:space="preserve">dar und hat weitreichende Auswirkungen auf die Wettbewerbsfähigkeit und Innovationskraft von Unternehmen sowie auf die gesamte Wirtschaft. Förderprogramme zur Bekämpfung </w:t>
      </w:r>
      <w:r w:rsidRPr="005F0D70">
        <w:rPr>
          <w:rFonts w:ascii="Aptos" w:eastAsia="Times New Roman" w:hAnsi="Aptos" w:cs="Arial"/>
          <w:sz w:val="22"/>
          <w:szCs w:val="22"/>
        </w:rPr>
        <w:t>des</w:t>
      </w:r>
      <w:r w:rsidRPr="001E1A50">
        <w:rPr>
          <w:rFonts w:ascii="Aptos" w:eastAsia="Times New Roman" w:hAnsi="Aptos" w:cs="Arial"/>
          <w:sz w:val="22"/>
          <w:szCs w:val="22"/>
        </w:rPr>
        <w:t xml:space="preserve"> </w:t>
      </w:r>
      <w:r w:rsidRPr="005F0D70">
        <w:rPr>
          <w:rFonts w:ascii="Aptos" w:eastAsia="Times New Roman" w:hAnsi="Aptos" w:cs="Arial"/>
          <w:sz w:val="22"/>
          <w:szCs w:val="22"/>
        </w:rPr>
        <w:t>Fachkräftemangels</w:t>
      </w:r>
      <w:r w:rsidRPr="001E1A50">
        <w:rPr>
          <w:rFonts w:ascii="Aptos" w:eastAsia="Times New Roman" w:hAnsi="Aptos" w:cs="Arial"/>
          <w:sz w:val="22"/>
          <w:szCs w:val="22"/>
        </w:rPr>
        <w:t xml:space="preserve"> sind daher von zentraler Bedeutung</w:t>
      </w:r>
      <w:r w:rsidRPr="005F0D70">
        <w:rPr>
          <w:rFonts w:ascii="Aptos" w:eastAsia="Times New Roman" w:hAnsi="Aptos" w:cs="Arial"/>
          <w:sz w:val="22"/>
          <w:szCs w:val="22"/>
        </w:rPr>
        <w:t xml:space="preserve">, um </w:t>
      </w:r>
      <w:r w:rsidRPr="001E1A50">
        <w:rPr>
          <w:rFonts w:ascii="Aptos" w:eastAsia="Times New Roman" w:hAnsi="Aptos" w:cs="Arial"/>
          <w:sz w:val="22"/>
          <w:szCs w:val="22"/>
        </w:rPr>
        <w:t>die notwendige Qualifikation der Arbeitskräfte</w:t>
      </w:r>
      <w:r w:rsidRPr="005F0D70">
        <w:rPr>
          <w:rFonts w:ascii="Aptos" w:eastAsia="Times New Roman" w:hAnsi="Aptos" w:cs="Arial"/>
          <w:sz w:val="22"/>
          <w:szCs w:val="22"/>
        </w:rPr>
        <w:t xml:space="preserve"> zu sichern.</w:t>
      </w:r>
    </w:p>
    <w:p w14:paraId="26F7A752" w14:textId="77777777" w:rsidR="00623AF8" w:rsidRPr="005F0D70" w:rsidRDefault="00623AF8" w:rsidP="00623AF8">
      <w:pPr>
        <w:jc w:val="both"/>
        <w:rPr>
          <w:rFonts w:ascii="Aptos" w:eastAsia="Times New Roman" w:hAnsi="Aptos" w:cs="Arial"/>
          <w:sz w:val="22"/>
          <w:szCs w:val="22"/>
        </w:rPr>
      </w:pPr>
    </w:p>
    <w:p w14:paraId="05DAB648" w14:textId="77777777" w:rsidR="00623AF8" w:rsidRPr="005F0D70" w:rsidRDefault="00623AF8" w:rsidP="00623AF8">
      <w:pPr>
        <w:jc w:val="both"/>
        <w:rPr>
          <w:rFonts w:ascii="Aptos" w:eastAsia="Times New Roman" w:hAnsi="Aptos" w:cs="Arial"/>
          <w:sz w:val="22"/>
          <w:szCs w:val="22"/>
          <w:lang w:val="de-DE"/>
        </w:rPr>
      </w:pPr>
      <w:r w:rsidRPr="005F0D70">
        <w:rPr>
          <w:rFonts w:ascii="Aptos" w:eastAsia="Times New Roman" w:hAnsi="Aptos" w:cs="Arial"/>
          <w:sz w:val="22"/>
          <w:szCs w:val="22"/>
          <w:lang w:val="de-DE"/>
        </w:rPr>
        <w:t>In Bezug auf die nachgefragten Qualifikationen sind vor allem Arbeitsstellen mit manuellen Tätigkeiten</w:t>
      </w:r>
      <w:r>
        <w:rPr>
          <w:rFonts w:ascii="Aptos" w:eastAsia="Times New Roman" w:hAnsi="Aptos" w:cs="Arial"/>
          <w:sz w:val="22"/>
          <w:szCs w:val="22"/>
          <w:lang w:val="de-DE"/>
        </w:rPr>
        <w:t xml:space="preserve"> </w:t>
      </w:r>
      <w:r w:rsidRPr="005F0D70">
        <w:rPr>
          <w:rFonts w:ascii="Aptos" w:eastAsia="Times New Roman" w:hAnsi="Aptos" w:cs="Arial"/>
          <w:sz w:val="22"/>
          <w:szCs w:val="22"/>
          <w:lang w:val="de-DE"/>
        </w:rPr>
        <w:t>von Arbeitskräftemangel betroffen, darunter vorrangig elementare Berufe, etwa im Transport- und Bauwesen, allen voran Putzkräfte. Vergleichsweise hoch ist der Arbeitskräftemangel auch bei hoch qualifizierten Beschäftigungsarten wie Gesundheitsberufen, Jurist:innen und Sozialarbeiter:innen. Vor allem viele der für die grüne Wende notwendigen Berufe sind vom Arbeits- und Fachkräftemangel betroffen. Dazu zählen neue Jobs im hoch qualifizierten Bereich, aber auch elementare Berufe im Produktionssektor, Bau- und Transportwesen, ebenso in der Wasserversorgung, Abwasseraufbereitung und Müllentsorgung. Das bedeutet, zentrale Sektoren der ökologischen Wende sind von zunehmendem Arbeitskräftemangel betroffen. So die zentralen Erkenntnisse aus dem Bericht zur Beschäftigung und sozialen Lage in Europa (ESDE).</w:t>
      </w:r>
      <w:r w:rsidRPr="005F0D70">
        <w:rPr>
          <w:rStyle w:val="Funotenzeichen"/>
          <w:rFonts w:ascii="Aptos" w:eastAsia="Times New Roman" w:hAnsi="Aptos" w:cs="Arial"/>
          <w:sz w:val="22"/>
          <w:szCs w:val="22"/>
          <w:lang w:val="de-DE"/>
        </w:rPr>
        <w:footnoteReference w:id="21"/>
      </w:r>
    </w:p>
    <w:p w14:paraId="328F9231" w14:textId="77777777" w:rsidR="00623AF8" w:rsidRPr="005F0D70" w:rsidRDefault="00623AF8" w:rsidP="00623AF8">
      <w:pPr>
        <w:jc w:val="both"/>
        <w:rPr>
          <w:rFonts w:ascii="Aptos" w:eastAsia="Times New Roman" w:hAnsi="Aptos" w:cs="Arial"/>
          <w:sz w:val="22"/>
          <w:szCs w:val="22"/>
        </w:rPr>
      </w:pPr>
    </w:p>
    <w:p w14:paraId="48E837D1" w14:textId="77777777" w:rsidR="00623AF8" w:rsidRPr="001E1A50" w:rsidRDefault="00623AF8" w:rsidP="00623AF8">
      <w:pPr>
        <w:jc w:val="both"/>
        <w:rPr>
          <w:rFonts w:ascii="Aptos" w:eastAsia="Times New Roman" w:hAnsi="Aptos" w:cs="Arial"/>
          <w:sz w:val="22"/>
          <w:szCs w:val="22"/>
        </w:rPr>
      </w:pPr>
      <w:r>
        <w:rPr>
          <w:rFonts w:ascii="Aptos" w:eastAsia="Times New Roman" w:hAnsi="Aptos" w:cs="Arial"/>
          <w:sz w:val="22"/>
          <w:szCs w:val="22"/>
        </w:rPr>
        <w:t xml:space="preserve">Durch </w:t>
      </w:r>
      <w:r w:rsidRPr="001E1A50">
        <w:rPr>
          <w:rFonts w:ascii="Aptos" w:eastAsia="Times New Roman" w:hAnsi="Aptos" w:cs="Arial"/>
          <w:sz w:val="22"/>
          <w:szCs w:val="22"/>
        </w:rPr>
        <w:t>Bildungs- und Weiterbildungsinitiativen können bestehende Mitarbeiter ihre Fähigkeiten erweitern und neue Kompetenzen erwerben, die den aktuellen Anforderungen des Arbeitsmarktes entsprechen. Dies erhöht nicht nur die Produktivität, sondern auch die Motivation und Zufriedenheit der Arbeitnehmer. Darüber hinaus tragen solche Programme dazu bei, die Arbeitslosenquote zu senken, indem sie Menschen, die bislang keinen Zugang zu qualifizierter Bildung hatten, neue Perspektiven bieten.</w:t>
      </w:r>
      <w:r w:rsidRPr="005F0D70">
        <w:rPr>
          <w:rFonts w:ascii="Aptos" w:eastAsia="Times New Roman" w:hAnsi="Aptos" w:cs="Arial"/>
          <w:sz w:val="22"/>
          <w:szCs w:val="22"/>
        </w:rPr>
        <w:t xml:space="preserve"> </w:t>
      </w:r>
      <w:r>
        <w:rPr>
          <w:rFonts w:ascii="Aptos" w:eastAsia="Times New Roman" w:hAnsi="Aptos" w:cs="Arial"/>
          <w:sz w:val="22"/>
          <w:szCs w:val="22"/>
        </w:rPr>
        <w:t xml:space="preserve">Derartige </w:t>
      </w:r>
      <w:r w:rsidRPr="001E1A50">
        <w:rPr>
          <w:rFonts w:ascii="Aptos" w:eastAsia="Times New Roman" w:hAnsi="Aptos" w:cs="Arial"/>
          <w:sz w:val="22"/>
          <w:szCs w:val="22"/>
        </w:rPr>
        <w:t>Förderprogramme könnten verschiedene Formen annehmen. Eine Möglichkeit sind Stipendien und finanzielle Unterstützungen für Aus- und Weiterbildungsmaßnahmen. Dazu gehören sowohl klassische Bildungsgänge an Hochschulen als auch berufsbegleitende Kurse und Schulungen. Unternehmen könnten durch Steuervergünstigungen oder direkte Zuschüsse ermutigt werden, in die Weiterbildung ihrer Mitarbeiter zu investieren.</w:t>
      </w:r>
    </w:p>
    <w:p w14:paraId="0FB23AD9" w14:textId="77777777" w:rsidR="00623AF8" w:rsidRPr="005F0D70" w:rsidRDefault="00623AF8" w:rsidP="00623AF8">
      <w:pPr>
        <w:rPr>
          <w:rFonts w:ascii="Aptos" w:hAnsi="Aptos"/>
          <w:bCs/>
          <w:sz w:val="22"/>
          <w:szCs w:val="22"/>
        </w:rPr>
      </w:pPr>
    </w:p>
    <w:p w14:paraId="43885C37" w14:textId="77777777" w:rsidR="00623AF8" w:rsidRPr="00CD3D28" w:rsidRDefault="00623AF8" w:rsidP="00623AF8">
      <w:pPr>
        <w:pStyle w:val="berschrift1"/>
        <w:ind w:left="720"/>
        <w:rPr>
          <w:rFonts w:ascii="Aptos" w:hAnsi="Aptos"/>
        </w:rPr>
      </w:pPr>
    </w:p>
    <w:p w14:paraId="61468B76" w14:textId="77777777" w:rsidR="00623AF8" w:rsidRPr="00CD3D28" w:rsidRDefault="00623AF8" w:rsidP="00623AF8">
      <w:pPr>
        <w:pStyle w:val="berschrift1"/>
        <w:rPr>
          <w:rFonts w:ascii="Aptos" w:hAnsi="Aptos"/>
        </w:rPr>
      </w:pPr>
      <w:bookmarkStart w:id="474" w:name="_Toc170142548"/>
      <w:bookmarkStart w:id="475" w:name="_Toc170983819"/>
      <w:r>
        <w:rPr>
          <w:rFonts w:ascii="Aptos" w:hAnsi="Aptos"/>
        </w:rPr>
        <w:t>Verwaltungsaufwand durch Berichtspflichten</w:t>
      </w:r>
      <w:bookmarkEnd w:id="474"/>
      <w:bookmarkEnd w:id="475"/>
      <w:r>
        <w:rPr>
          <w:rFonts w:ascii="Aptos" w:hAnsi="Aptos"/>
        </w:rPr>
        <w:t xml:space="preserve"> </w:t>
      </w:r>
    </w:p>
    <w:p w14:paraId="6A6113C4"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2207D363" w14:textId="77777777" w:rsidTr="00875DD0">
        <w:tc>
          <w:tcPr>
            <w:tcW w:w="9060" w:type="dxa"/>
            <w:shd w:val="clear" w:color="auto" w:fill="D9D9D9" w:themeFill="background1" w:themeFillShade="D9"/>
          </w:tcPr>
          <w:p w14:paraId="2940479B"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77ECDEDF" w14:textId="77777777" w:rsidTr="00875DD0">
        <w:tc>
          <w:tcPr>
            <w:tcW w:w="9060" w:type="dxa"/>
          </w:tcPr>
          <w:p w14:paraId="21453AC8" w14:textId="77777777" w:rsidR="00623AF8" w:rsidRPr="00CD3D28" w:rsidRDefault="00623AF8" w:rsidP="00875DD0">
            <w:pPr>
              <w:spacing w:before="120" w:after="120"/>
              <w:jc w:val="both"/>
              <w:rPr>
                <w:rFonts w:ascii="Aptos" w:hAnsi="Aptos"/>
                <w:sz w:val="22"/>
                <w:szCs w:val="22"/>
              </w:rPr>
            </w:pPr>
            <w:r>
              <w:rPr>
                <w:rFonts w:ascii="Aptos" w:hAnsi="Aptos"/>
                <w:sz w:val="22"/>
                <w:szCs w:val="22"/>
              </w:rPr>
              <w:t>In den vergangenen Jahren hat es eine Vielzahl an neuen</w:t>
            </w:r>
            <w:r w:rsidRPr="00EA39EC">
              <w:rPr>
                <w:rFonts w:ascii="Aptos" w:hAnsi="Aptos"/>
                <w:sz w:val="22"/>
                <w:szCs w:val="22"/>
              </w:rPr>
              <w:t xml:space="preserve"> EU-Regul</w:t>
            </w:r>
            <w:r>
              <w:rPr>
                <w:rFonts w:ascii="Aptos" w:hAnsi="Aptos"/>
                <w:sz w:val="22"/>
                <w:szCs w:val="22"/>
              </w:rPr>
              <w:t>a</w:t>
            </w:r>
            <w:r w:rsidRPr="00EA39EC">
              <w:rPr>
                <w:rFonts w:ascii="Aptos" w:hAnsi="Aptos"/>
                <w:sz w:val="22"/>
                <w:szCs w:val="22"/>
              </w:rPr>
              <w:t>r</w:t>
            </w:r>
            <w:r>
              <w:rPr>
                <w:rFonts w:ascii="Aptos" w:hAnsi="Aptos"/>
                <w:sz w:val="22"/>
                <w:szCs w:val="22"/>
              </w:rPr>
              <w:t>i</w:t>
            </w:r>
            <w:r w:rsidRPr="00EA39EC">
              <w:rPr>
                <w:rFonts w:ascii="Aptos" w:hAnsi="Aptos"/>
                <w:sz w:val="22"/>
                <w:szCs w:val="22"/>
              </w:rPr>
              <w:t xml:space="preserve">en </w:t>
            </w:r>
            <w:r>
              <w:rPr>
                <w:rFonts w:ascii="Aptos" w:hAnsi="Aptos"/>
                <w:sz w:val="22"/>
                <w:szCs w:val="22"/>
              </w:rPr>
              <w:t xml:space="preserve">gegeben, die einerseits durch Berichtspflichten und andererseits durch zunehmende Anforderungen an die Verwaltung neue Administrationskosten verursachen und neue Personalstellen erforderlich machen. </w:t>
            </w:r>
            <w:r w:rsidRPr="00141BE7">
              <w:rPr>
                <w:rFonts w:ascii="Aptos" w:hAnsi="Aptos"/>
                <w:sz w:val="22"/>
                <w:szCs w:val="22"/>
              </w:rPr>
              <w:t xml:space="preserve">In Zeiten des demographischen Wandels und des </w:t>
            </w:r>
            <w:r>
              <w:rPr>
                <w:rFonts w:ascii="Aptos" w:hAnsi="Aptos"/>
                <w:sz w:val="22"/>
                <w:szCs w:val="22"/>
              </w:rPr>
              <w:t>zu erwartenden</w:t>
            </w:r>
            <w:r w:rsidRPr="00141BE7">
              <w:rPr>
                <w:rFonts w:ascii="Aptos" w:hAnsi="Aptos"/>
                <w:sz w:val="22"/>
                <w:szCs w:val="22"/>
              </w:rPr>
              <w:t xml:space="preserve"> Rückgangs der Erwerbsbevölkerung ist dieser zusätzliche Verwaltungsaufwand immer schwerer zu bewältigen. </w:t>
            </w:r>
            <w:r w:rsidRPr="00CD3D28">
              <w:rPr>
                <w:rFonts w:ascii="Aptos" w:hAnsi="Aptos"/>
                <w:sz w:val="22"/>
                <w:szCs w:val="22"/>
              </w:rPr>
              <w:t xml:space="preserve"> </w:t>
            </w:r>
            <w:r w:rsidRPr="008A6798">
              <w:rPr>
                <w:rFonts w:ascii="Aptos" w:hAnsi="Aptos"/>
                <w:b/>
                <w:bCs/>
                <w:sz w:val="22"/>
                <w:szCs w:val="22"/>
              </w:rPr>
              <w:t xml:space="preserve">Wie </w:t>
            </w:r>
            <w:r>
              <w:rPr>
                <w:rFonts w:ascii="Aptos" w:hAnsi="Aptos"/>
                <w:b/>
                <w:bCs/>
                <w:sz w:val="22"/>
                <w:szCs w:val="22"/>
              </w:rPr>
              <w:t>können Sie dazu beitragen, den Verwaltungsaufwand aufgrund von Berichtspflichten und übermäßigen und komplexen Regularien zu reduzieren</w:t>
            </w:r>
            <w:r w:rsidRPr="008A6798">
              <w:rPr>
                <w:rFonts w:ascii="Aptos" w:hAnsi="Aptos"/>
                <w:b/>
                <w:bCs/>
                <w:sz w:val="22"/>
                <w:szCs w:val="22"/>
              </w:rPr>
              <w:t>?</w:t>
            </w:r>
          </w:p>
        </w:tc>
      </w:tr>
      <w:tr w:rsidR="00623AF8" w:rsidRPr="00CD3D28" w14:paraId="0AA5B1DE" w14:textId="77777777" w:rsidTr="00875DD0">
        <w:tc>
          <w:tcPr>
            <w:tcW w:w="9060" w:type="dxa"/>
            <w:shd w:val="clear" w:color="auto" w:fill="D9D9D9" w:themeFill="background1" w:themeFillShade="D9"/>
          </w:tcPr>
          <w:p w14:paraId="552F1782"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3D24146F" w14:textId="77777777" w:rsidTr="00875DD0">
        <w:tc>
          <w:tcPr>
            <w:tcW w:w="9060" w:type="dxa"/>
          </w:tcPr>
          <w:p w14:paraId="11A54ABF" w14:textId="77777777" w:rsidR="00623AF8" w:rsidRPr="00306E9B" w:rsidRDefault="00623AF8" w:rsidP="00F63BE8">
            <w:pPr>
              <w:pStyle w:val="Listenabsatz"/>
              <w:numPr>
                <w:ilvl w:val="0"/>
                <w:numId w:val="71"/>
              </w:numPr>
              <w:spacing w:before="120" w:after="120"/>
              <w:jc w:val="both"/>
              <w:rPr>
                <w:rFonts w:ascii="Aptos" w:hAnsi="Aptos"/>
                <w:sz w:val="22"/>
                <w:szCs w:val="22"/>
              </w:rPr>
            </w:pPr>
            <w:r w:rsidRPr="00306E9B">
              <w:rPr>
                <w:rFonts w:ascii="Aptos" w:hAnsi="Aptos"/>
                <w:sz w:val="22"/>
                <w:szCs w:val="22"/>
              </w:rPr>
              <w:t>Was gedenken Sie aus den aufgrund der Berichtspflichten gesammelten Daten zu machen?</w:t>
            </w:r>
          </w:p>
          <w:p w14:paraId="0D31449A" w14:textId="77777777" w:rsidR="00623AF8" w:rsidRPr="00306E9B" w:rsidRDefault="00623AF8" w:rsidP="00F63BE8">
            <w:pPr>
              <w:pStyle w:val="Listenabsatz"/>
              <w:numPr>
                <w:ilvl w:val="0"/>
                <w:numId w:val="71"/>
              </w:numPr>
              <w:spacing w:before="120" w:after="120"/>
              <w:jc w:val="both"/>
              <w:rPr>
                <w:rFonts w:ascii="Aptos" w:hAnsi="Aptos"/>
                <w:sz w:val="22"/>
                <w:szCs w:val="22"/>
              </w:rPr>
            </w:pPr>
            <w:r w:rsidRPr="00306E9B">
              <w:rPr>
                <w:rFonts w:ascii="Aptos" w:hAnsi="Aptos"/>
                <w:sz w:val="22"/>
                <w:szCs w:val="22"/>
              </w:rPr>
              <w:t>Wie können heikle Unternehmensdaten, die aufgrund von Berichtspflichten gesammelt werden, vor unerlaubten Zugriffen geschützt werden?</w:t>
            </w:r>
          </w:p>
          <w:p w14:paraId="362178CD" w14:textId="77777777" w:rsidR="00623AF8" w:rsidRPr="00306E9B" w:rsidRDefault="00623AF8" w:rsidP="00F63BE8">
            <w:pPr>
              <w:pStyle w:val="Listenabsatz"/>
              <w:numPr>
                <w:ilvl w:val="0"/>
                <w:numId w:val="71"/>
              </w:numPr>
              <w:spacing w:before="120" w:after="120"/>
              <w:jc w:val="both"/>
              <w:rPr>
                <w:rFonts w:ascii="Aptos" w:hAnsi="Aptos"/>
                <w:sz w:val="22"/>
                <w:szCs w:val="22"/>
              </w:rPr>
            </w:pPr>
            <w:r w:rsidRPr="00306E9B">
              <w:rPr>
                <w:rFonts w:ascii="Aptos" w:hAnsi="Aptos"/>
                <w:sz w:val="22"/>
                <w:szCs w:val="22"/>
              </w:rPr>
              <w:t>Wie stellen Sie sicher, dass insbesondere kleine gemeinnützige Organisationen den Aufwand aufgrund von Berichtspflichten für EU-Ziele gering halten können?</w:t>
            </w:r>
          </w:p>
        </w:tc>
      </w:tr>
    </w:tbl>
    <w:p w14:paraId="2C30B680"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5D513F5" w14:textId="77777777" w:rsidTr="00875DD0">
        <w:tc>
          <w:tcPr>
            <w:tcW w:w="9060" w:type="dxa"/>
            <w:tcBorders>
              <w:top w:val="nil"/>
              <w:left w:val="nil"/>
              <w:bottom w:val="nil"/>
              <w:right w:val="nil"/>
            </w:tcBorders>
            <w:shd w:val="clear" w:color="auto" w:fill="D9D9D9" w:themeFill="background1" w:themeFillShade="D9"/>
          </w:tcPr>
          <w:p w14:paraId="63D60D9C" w14:textId="77777777" w:rsidR="00623AF8" w:rsidRPr="00306E9B" w:rsidRDefault="00623AF8" w:rsidP="00875DD0">
            <w:pPr>
              <w:spacing w:after="120"/>
              <w:jc w:val="both"/>
              <w:rPr>
                <w:rFonts w:ascii="Aptos" w:hAnsi="Aptos"/>
                <w:b/>
                <w:iCs/>
                <w:sz w:val="22"/>
                <w:szCs w:val="22"/>
              </w:rPr>
            </w:pPr>
            <w:r w:rsidRPr="00DE51AB">
              <w:rPr>
                <w:rFonts w:ascii="Aptos" w:hAnsi="Aptos"/>
                <w:b/>
                <w:iCs/>
                <w:sz w:val="22"/>
                <w:szCs w:val="22"/>
              </w:rPr>
              <w:t>Hintergrund</w:t>
            </w:r>
          </w:p>
        </w:tc>
      </w:tr>
    </w:tbl>
    <w:p w14:paraId="7A6B6243" w14:textId="77777777" w:rsidR="00623AF8" w:rsidRDefault="00623AF8" w:rsidP="00623AF8">
      <w:pPr>
        <w:spacing w:after="120"/>
        <w:jc w:val="both"/>
      </w:pPr>
      <w:r>
        <w:t xml:space="preserve">Die </w:t>
      </w:r>
      <w:r w:rsidRPr="003057C9">
        <w:rPr>
          <w:rStyle w:val="Fett"/>
        </w:rPr>
        <w:t>Reduzierung des Verwaltungsaufwands</w:t>
      </w:r>
      <w:r>
        <w:t xml:space="preserve"> aufgrund von Berichtspflichten und komplexen Regularien ist eine grundlegende Herausforderung der Europäischen Union. Der aktuelle Fach- und Arbeitskräftemangel verschärft die Problematik nochmals. </w:t>
      </w:r>
    </w:p>
    <w:p w14:paraId="04A59064" w14:textId="77777777" w:rsidR="00623AF8" w:rsidRDefault="00623AF8" w:rsidP="00623AF8">
      <w:pPr>
        <w:spacing w:after="120"/>
        <w:jc w:val="both"/>
      </w:pPr>
      <w:r>
        <w:t>Grundsätzlich können überbordende Berichtspflichten und komplexe Regularien der EU die Effizienz und Effektivität von Organisationen am Binnenmarkt einschränken. Der Verwaltungsaufwand bindet wertvolle Ressourcen, die teils auch in die eigentlichen Kernaufgaben der Organisationen fließen könnten. Dies gilt besonders für kleine gemeinnützige Organisationen, die oft über begrenzte finanzielle und personelle Mittel verfügen. Der hohe Verwaltungsaufwand kann diese Organisationen übermäßig belasten und ihre Handlungsfähigkeit einschränken.</w:t>
      </w:r>
    </w:p>
    <w:p w14:paraId="5EA0FD1B" w14:textId="77777777" w:rsidR="00623AF8" w:rsidRDefault="00623AF8" w:rsidP="00623AF8">
      <w:pPr>
        <w:spacing w:after="120"/>
        <w:jc w:val="both"/>
      </w:pPr>
      <w:r>
        <w:t xml:space="preserve">Ein weiterer wichtiger Aspekt ist die Datensammlung aufgrund von Berichtspflichten. Diese Daten sind oft sensibel und erfordern sorgfältige Handhabung. Die Speicherung und Verarbeitung solcher Daten kann nicht nur technisch anspruchsvoll, sondern auch risikoreich sein. Heikle Unternehmensdaten müssen daher vor unerlaubten Zugriffen umfassend geschützt werden. </w:t>
      </w:r>
    </w:p>
    <w:p w14:paraId="611AD829" w14:textId="77777777" w:rsidR="00623AF8" w:rsidRPr="00367935" w:rsidRDefault="00623AF8" w:rsidP="00623AF8">
      <w:pPr>
        <w:spacing w:after="120"/>
        <w:jc w:val="both"/>
        <w:rPr>
          <w:rFonts w:ascii="Aptos" w:hAnsi="Aptos"/>
          <w:b/>
          <w:iCs/>
          <w:sz w:val="22"/>
          <w:szCs w:val="22"/>
        </w:rPr>
      </w:pPr>
      <w:r>
        <w:t xml:space="preserve">Für kleine gemeinnützige Organisationen ist die Verwaltung solcher Daten besonders herausfordernd, da ihnen oft die Ressourcen für eine umfassende Cybersecurity fehlen. Daher ist es wichtig, den Verwaltungsaufwand zu reduzieren und die Regularien zu vereinfachen, um sicherzustellen, dass diese Organisationen ihre sozialen und gemeinnützigen Aufgaben effizient erfüllen können. </w:t>
      </w:r>
    </w:p>
    <w:p w14:paraId="5DE3978D" w14:textId="77777777" w:rsidR="00623AF8" w:rsidRPr="00CD3D28" w:rsidRDefault="00623AF8" w:rsidP="00623AF8">
      <w:pPr>
        <w:rPr>
          <w:rFonts w:ascii="Aptos" w:hAnsi="Aptos"/>
          <w:bCs/>
          <w:sz w:val="22"/>
          <w:szCs w:val="22"/>
        </w:rPr>
      </w:pPr>
    </w:p>
    <w:p w14:paraId="7F39E352" w14:textId="77777777" w:rsidR="00623AF8" w:rsidRDefault="00623AF8" w:rsidP="00623AF8">
      <w:pPr>
        <w:spacing w:after="120"/>
        <w:jc w:val="both"/>
        <w:rPr>
          <w:rFonts w:ascii="Aptos" w:hAnsi="Aptos"/>
          <w:bCs/>
          <w:iCs/>
          <w:sz w:val="22"/>
          <w:szCs w:val="22"/>
        </w:rPr>
      </w:pPr>
    </w:p>
    <w:p w14:paraId="6AD2BE97" w14:textId="77777777" w:rsidR="00623AF8" w:rsidRPr="00CD3D28" w:rsidRDefault="00623AF8" w:rsidP="00623AF8">
      <w:pPr>
        <w:spacing w:after="120"/>
        <w:jc w:val="both"/>
        <w:rPr>
          <w:rFonts w:ascii="Aptos" w:hAnsi="Aptos"/>
          <w:bCs/>
          <w:iCs/>
          <w:sz w:val="22"/>
          <w:szCs w:val="22"/>
        </w:rPr>
      </w:pPr>
    </w:p>
    <w:p w14:paraId="31E6A629" w14:textId="77777777" w:rsidR="00623AF8" w:rsidRPr="00CD3D28" w:rsidRDefault="00623AF8" w:rsidP="00623AF8">
      <w:pPr>
        <w:pStyle w:val="berschrift1"/>
        <w:rPr>
          <w:rFonts w:ascii="Aptos" w:hAnsi="Aptos"/>
        </w:rPr>
      </w:pPr>
      <w:bookmarkStart w:id="476" w:name="_Toc170142549"/>
      <w:bookmarkStart w:id="477" w:name="_Toc170983820"/>
      <w:r>
        <w:rPr>
          <w:rFonts w:ascii="Aptos" w:hAnsi="Aptos"/>
        </w:rPr>
        <w:t>Fachkräfte: Anerkennung von Qualifikationen</w:t>
      </w:r>
      <w:bookmarkEnd w:id="476"/>
      <w:bookmarkEnd w:id="477"/>
    </w:p>
    <w:p w14:paraId="78813DBF"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2E41DE80" w14:textId="77777777" w:rsidTr="00875DD0">
        <w:tc>
          <w:tcPr>
            <w:tcW w:w="9060" w:type="dxa"/>
            <w:shd w:val="clear" w:color="auto" w:fill="D9D9D9" w:themeFill="background1" w:themeFillShade="D9"/>
          </w:tcPr>
          <w:p w14:paraId="112AB3D6"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 xml:space="preserve">Frage </w:t>
            </w:r>
          </w:p>
        </w:tc>
      </w:tr>
      <w:tr w:rsidR="00623AF8" w:rsidRPr="00CD3D28" w14:paraId="4C282A2A" w14:textId="77777777" w:rsidTr="00875DD0">
        <w:tc>
          <w:tcPr>
            <w:tcW w:w="9060" w:type="dxa"/>
          </w:tcPr>
          <w:p w14:paraId="3001B276" w14:textId="77777777" w:rsidR="00623AF8" w:rsidRPr="00CD3D28" w:rsidRDefault="00623AF8" w:rsidP="00875DD0">
            <w:pPr>
              <w:spacing w:before="120" w:after="120"/>
              <w:jc w:val="both"/>
              <w:rPr>
                <w:rFonts w:ascii="Aptos" w:hAnsi="Aptos"/>
                <w:sz w:val="22"/>
                <w:szCs w:val="22"/>
              </w:rPr>
            </w:pPr>
            <w:r>
              <w:rPr>
                <w:rFonts w:ascii="Aptos" w:hAnsi="Aptos"/>
                <w:sz w:val="22"/>
                <w:szCs w:val="22"/>
              </w:rPr>
              <w:t>Der</w:t>
            </w:r>
            <w:r w:rsidRPr="00421DF4">
              <w:rPr>
                <w:rFonts w:ascii="Aptos" w:hAnsi="Aptos"/>
                <w:sz w:val="22"/>
                <w:szCs w:val="22"/>
              </w:rPr>
              <w:t xml:space="preserve"> Fachkräftemangel in Europa, </w:t>
            </w:r>
            <w:r>
              <w:rPr>
                <w:rFonts w:ascii="Aptos" w:hAnsi="Aptos"/>
                <w:sz w:val="22"/>
                <w:szCs w:val="22"/>
              </w:rPr>
              <w:t>verbunden mit dem demografischen Wandel in den EU-Mitgliedstaaten, macht es notwendig</w:t>
            </w:r>
            <w:r w:rsidRPr="00421DF4">
              <w:rPr>
                <w:rFonts w:ascii="Aptos" w:hAnsi="Aptos"/>
                <w:sz w:val="22"/>
                <w:szCs w:val="22"/>
              </w:rPr>
              <w:t xml:space="preserve"> Pflegekräfte auch aus Drittstaaten</w:t>
            </w:r>
            <w:r>
              <w:rPr>
                <w:rFonts w:ascii="Aptos" w:hAnsi="Aptos"/>
                <w:sz w:val="22"/>
                <w:szCs w:val="22"/>
              </w:rPr>
              <w:t xml:space="preserve"> anzuwerben. Aktuell stehen der Arbeitsmarktintegration ausländischer Fachkräfte bürokratische Schwierigkeiten in der Anerkennung ihrer Bildungstiteln entgegen</w:t>
            </w:r>
            <w:r w:rsidRPr="00CD3D28">
              <w:rPr>
                <w:rFonts w:ascii="Aptos" w:hAnsi="Aptos"/>
                <w:sz w:val="22"/>
                <w:szCs w:val="22"/>
              </w:rPr>
              <w:t xml:space="preserve">. </w:t>
            </w:r>
            <w:r w:rsidRPr="00383992">
              <w:rPr>
                <w:rFonts w:ascii="Aptos" w:hAnsi="Aptos"/>
                <w:b/>
                <w:bCs/>
                <w:sz w:val="22"/>
                <w:szCs w:val="22"/>
              </w:rPr>
              <w:t>W</w:t>
            </w:r>
            <w:r>
              <w:rPr>
                <w:rFonts w:ascii="Aptos" w:hAnsi="Aptos"/>
                <w:b/>
                <w:bCs/>
                <w:sz w:val="22"/>
                <w:szCs w:val="22"/>
              </w:rPr>
              <w:t>ie stellen Sie sicher, dass Nostrifikationen, d.h. die Anerkennung von Qualifikationstiteln, im Pflegebereich vereinfacht werden</w:t>
            </w:r>
            <w:r w:rsidRPr="00383992">
              <w:rPr>
                <w:rFonts w:ascii="Aptos" w:hAnsi="Aptos"/>
                <w:b/>
                <w:bCs/>
                <w:sz w:val="22"/>
                <w:szCs w:val="22"/>
              </w:rPr>
              <w:t>?</w:t>
            </w:r>
          </w:p>
        </w:tc>
      </w:tr>
      <w:tr w:rsidR="00623AF8" w:rsidRPr="00CD3D28" w14:paraId="1183D674" w14:textId="77777777" w:rsidTr="00875DD0">
        <w:tc>
          <w:tcPr>
            <w:tcW w:w="9060" w:type="dxa"/>
            <w:shd w:val="clear" w:color="auto" w:fill="D9D9D9" w:themeFill="background1" w:themeFillShade="D9"/>
          </w:tcPr>
          <w:p w14:paraId="3BE66A2B"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2F0C9F67" w14:textId="77777777" w:rsidTr="00875DD0">
        <w:tc>
          <w:tcPr>
            <w:tcW w:w="9060" w:type="dxa"/>
          </w:tcPr>
          <w:p w14:paraId="09C6EA06" w14:textId="77777777" w:rsidR="00623AF8" w:rsidRPr="00CD3D28" w:rsidRDefault="00623AF8" w:rsidP="00875DD0">
            <w:pPr>
              <w:spacing w:before="120" w:after="120"/>
              <w:jc w:val="both"/>
              <w:rPr>
                <w:rFonts w:ascii="Aptos" w:hAnsi="Aptos"/>
                <w:sz w:val="22"/>
                <w:szCs w:val="22"/>
              </w:rPr>
            </w:pPr>
            <w:r>
              <w:rPr>
                <w:rFonts w:ascii="Aptos" w:hAnsi="Aptos"/>
                <w:sz w:val="22"/>
                <w:szCs w:val="22"/>
              </w:rPr>
              <w:t>-</w:t>
            </w:r>
          </w:p>
        </w:tc>
      </w:tr>
    </w:tbl>
    <w:p w14:paraId="124C073D"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6B673004" w14:textId="77777777" w:rsidTr="00875DD0">
        <w:tc>
          <w:tcPr>
            <w:tcW w:w="9060" w:type="dxa"/>
            <w:shd w:val="clear" w:color="auto" w:fill="D9D9D9" w:themeFill="background1" w:themeFillShade="D9"/>
          </w:tcPr>
          <w:p w14:paraId="09BE7A51" w14:textId="77777777" w:rsidR="00623AF8" w:rsidRPr="00450962" w:rsidRDefault="00623AF8" w:rsidP="00875DD0">
            <w:pPr>
              <w:spacing w:after="120"/>
              <w:jc w:val="both"/>
              <w:rPr>
                <w:rFonts w:ascii="Aptos" w:hAnsi="Aptos"/>
                <w:b/>
                <w:iCs/>
                <w:sz w:val="22"/>
                <w:szCs w:val="22"/>
              </w:rPr>
            </w:pPr>
            <w:r w:rsidRPr="00DE51AB">
              <w:rPr>
                <w:rFonts w:ascii="Aptos" w:hAnsi="Aptos"/>
                <w:b/>
                <w:iCs/>
                <w:sz w:val="22"/>
                <w:szCs w:val="22"/>
              </w:rPr>
              <w:t>Hintergrund</w:t>
            </w:r>
          </w:p>
        </w:tc>
      </w:tr>
    </w:tbl>
    <w:p w14:paraId="70AA0B4D" w14:textId="77777777" w:rsidR="00623AF8" w:rsidRPr="00973766" w:rsidRDefault="00623AF8" w:rsidP="00623AF8">
      <w:pPr>
        <w:pStyle w:val="StandardWeb"/>
        <w:spacing w:before="0" w:beforeAutospacing="0"/>
        <w:jc w:val="both"/>
        <w:rPr>
          <w:rFonts w:ascii="Aptos" w:hAnsi="Aptos"/>
          <w:sz w:val="22"/>
          <w:szCs w:val="22"/>
        </w:rPr>
      </w:pPr>
      <w:r w:rsidRPr="00973766">
        <w:rPr>
          <w:rFonts w:ascii="Aptos" w:hAnsi="Aptos"/>
          <w:sz w:val="22"/>
          <w:szCs w:val="22"/>
        </w:rPr>
        <w:t>Der Fachkräftemangel in Europa, insbesondere im Pflegebereich, erfordert Maßnahmen zur Anwerbung von Pflegekräften aus Drittstaaten. Allerdings stehen bürokratische Hürden, insbesondere bei der Anerkennung von Bildungstiteln, der Arbeitsmarktintegration ausländischer Fachkräfte entgegen. Um die Nostrifikationen, also die Anerkennung von Qualifikationstiteln, im Pflegebereich zu vereinfachen, sind mehrere Ansätze relevant</w:t>
      </w:r>
      <w:r>
        <w:rPr>
          <w:rFonts w:ascii="Aptos" w:hAnsi="Aptos"/>
          <w:sz w:val="22"/>
          <w:szCs w:val="22"/>
        </w:rPr>
        <w:t>:</w:t>
      </w:r>
    </w:p>
    <w:p w14:paraId="468080EF" w14:textId="77777777" w:rsidR="00623AF8" w:rsidRPr="00973766" w:rsidRDefault="00623AF8" w:rsidP="00623AF8">
      <w:pPr>
        <w:pStyle w:val="StandardWeb"/>
        <w:jc w:val="both"/>
        <w:rPr>
          <w:rFonts w:ascii="Aptos" w:hAnsi="Aptos"/>
          <w:sz w:val="22"/>
          <w:szCs w:val="22"/>
        </w:rPr>
      </w:pPr>
      <w:r w:rsidRPr="00973766">
        <w:rPr>
          <w:rFonts w:ascii="Aptos" w:hAnsi="Aptos"/>
          <w:sz w:val="22"/>
          <w:szCs w:val="22"/>
        </w:rPr>
        <w:t>Transparente und effiziente Verfahren für die Anerkennung von im Ausland erworbenen Qualifikationen müssen etabliert sein, damit ausländische Fachkräfte schnell am Arbeitsmarkt integriert werden können. Dies umfasst die Nostrifikation von Diplomen, Prüfungszeugnissen oder sonstigen Befähigungsnachweisen.</w:t>
      </w:r>
    </w:p>
    <w:p w14:paraId="4ADF2352" w14:textId="77777777" w:rsidR="00623AF8" w:rsidRPr="00973766" w:rsidRDefault="00623AF8" w:rsidP="00623AF8">
      <w:pPr>
        <w:pStyle w:val="StandardWeb"/>
        <w:jc w:val="both"/>
        <w:rPr>
          <w:rFonts w:ascii="Aptos" w:hAnsi="Aptos"/>
          <w:sz w:val="22"/>
          <w:szCs w:val="22"/>
        </w:rPr>
      </w:pPr>
      <w:r w:rsidRPr="00973766">
        <w:rPr>
          <w:rFonts w:ascii="Aptos" w:hAnsi="Aptos"/>
          <w:sz w:val="22"/>
          <w:szCs w:val="22"/>
        </w:rPr>
        <w:t>Auch die Einheitlichkeit in der EU spielt dabei eine wichtige Rolle. Gemeinsame Standards und Kriterien können den Prozess erleichtern und damit auch die Attraktivität des europäischen Arbeitsmarktes für Fachkräfte erhöhen.</w:t>
      </w:r>
    </w:p>
    <w:p w14:paraId="6D5ADA1A" w14:textId="77777777" w:rsidR="00623AF8" w:rsidRPr="00973766" w:rsidRDefault="00623AF8" w:rsidP="00623AF8">
      <w:pPr>
        <w:pStyle w:val="StandardWeb"/>
        <w:jc w:val="both"/>
        <w:rPr>
          <w:rFonts w:ascii="Aptos" w:hAnsi="Aptos"/>
          <w:sz w:val="22"/>
          <w:szCs w:val="22"/>
        </w:rPr>
      </w:pPr>
      <w:r w:rsidRPr="00973766">
        <w:rPr>
          <w:rFonts w:ascii="Aptos" w:hAnsi="Aptos"/>
          <w:sz w:val="22"/>
          <w:szCs w:val="22"/>
        </w:rPr>
        <w:t>Ein weiterer Aspekt ist der Zugang zu Informationen über Anerkennungsverfahren. Diese müssen für Pflegekräfte aus Drittstaaten leicht zugänglich sein. Das beinhaltet Beratungsstellen und Online-Ressourcen, die auch mehrsprachig verfügbar sind.</w:t>
      </w:r>
    </w:p>
    <w:p w14:paraId="516E0511" w14:textId="77777777" w:rsidR="00623AF8" w:rsidRPr="00973766" w:rsidRDefault="00623AF8" w:rsidP="00623AF8">
      <w:pPr>
        <w:pStyle w:val="StandardWeb"/>
        <w:jc w:val="both"/>
        <w:rPr>
          <w:rFonts w:ascii="Aptos" w:hAnsi="Aptos"/>
          <w:sz w:val="22"/>
          <w:szCs w:val="22"/>
        </w:rPr>
      </w:pPr>
      <w:r w:rsidRPr="00973766">
        <w:rPr>
          <w:rFonts w:ascii="Aptos" w:hAnsi="Aptos"/>
          <w:sz w:val="22"/>
          <w:szCs w:val="22"/>
        </w:rPr>
        <w:t xml:space="preserve">Für die Nostrifikationen ist die Zusammenarbeit der EU mit Drittstaaten unumgänglich, da nur so auch gefälschte Qualifikationen identifiziert und der Qualifikationsgrad evaluiert werden kann. Bilaterale Abkommen und gegenseitige Anerkennung können den Prozess beschleunigen. </w:t>
      </w:r>
    </w:p>
    <w:p w14:paraId="04C52D21" w14:textId="77777777" w:rsidR="00623AF8" w:rsidRPr="00CD3D28" w:rsidRDefault="00623AF8" w:rsidP="00623AF8">
      <w:pPr>
        <w:spacing w:after="120"/>
        <w:jc w:val="both"/>
        <w:rPr>
          <w:rFonts w:ascii="Aptos" w:hAnsi="Aptos"/>
          <w:bCs/>
          <w:iCs/>
          <w:sz w:val="22"/>
          <w:szCs w:val="22"/>
        </w:rPr>
      </w:pPr>
    </w:p>
    <w:p w14:paraId="1B60F733" w14:textId="77777777" w:rsidR="00623AF8" w:rsidRDefault="00623AF8" w:rsidP="00623AF8">
      <w:pPr>
        <w:rPr>
          <w:rFonts w:ascii="Aptos" w:eastAsiaTheme="majorEastAsia" w:hAnsi="Aptos" w:cstheme="majorBidi"/>
          <w:b/>
          <w:color w:val="E4342D"/>
          <w:szCs w:val="32"/>
        </w:rPr>
      </w:pPr>
      <w:r>
        <w:rPr>
          <w:rFonts w:ascii="Aptos" w:hAnsi="Aptos"/>
        </w:rPr>
        <w:br w:type="page"/>
      </w:r>
    </w:p>
    <w:p w14:paraId="71F81972" w14:textId="77777777" w:rsidR="00623AF8" w:rsidRDefault="00623AF8" w:rsidP="00623AF8">
      <w:pPr>
        <w:pStyle w:val="berschrift1"/>
        <w:ind w:left="720"/>
        <w:rPr>
          <w:rFonts w:ascii="Aptos" w:hAnsi="Aptos"/>
        </w:rPr>
      </w:pPr>
    </w:p>
    <w:p w14:paraId="55F513E9" w14:textId="77777777" w:rsidR="00623AF8" w:rsidRPr="00986EAD" w:rsidRDefault="00623AF8" w:rsidP="00623AF8"/>
    <w:p w14:paraId="3609C842" w14:textId="77777777" w:rsidR="00623AF8" w:rsidRPr="00CD3D28" w:rsidRDefault="00623AF8" w:rsidP="00623AF8">
      <w:pPr>
        <w:pStyle w:val="berschrift1"/>
        <w:rPr>
          <w:rFonts w:ascii="Aptos" w:hAnsi="Aptos"/>
        </w:rPr>
      </w:pPr>
      <w:bookmarkStart w:id="478" w:name="_Toc170142550"/>
      <w:bookmarkStart w:id="479" w:name="_Toc170983821"/>
      <w:r>
        <w:rPr>
          <w:rFonts w:ascii="Aptos" w:hAnsi="Aptos"/>
        </w:rPr>
        <w:t>Fachkräfte: Anwerbeabkommen</w:t>
      </w:r>
      <w:bookmarkEnd w:id="478"/>
      <w:bookmarkEnd w:id="479"/>
    </w:p>
    <w:p w14:paraId="3054540F"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0C02C2E3" w14:textId="77777777" w:rsidTr="00875DD0">
        <w:tc>
          <w:tcPr>
            <w:tcW w:w="9060" w:type="dxa"/>
            <w:shd w:val="clear" w:color="auto" w:fill="D9D9D9" w:themeFill="background1" w:themeFillShade="D9"/>
          </w:tcPr>
          <w:p w14:paraId="2E299340"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21EB22E0" w14:textId="77777777" w:rsidTr="00875DD0">
        <w:tc>
          <w:tcPr>
            <w:tcW w:w="9060" w:type="dxa"/>
          </w:tcPr>
          <w:p w14:paraId="60FB40A0" w14:textId="77777777" w:rsidR="00623AF8" w:rsidRPr="00CD3D28" w:rsidRDefault="00623AF8" w:rsidP="00875DD0">
            <w:pPr>
              <w:spacing w:before="120" w:after="120"/>
              <w:jc w:val="both"/>
              <w:rPr>
                <w:rFonts w:ascii="Aptos" w:hAnsi="Aptos"/>
                <w:sz w:val="22"/>
                <w:szCs w:val="22"/>
              </w:rPr>
            </w:pPr>
            <w:r>
              <w:rPr>
                <w:rFonts w:ascii="Aptos" w:hAnsi="Aptos"/>
                <w:b/>
                <w:bCs/>
                <w:sz w:val="22"/>
                <w:szCs w:val="22"/>
              </w:rPr>
              <w:t>Werden Sie daran arbeiten neue Anwerbeabkommen für Fachkräfte aus Drittstaaten zu initiieren, um dem Fachkräftemangel in der EU, insbesondere im Pflegebereich zu begegnen?</w:t>
            </w:r>
          </w:p>
        </w:tc>
      </w:tr>
      <w:tr w:rsidR="00623AF8" w:rsidRPr="00CD3D28" w14:paraId="7629E50C" w14:textId="77777777" w:rsidTr="00875DD0">
        <w:tc>
          <w:tcPr>
            <w:tcW w:w="9060" w:type="dxa"/>
            <w:shd w:val="clear" w:color="auto" w:fill="D9D9D9" w:themeFill="background1" w:themeFillShade="D9"/>
          </w:tcPr>
          <w:p w14:paraId="54A5C2AA"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7709B6EC" w14:textId="77777777" w:rsidTr="00875DD0">
        <w:tc>
          <w:tcPr>
            <w:tcW w:w="9060" w:type="dxa"/>
          </w:tcPr>
          <w:p w14:paraId="4044EFC6" w14:textId="77777777" w:rsidR="00623AF8" w:rsidRPr="008C3B77" w:rsidRDefault="00623AF8" w:rsidP="00F63BE8">
            <w:pPr>
              <w:pStyle w:val="Listenabsatz"/>
              <w:numPr>
                <w:ilvl w:val="0"/>
                <w:numId w:val="71"/>
              </w:numPr>
              <w:spacing w:before="120" w:after="120"/>
              <w:jc w:val="both"/>
              <w:rPr>
                <w:rFonts w:ascii="Aptos" w:hAnsi="Aptos"/>
                <w:sz w:val="22"/>
                <w:szCs w:val="22"/>
              </w:rPr>
            </w:pPr>
            <w:r w:rsidRPr="008C3B77">
              <w:rPr>
                <w:rFonts w:ascii="Aptos" w:hAnsi="Aptos"/>
                <w:sz w:val="22"/>
                <w:szCs w:val="22"/>
              </w:rPr>
              <w:t>Mit welchen Staaten können Sie sich vorstellen, solche Anwerbeabkommen abzuschließen?</w:t>
            </w:r>
          </w:p>
          <w:p w14:paraId="2FAF66DB" w14:textId="77777777" w:rsidR="00623AF8" w:rsidRPr="008C3B77" w:rsidRDefault="00623AF8" w:rsidP="00F63BE8">
            <w:pPr>
              <w:pStyle w:val="Listenabsatz"/>
              <w:numPr>
                <w:ilvl w:val="0"/>
                <w:numId w:val="71"/>
              </w:numPr>
              <w:spacing w:before="120" w:after="120"/>
              <w:jc w:val="both"/>
              <w:rPr>
                <w:rFonts w:ascii="Aptos" w:hAnsi="Aptos"/>
                <w:sz w:val="22"/>
                <w:szCs w:val="22"/>
              </w:rPr>
            </w:pPr>
            <w:r w:rsidRPr="008C3B77">
              <w:rPr>
                <w:rFonts w:ascii="Aptos" w:hAnsi="Aptos"/>
                <w:sz w:val="22"/>
                <w:szCs w:val="22"/>
              </w:rPr>
              <w:t>Wie können Sie sicherstellen, dass sowohl das Zielland, das Herkunftsland und die Arbeitskräfte selbst davon profitieren (Tripple Win)?</w:t>
            </w:r>
          </w:p>
        </w:tc>
      </w:tr>
    </w:tbl>
    <w:p w14:paraId="4ABB73FE"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C7413C5" w14:textId="77777777" w:rsidTr="00875DD0">
        <w:tc>
          <w:tcPr>
            <w:tcW w:w="9060" w:type="dxa"/>
            <w:tcBorders>
              <w:top w:val="nil"/>
              <w:left w:val="nil"/>
              <w:bottom w:val="nil"/>
              <w:right w:val="nil"/>
            </w:tcBorders>
            <w:shd w:val="clear" w:color="auto" w:fill="D9D9D9" w:themeFill="background1" w:themeFillShade="D9"/>
          </w:tcPr>
          <w:p w14:paraId="145DC5A5" w14:textId="77777777" w:rsidR="00623AF8" w:rsidRPr="008C3B77" w:rsidRDefault="00623AF8" w:rsidP="00875DD0">
            <w:pPr>
              <w:spacing w:after="120"/>
              <w:jc w:val="both"/>
              <w:rPr>
                <w:rFonts w:ascii="Aptos" w:hAnsi="Aptos"/>
                <w:b/>
                <w:iCs/>
                <w:sz w:val="22"/>
                <w:szCs w:val="22"/>
              </w:rPr>
            </w:pPr>
            <w:r w:rsidRPr="00DE51AB">
              <w:rPr>
                <w:rFonts w:ascii="Aptos" w:hAnsi="Aptos"/>
                <w:b/>
                <w:iCs/>
                <w:sz w:val="22"/>
                <w:szCs w:val="22"/>
              </w:rPr>
              <w:t>Hintergrund</w:t>
            </w:r>
          </w:p>
        </w:tc>
      </w:tr>
    </w:tbl>
    <w:p w14:paraId="3C275BB0" w14:textId="77777777" w:rsidR="00623AF8" w:rsidRPr="00986EAD" w:rsidRDefault="00623AF8" w:rsidP="00623AF8">
      <w:pPr>
        <w:jc w:val="both"/>
        <w:rPr>
          <w:rFonts w:ascii="Aptos" w:hAnsi="Aptos" w:cs="Arial"/>
          <w:sz w:val="22"/>
          <w:szCs w:val="22"/>
        </w:rPr>
      </w:pPr>
      <w:r w:rsidRPr="00986EAD">
        <w:rPr>
          <w:rFonts w:ascii="Aptos" w:hAnsi="Aptos" w:cs="Arial"/>
          <w:sz w:val="22"/>
          <w:szCs w:val="22"/>
          <w:lang w:val="de-DE"/>
        </w:rPr>
        <w:t xml:space="preserve">Sowohl im höher- als auch niedrigqualifizierten Bereich werden EU-weit immer mehr Arbeitskräfte benötigt. Daher wird zunehmend auch auf die </w:t>
      </w:r>
      <w:r w:rsidRPr="00986EAD">
        <w:rPr>
          <w:rFonts w:ascii="Aptos" w:hAnsi="Aptos" w:cs="Arial"/>
          <w:color w:val="000000"/>
          <w:sz w:val="22"/>
          <w:szCs w:val="22"/>
        </w:rPr>
        <w:t>Anwerbung von Arbeitskräften im Ausland gesetzt.</w:t>
      </w:r>
      <w:r w:rsidRPr="00986EAD">
        <w:rPr>
          <w:rFonts w:ascii="Aptos" w:hAnsi="Aptos" w:cs="Arial"/>
          <w:sz w:val="22"/>
          <w:szCs w:val="22"/>
        </w:rPr>
        <w:t xml:space="preserve"> Um eine breite Wirkung erreichen zu können</w:t>
      </w:r>
      <w:r>
        <w:rPr>
          <w:rFonts w:ascii="Aptos" w:hAnsi="Aptos" w:cs="Arial"/>
          <w:sz w:val="22"/>
          <w:szCs w:val="22"/>
        </w:rPr>
        <w:t>,</w:t>
      </w:r>
      <w:r w:rsidRPr="00986EAD">
        <w:rPr>
          <w:rFonts w:ascii="Aptos" w:hAnsi="Aptos" w:cs="Arial"/>
          <w:sz w:val="22"/>
          <w:szCs w:val="22"/>
        </w:rPr>
        <w:t xml:space="preserve"> bräuchte es eine koordinierte gemeinsame EU-Migrationspolitik. Diese steht allerdings in einem Spannungsverhältnis zu nationalstaatlicher Souveränität, was sich wiederum in Umsetzungsschwierigkeiten und Effizienzproblemen in der gebündelten Verteilung von migrantischen Arbeitskräften äußert.</w:t>
      </w:r>
    </w:p>
    <w:p w14:paraId="4CF530CD" w14:textId="77777777" w:rsidR="00623AF8" w:rsidRPr="00986EAD" w:rsidRDefault="00623AF8" w:rsidP="00623AF8">
      <w:pPr>
        <w:jc w:val="both"/>
        <w:rPr>
          <w:rFonts w:ascii="Aptos" w:hAnsi="Aptos" w:cs="Arial"/>
          <w:sz w:val="22"/>
          <w:szCs w:val="22"/>
        </w:rPr>
      </w:pPr>
    </w:p>
    <w:p w14:paraId="755DF559" w14:textId="77777777" w:rsidR="00623AF8" w:rsidRPr="00986EAD" w:rsidRDefault="00623AF8" w:rsidP="00623AF8">
      <w:pPr>
        <w:jc w:val="both"/>
        <w:rPr>
          <w:rFonts w:ascii="Aptos" w:hAnsi="Aptos" w:cs="Arial"/>
          <w:sz w:val="22"/>
          <w:szCs w:val="22"/>
          <w:lang w:val="de-DE"/>
        </w:rPr>
      </w:pPr>
      <w:r w:rsidRPr="00986EAD">
        <w:rPr>
          <w:rFonts w:ascii="Aptos" w:hAnsi="Aptos" w:cs="Arial"/>
          <w:sz w:val="22"/>
          <w:szCs w:val="22"/>
          <w:lang w:val="de-DE"/>
        </w:rPr>
        <w:t>Die „</w:t>
      </w:r>
      <w:r w:rsidRPr="00986EAD">
        <w:rPr>
          <w:rFonts w:ascii="Aptos" w:hAnsi="Aptos" w:cs="Arial"/>
          <w:color w:val="000000"/>
          <w:sz w:val="22"/>
          <w:szCs w:val="22"/>
        </w:rPr>
        <w:t xml:space="preserve">Blue-Card“ ist hinter den Erwartungen </w:t>
      </w:r>
      <w:r>
        <w:rPr>
          <w:rFonts w:ascii="Aptos" w:hAnsi="Aptos" w:cs="Arial"/>
          <w:color w:val="000000"/>
          <w:sz w:val="22"/>
          <w:szCs w:val="22"/>
        </w:rPr>
        <w:t xml:space="preserve">bisher </w:t>
      </w:r>
      <w:r w:rsidRPr="00986EAD">
        <w:rPr>
          <w:rFonts w:ascii="Aptos" w:hAnsi="Aptos" w:cs="Arial"/>
          <w:color w:val="000000"/>
          <w:sz w:val="22"/>
          <w:szCs w:val="22"/>
        </w:rPr>
        <w:t>zurückgeblieben. Daher</w:t>
      </w:r>
      <w:r w:rsidRPr="00986EAD">
        <w:rPr>
          <w:rFonts w:ascii="Aptos" w:hAnsi="Aptos" w:cs="Arial"/>
          <w:sz w:val="22"/>
          <w:szCs w:val="22"/>
        </w:rPr>
        <w:t xml:space="preserve"> hat die EU-Kommission etwa den „</w:t>
      </w:r>
      <w:r w:rsidRPr="00986EAD">
        <w:rPr>
          <w:rFonts w:ascii="Aptos" w:hAnsi="Aptos" w:cs="Arial"/>
          <w:sz w:val="22"/>
          <w:szCs w:val="22"/>
          <w:lang w:val="de-DE"/>
        </w:rPr>
        <w:t>EU-Talente-Pool“</w:t>
      </w:r>
      <w:r w:rsidRPr="00986EAD">
        <w:rPr>
          <w:rStyle w:val="Funotenzeichen"/>
          <w:rFonts w:ascii="Aptos" w:hAnsi="Aptos" w:cs="Arial"/>
          <w:sz w:val="22"/>
          <w:szCs w:val="22"/>
          <w:lang w:val="de-DE"/>
        </w:rPr>
        <w:footnoteReference w:id="22"/>
      </w:r>
      <w:r w:rsidRPr="00986EAD">
        <w:rPr>
          <w:rFonts w:ascii="Aptos" w:hAnsi="Aptos" w:cs="Arial"/>
          <w:sz w:val="22"/>
          <w:szCs w:val="22"/>
          <w:lang w:val="de-DE"/>
        </w:rPr>
        <w:t xml:space="preserve"> vorgeschlagen, der Personen aus Drittstaaten basierend auf ihren Qualifikationen mit offenen Stellen in EU-Staaten „matchen“ soll. Diese und weitere Maßnahmen zur Eindämmung des Fachkräftemangels hat die EU-Kommission am 27.April 2022 in der </w:t>
      </w:r>
      <w:r w:rsidRPr="00986EAD">
        <w:rPr>
          <w:rFonts w:ascii="Aptos" w:hAnsi="Aptos" w:cs="Arial"/>
          <w:sz w:val="22"/>
          <w:szCs w:val="22"/>
        </w:rPr>
        <w:t>Mitteilung zur Anwerbung qualifizierter Fachkräfte aus Drittländern</w:t>
      </w:r>
      <w:r w:rsidRPr="00986EAD">
        <w:rPr>
          <w:rFonts w:ascii="Aptos" w:hAnsi="Aptos" w:cs="Arial"/>
          <w:color w:val="000000"/>
          <w:sz w:val="22"/>
          <w:szCs w:val="22"/>
        </w:rPr>
        <w:t xml:space="preserve"> veröffentlicht.</w:t>
      </w:r>
      <w:r w:rsidRPr="00986EAD">
        <w:rPr>
          <w:rStyle w:val="Funotenzeichen"/>
          <w:rFonts w:ascii="Aptos" w:hAnsi="Aptos" w:cs="Arial"/>
          <w:color w:val="000000"/>
          <w:sz w:val="22"/>
          <w:szCs w:val="22"/>
        </w:rPr>
        <w:footnoteReference w:id="23"/>
      </w:r>
      <w:r w:rsidRPr="00986EAD">
        <w:rPr>
          <w:rFonts w:ascii="Aptos" w:hAnsi="Aptos" w:cs="Arial"/>
          <w:sz w:val="22"/>
          <w:szCs w:val="22"/>
        </w:rPr>
        <w:t xml:space="preserve"> </w:t>
      </w:r>
    </w:p>
    <w:p w14:paraId="309A3F1C" w14:textId="77777777" w:rsidR="00623AF8" w:rsidRPr="00986EAD" w:rsidRDefault="00623AF8" w:rsidP="00623AF8">
      <w:pPr>
        <w:jc w:val="both"/>
        <w:rPr>
          <w:rFonts w:ascii="Aptos" w:hAnsi="Aptos" w:cs="Arial"/>
          <w:color w:val="000000"/>
          <w:sz w:val="22"/>
          <w:szCs w:val="22"/>
        </w:rPr>
      </w:pPr>
    </w:p>
    <w:p w14:paraId="2873DEAE" w14:textId="77777777" w:rsidR="00623AF8" w:rsidRPr="00986EAD" w:rsidRDefault="00623AF8" w:rsidP="00623AF8">
      <w:pPr>
        <w:jc w:val="both"/>
        <w:rPr>
          <w:rFonts w:ascii="Aptos" w:hAnsi="Aptos" w:cs="Arial"/>
          <w:color w:val="000000"/>
          <w:sz w:val="22"/>
          <w:szCs w:val="22"/>
        </w:rPr>
      </w:pPr>
      <w:r w:rsidRPr="00986EAD">
        <w:rPr>
          <w:rFonts w:ascii="Aptos" w:hAnsi="Aptos" w:cs="Arial"/>
          <w:color w:val="000000"/>
          <w:sz w:val="22"/>
          <w:szCs w:val="22"/>
        </w:rPr>
        <w:t xml:space="preserve">Die </w:t>
      </w:r>
      <w:r w:rsidRPr="00986EAD">
        <w:rPr>
          <w:rFonts w:ascii="Aptos" w:hAnsi="Aptos" w:cs="Arial"/>
          <w:sz w:val="22"/>
          <w:szCs w:val="22"/>
        </w:rPr>
        <w:t>Einigung zum „Migrations- und Asylpakt“</w:t>
      </w:r>
      <w:r w:rsidRPr="00986EAD">
        <w:rPr>
          <w:rStyle w:val="Funotenzeichen"/>
          <w:rFonts w:ascii="Aptos" w:hAnsi="Aptos" w:cs="Arial"/>
          <w:sz w:val="22"/>
          <w:szCs w:val="22"/>
        </w:rPr>
        <w:footnoteReference w:id="24"/>
      </w:r>
      <w:r w:rsidRPr="00986EAD">
        <w:rPr>
          <w:rFonts w:ascii="Aptos" w:hAnsi="Aptos" w:cs="Arial"/>
          <w:color w:val="000000"/>
          <w:sz w:val="22"/>
          <w:szCs w:val="22"/>
        </w:rPr>
        <w:t xml:space="preserve"> in EU-Parlament und Rat Ende letzten Jahres, hat kaum neue Lösungen hervorgebracht. Zwar wurden die zentralen Probleme diskutiert und ausgearbeitet, nachhaltige Lösungen in der Asylpolitik und der Anwerbung von Arbeitskräften sind daraus aber nicht hervorgegangen.</w:t>
      </w:r>
    </w:p>
    <w:p w14:paraId="003273F5" w14:textId="77777777" w:rsidR="00623AF8" w:rsidRPr="00CD3D28" w:rsidRDefault="00623AF8" w:rsidP="00623AF8">
      <w:pPr>
        <w:rPr>
          <w:rFonts w:ascii="Aptos" w:hAnsi="Aptos"/>
          <w:bCs/>
          <w:iCs/>
          <w:sz w:val="22"/>
          <w:szCs w:val="22"/>
        </w:rPr>
      </w:pPr>
      <w:r w:rsidRPr="00CD3D28">
        <w:rPr>
          <w:rFonts w:ascii="Aptos" w:hAnsi="Aptos"/>
          <w:bCs/>
          <w:iCs/>
          <w:sz w:val="22"/>
          <w:szCs w:val="22"/>
        </w:rPr>
        <w:br w:type="page"/>
      </w:r>
    </w:p>
    <w:p w14:paraId="2A974111" w14:textId="77777777" w:rsidR="00623AF8" w:rsidRPr="00CD3D28" w:rsidRDefault="00623AF8" w:rsidP="00623AF8">
      <w:pPr>
        <w:spacing w:after="120"/>
        <w:jc w:val="both"/>
        <w:rPr>
          <w:rFonts w:ascii="Aptos" w:hAnsi="Aptos"/>
          <w:bCs/>
          <w:iCs/>
          <w:sz w:val="22"/>
          <w:szCs w:val="22"/>
        </w:rPr>
      </w:pPr>
    </w:p>
    <w:p w14:paraId="07A7F276" w14:textId="77777777" w:rsidR="00623AF8" w:rsidRPr="00FB0ADC" w:rsidRDefault="00623AF8" w:rsidP="00623AF8"/>
    <w:p w14:paraId="510D4D17" w14:textId="77777777" w:rsidR="00623AF8" w:rsidRPr="00CD3D28" w:rsidRDefault="00623AF8" w:rsidP="00623AF8">
      <w:pPr>
        <w:pStyle w:val="berschrift1"/>
        <w:rPr>
          <w:rFonts w:ascii="Aptos" w:hAnsi="Aptos"/>
        </w:rPr>
      </w:pPr>
      <w:bookmarkStart w:id="480" w:name="_Toc170142551"/>
      <w:bookmarkStart w:id="481" w:name="_Toc170983822"/>
      <w:r>
        <w:rPr>
          <w:rFonts w:ascii="Aptos" w:hAnsi="Aptos"/>
        </w:rPr>
        <w:t>Koordinierte Anwerbung von Fachkräften</w:t>
      </w:r>
      <w:bookmarkEnd w:id="480"/>
      <w:bookmarkEnd w:id="481"/>
    </w:p>
    <w:p w14:paraId="06535C5A"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7C979B58" w14:textId="77777777" w:rsidTr="00875DD0">
        <w:tc>
          <w:tcPr>
            <w:tcW w:w="9060" w:type="dxa"/>
            <w:shd w:val="clear" w:color="auto" w:fill="D9D9D9" w:themeFill="background1" w:themeFillShade="D9"/>
          </w:tcPr>
          <w:p w14:paraId="470A98E0"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3A8ADF9D" w14:textId="77777777" w:rsidTr="00875DD0">
        <w:tc>
          <w:tcPr>
            <w:tcW w:w="9060" w:type="dxa"/>
          </w:tcPr>
          <w:p w14:paraId="5F2F743B" w14:textId="77777777" w:rsidR="00623AF8" w:rsidRPr="00CD3D28" w:rsidRDefault="00623AF8" w:rsidP="00875DD0">
            <w:pPr>
              <w:spacing w:before="120" w:after="120"/>
              <w:jc w:val="both"/>
              <w:rPr>
                <w:rFonts w:ascii="Aptos" w:hAnsi="Aptos"/>
                <w:sz w:val="22"/>
                <w:szCs w:val="22"/>
              </w:rPr>
            </w:pPr>
            <w:r>
              <w:rPr>
                <w:rFonts w:ascii="Aptos" w:hAnsi="Aptos"/>
                <w:sz w:val="22"/>
                <w:szCs w:val="22"/>
              </w:rPr>
              <w:t>Der globale Wettbewerb um Fachkräfte verschärft sich momentan immer stärker.</w:t>
            </w:r>
            <w:r w:rsidRPr="00CD3D28">
              <w:rPr>
                <w:rFonts w:ascii="Aptos" w:hAnsi="Aptos"/>
                <w:sz w:val="22"/>
                <w:szCs w:val="22"/>
              </w:rPr>
              <w:t xml:space="preserve"> </w:t>
            </w:r>
            <w:r w:rsidRPr="00313477">
              <w:rPr>
                <w:rFonts w:ascii="Aptos" w:hAnsi="Aptos"/>
                <w:b/>
                <w:bCs/>
                <w:sz w:val="22"/>
                <w:szCs w:val="22"/>
              </w:rPr>
              <w:t xml:space="preserve">Wie </w:t>
            </w:r>
            <w:r>
              <w:rPr>
                <w:rFonts w:ascii="Aptos" w:hAnsi="Aptos"/>
                <w:b/>
                <w:bCs/>
                <w:sz w:val="22"/>
                <w:szCs w:val="22"/>
              </w:rPr>
              <w:t>können</w:t>
            </w:r>
            <w:r w:rsidRPr="00313477">
              <w:rPr>
                <w:rFonts w:ascii="Aptos" w:hAnsi="Aptos"/>
                <w:b/>
                <w:bCs/>
                <w:sz w:val="22"/>
                <w:szCs w:val="22"/>
              </w:rPr>
              <w:t xml:space="preserve"> Sie</w:t>
            </w:r>
            <w:r>
              <w:rPr>
                <w:rFonts w:ascii="Aptos" w:hAnsi="Aptos"/>
                <w:b/>
                <w:bCs/>
                <w:sz w:val="22"/>
                <w:szCs w:val="22"/>
              </w:rPr>
              <w:t xml:space="preserve"> </w:t>
            </w:r>
            <w:r w:rsidRPr="00313477">
              <w:rPr>
                <w:rFonts w:ascii="Aptos" w:hAnsi="Aptos"/>
                <w:b/>
                <w:bCs/>
                <w:sz w:val="22"/>
                <w:szCs w:val="22"/>
              </w:rPr>
              <w:t xml:space="preserve">eine koordinierte Vorgehensweise </w:t>
            </w:r>
            <w:r>
              <w:rPr>
                <w:rFonts w:ascii="Aptos" w:hAnsi="Aptos"/>
                <w:b/>
                <w:bCs/>
                <w:sz w:val="22"/>
                <w:szCs w:val="22"/>
              </w:rPr>
              <w:t xml:space="preserve">innerhalb der EU-Mitgliedsstaaten </w:t>
            </w:r>
            <w:r w:rsidRPr="00313477">
              <w:rPr>
                <w:rFonts w:ascii="Aptos" w:hAnsi="Aptos"/>
                <w:b/>
                <w:bCs/>
                <w:sz w:val="22"/>
                <w:szCs w:val="22"/>
              </w:rPr>
              <w:t>bei der Anwerbung von Fachkräften aus Drittstaaten</w:t>
            </w:r>
            <w:r>
              <w:rPr>
                <w:rFonts w:ascii="Aptos" w:hAnsi="Aptos"/>
                <w:b/>
                <w:bCs/>
                <w:sz w:val="22"/>
                <w:szCs w:val="22"/>
              </w:rPr>
              <w:t xml:space="preserve"> unterstützen und w</w:t>
            </w:r>
            <w:r w:rsidRPr="00313477">
              <w:rPr>
                <w:rFonts w:ascii="Aptos" w:hAnsi="Aptos"/>
                <w:b/>
                <w:bCs/>
                <w:sz w:val="22"/>
                <w:szCs w:val="22"/>
              </w:rPr>
              <w:t xml:space="preserve">ie </w:t>
            </w:r>
            <w:r>
              <w:rPr>
                <w:rFonts w:ascii="Aptos" w:hAnsi="Aptos"/>
                <w:b/>
                <w:bCs/>
                <w:sz w:val="22"/>
                <w:szCs w:val="22"/>
              </w:rPr>
              <w:t xml:space="preserve">verhindern Sie, dass EU-Staaten um Fachkräfte konkurrieren und sich gegenseitig </w:t>
            </w:r>
            <w:r w:rsidRPr="00313477">
              <w:rPr>
                <w:rFonts w:ascii="Aptos" w:hAnsi="Aptos"/>
                <w:b/>
                <w:bCs/>
                <w:sz w:val="22"/>
                <w:szCs w:val="22"/>
              </w:rPr>
              <w:t>Fachkräfte</w:t>
            </w:r>
            <w:r>
              <w:rPr>
                <w:rFonts w:ascii="Aptos" w:hAnsi="Aptos"/>
                <w:b/>
                <w:bCs/>
                <w:sz w:val="22"/>
                <w:szCs w:val="22"/>
              </w:rPr>
              <w:t xml:space="preserve"> abwerben</w:t>
            </w:r>
            <w:r w:rsidRPr="00313477">
              <w:rPr>
                <w:rFonts w:ascii="Aptos" w:hAnsi="Aptos"/>
                <w:b/>
                <w:bCs/>
                <w:sz w:val="22"/>
                <w:szCs w:val="22"/>
              </w:rPr>
              <w:t>?</w:t>
            </w:r>
          </w:p>
        </w:tc>
      </w:tr>
      <w:tr w:rsidR="00623AF8" w:rsidRPr="00CD3D28" w14:paraId="3B79C3BF" w14:textId="77777777" w:rsidTr="00875DD0">
        <w:tc>
          <w:tcPr>
            <w:tcW w:w="9060" w:type="dxa"/>
            <w:shd w:val="clear" w:color="auto" w:fill="D9D9D9" w:themeFill="background1" w:themeFillShade="D9"/>
          </w:tcPr>
          <w:p w14:paraId="7CB15E40"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2284A19A" w14:textId="77777777" w:rsidTr="00875DD0">
        <w:tc>
          <w:tcPr>
            <w:tcW w:w="9060" w:type="dxa"/>
          </w:tcPr>
          <w:p w14:paraId="49575206" w14:textId="77777777" w:rsidR="00623AF8" w:rsidRPr="005A018F" w:rsidRDefault="00623AF8" w:rsidP="00F63BE8">
            <w:pPr>
              <w:pStyle w:val="Listenabsatz"/>
              <w:numPr>
                <w:ilvl w:val="0"/>
                <w:numId w:val="71"/>
              </w:numPr>
              <w:spacing w:before="120" w:after="120"/>
              <w:jc w:val="both"/>
              <w:rPr>
                <w:rFonts w:ascii="Aptos" w:hAnsi="Aptos"/>
                <w:sz w:val="22"/>
                <w:szCs w:val="22"/>
              </w:rPr>
            </w:pPr>
            <w:r w:rsidRPr="005A018F">
              <w:rPr>
                <w:rFonts w:ascii="Aptos" w:hAnsi="Aptos"/>
                <w:sz w:val="22"/>
                <w:szCs w:val="22"/>
              </w:rPr>
              <w:t>Beabsichtigen Sie in der Anwerbung von Fachkräften ein Quotenmodell einzusetzen, d.h eine Regelung, die Anreize für eine einigermaßen ausgeglichene Verteilung schafft, um einen Fachkräftewettbewerb innerhalb der EU abzuwenden?</w:t>
            </w:r>
          </w:p>
          <w:p w14:paraId="35F28FA4" w14:textId="77777777" w:rsidR="00623AF8" w:rsidRPr="005A018F" w:rsidRDefault="00623AF8" w:rsidP="00F63BE8">
            <w:pPr>
              <w:pStyle w:val="Listenabsatz"/>
              <w:numPr>
                <w:ilvl w:val="0"/>
                <w:numId w:val="71"/>
              </w:numPr>
              <w:spacing w:before="120" w:after="120"/>
              <w:jc w:val="both"/>
              <w:rPr>
                <w:rFonts w:ascii="Aptos" w:hAnsi="Aptos"/>
                <w:sz w:val="22"/>
                <w:szCs w:val="22"/>
              </w:rPr>
            </w:pPr>
            <w:r w:rsidRPr="005A018F">
              <w:rPr>
                <w:rFonts w:ascii="Aptos" w:hAnsi="Aptos"/>
                <w:sz w:val="22"/>
                <w:szCs w:val="22"/>
              </w:rPr>
              <w:t>Was könnten dabei Kriterien für die Verteilung sein?</w:t>
            </w:r>
          </w:p>
          <w:p w14:paraId="357D49CA" w14:textId="77777777" w:rsidR="00623AF8" w:rsidRPr="005A018F" w:rsidRDefault="00623AF8" w:rsidP="00F63BE8">
            <w:pPr>
              <w:pStyle w:val="Listenabsatz"/>
              <w:numPr>
                <w:ilvl w:val="0"/>
                <w:numId w:val="71"/>
              </w:numPr>
              <w:spacing w:before="120" w:after="120"/>
              <w:jc w:val="both"/>
              <w:rPr>
                <w:rFonts w:ascii="Aptos" w:hAnsi="Aptos"/>
                <w:sz w:val="22"/>
                <w:szCs w:val="22"/>
              </w:rPr>
            </w:pPr>
            <w:r w:rsidRPr="005A018F">
              <w:rPr>
                <w:rFonts w:ascii="Aptos" w:hAnsi="Aptos"/>
                <w:sz w:val="22"/>
                <w:szCs w:val="22"/>
              </w:rPr>
              <w:t>Wie könnten die Quoten aussehen?</w:t>
            </w:r>
          </w:p>
        </w:tc>
      </w:tr>
    </w:tbl>
    <w:p w14:paraId="553854E8"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69D019E" w14:textId="77777777" w:rsidTr="00875DD0">
        <w:tc>
          <w:tcPr>
            <w:tcW w:w="9060" w:type="dxa"/>
            <w:tcBorders>
              <w:top w:val="nil"/>
              <w:left w:val="nil"/>
              <w:bottom w:val="nil"/>
              <w:right w:val="nil"/>
            </w:tcBorders>
            <w:shd w:val="clear" w:color="auto" w:fill="D9D9D9" w:themeFill="background1" w:themeFillShade="D9"/>
          </w:tcPr>
          <w:p w14:paraId="6D1E1874" w14:textId="77777777" w:rsidR="00623AF8" w:rsidRPr="005A018F" w:rsidRDefault="00623AF8" w:rsidP="00875DD0">
            <w:pPr>
              <w:pStyle w:val="StandardWeb"/>
              <w:jc w:val="both"/>
              <w:rPr>
                <w:rFonts w:ascii="Aptos" w:hAnsi="Aptos"/>
                <w:b/>
                <w:bCs/>
                <w:sz w:val="22"/>
                <w:szCs w:val="22"/>
              </w:rPr>
            </w:pPr>
            <w:bookmarkStart w:id="482" w:name="_Hlk170313052"/>
            <w:r w:rsidRPr="005A018F">
              <w:rPr>
                <w:rFonts w:ascii="Aptos" w:hAnsi="Aptos"/>
                <w:b/>
                <w:bCs/>
                <w:sz w:val="22"/>
                <w:szCs w:val="22"/>
              </w:rPr>
              <w:t>Hintergrund</w:t>
            </w:r>
            <w:bookmarkEnd w:id="482"/>
          </w:p>
        </w:tc>
      </w:tr>
    </w:tbl>
    <w:p w14:paraId="4053DE65" w14:textId="77777777" w:rsidR="00623AF8" w:rsidRPr="00125F17" w:rsidRDefault="00623AF8" w:rsidP="00623AF8">
      <w:pPr>
        <w:pStyle w:val="StandardWeb"/>
        <w:spacing w:before="0" w:beforeAutospacing="0"/>
        <w:jc w:val="both"/>
        <w:rPr>
          <w:rFonts w:ascii="Aptos" w:hAnsi="Aptos"/>
          <w:sz w:val="22"/>
          <w:szCs w:val="22"/>
        </w:rPr>
      </w:pPr>
      <w:r w:rsidRPr="00125F17">
        <w:rPr>
          <w:rFonts w:ascii="Aptos" w:hAnsi="Aptos"/>
          <w:sz w:val="22"/>
          <w:szCs w:val="22"/>
        </w:rPr>
        <w:t>Der globale Wettbewerb um Fachkräfte verschärft sich immer weiter. Derzeit ist die EU gegenüber den USA, Kanada und Australien noch klar im Hintertreffen. Die EU muss daher ihre Position als Fachkräftestandort international verbessern. Aber auch innerhalb der EU nimmt der Wettbewerb zu. Dies birgt große Risiken für eine sehr ungleiche wirtschaftliche Entwicklung und ein weiteres Auseinanderdriften der europäischen Regionen und Staaten. Es bedarf daher eines koordinierten Vorgehens innerhalb der EU-Mitgliedstaaten, gerade auch um ein gegenseitiges Abwerben von Fachkräften zu verhindern.</w:t>
      </w:r>
    </w:p>
    <w:p w14:paraId="6C8793EB" w14:textId="77777777" w:rsidR="00623AF8" w:rsidRPr="00125F17" w:rsidRDefault="00623AF8" w:rsidP="00623AF8">
      <w:pPr>
        <w:pStyle w:val="StandardWeb"/>
        <w:jc w:val="both"/>
        <w:rPr>
          <w:rFonts w:ascii="Aptos" w:hAnsi="Aptos"/>
          <w:sz w:val="22"/>
          <w:szCs w:val="22"/>
        </w:rPr>
      </w:pPr>
      <w:r w:rsidRPr="00125F17">
        <w:rPr>
          <w:rFonts w:ascii="Aptos" w:hAnsi="Aptos"/>
          <w:sz w:val="22"/>
          <w:szCs w:val="22"/>
        </w:rPr>
        <w:t>Zu diesem Zweck sollte die EU generell den Informationsaustausch und die Zusammenarbeit zwischen den Mitgliedstaaten fördern. Gemeinsame Initiativen und koordinierte Vorgehensweisen bei der Anwerbung und Integration von Fachkräften können die Konkurrenzsituation entschärfen. Auch hier sind einheitliche Standards und transparente Verfahren bei der Anerkennung von Qualifikationen ausländischer Arbeitskräfte förderlich für die Integration und Verteilung in der EU.</w:t>
      </w:r>
    </w:p>
    <w:p w14:paraId="2842864C" w14:textId="77777777" w:rsidR="00623AF8" w:rsidRPr="00125F17" w:rsidRDefault="00623AF8" w:rsidP="00623AF8">
      <w:pPr>
        <w:pStyle w:val="StandardWeb"/>
        <w:jc w:val="both"/>
        <w:rPr>
          <w:rFonts w:ascii="Aptos" w:hAnsi="Aptos"/>
          <w:sz w:val="22"/>
          <w:szCs w:val="22"/>
        </w:rPr>
      </w:pPr>
      <w:r w:rsidRPr="00125F17">
        <w:rPr>
          <w:rFonts w:ascii="Aptos" w:hAnsi="Aptos"/>
          <w:sz w:val="22"/>
          <w:szCs w:val="22"/>
        </w:rPr>
        <w:t xml:space="preserve">Ein Quotenmodell könnte Anreize für eine ausgewogene Verteilung von Fachkräften schaffen. Die Kriterien für Quoten könnten auf dem Arbeitsmarktbedarf, demografischen Faktoren und den spezifischen Rahmenbedingungen regionaler Arbeitsmärkte basieren. Dabei ist es auch wichtig, dass die Quoten flexibel und anpassbar sind, um auf sich ändernde lokale Bedürfnisse und sozioökonomische Entwicklungen zu reagieren. </w:t>
      </w:r>
    </w:p>
    <w:p w14:paraId="1B26E90E" w14:textId="77777777" w:rsidR="00623AF8" w:rsidRPr="0097682A" w:rsidRDefault="00623AF8" w:rsidP="00623AF8">
      <w:pPr>
        <w:rPr>
          <w:rFonts w:ascii="Aptos" w:hAnsi="Aptos"/>
          <w:bCs/>
          <w:sz w:val="22"/>
          <w:szCs w:val="22"/>
        </w:rPr>
      </w:pPr>
      <w:r w:rsidRPr="0097682A">
        <w:rPr>
          <w:rFonts w:ascii="Aptos" w:hAnsi="Aptos"/>
          <w:bCs/>
          <w:sz w:val="22"/>
          <w:szCs w:val="22"/>
        </w:rPr>
        <w:br w:type="page"/>
      </w:r>
    </w:p>
    <w:p w14:paraId="3EC77097" w14:textId="77777777" w:rsidR="00623AF8" w:rsidRDefault="00623AF8" w:rsidP="00623AF8">
      <w:pPr>
        <w:spacing w:after="120"/>
        <w:jc w:val="both"/>
        <w:rPr>
          <w:rFonts w:ascii="Aptos" w:hAnsi="Aptos"/>
          <w:bCs/>
          <w:iCs/>
          <w:sz w:val="22"/>
          <w:szCs w:val="22"/>
        </w:rPr>
      </w:pPr>
    </w:p>
    <w:p w14:paraId="043714AB" w14:textId="77777777" w:rsidR="00623AF8" w:rsidRDefault="00623AF8" w:rsidP="00623AF8">
      <w:pPr>
        <w:spacing w:after="120"/>
        <w:jc w:val="both"/>
        <w:rPr>
          <w:rFonts w:ascii="Aptos" w:hAnsi="Aptos"/>
          <w:bCs/>
          <w:iCs/>
          <w:sz w:val="22"/>
          <w:szCs w:val="22"/>
        </w:rPr>
      </w:pPr>
    </w:p>
    <w:p w14:paraId="5020A65B" w14:textId="77777777" w:rsidR="00623AF8" w:rsidRPr="0097682A" w:rsidRDefault="00623AF8" w:rsidP="00623AF8">
      <w:pPr>
        <w:spacing w:after="120"/>
        <w:jc w:val="both"/>
        <w:rPr>
          <w:rFonts w:ascii="Aptos" w:hAnsi="Aptos"/>
          <w:bCs/>
          <w:iCs/>
          <w:sz w:val="22"/>
          <w:szCs w:val="22"/>
        </w:rPr>
      </w:pPr>
    </w:p>
    <w:p w14:paraId="0F9AE0C8" w14:textId="77777777" w:rsidR="00623AF8" w:rsidRPr="00CD3D28" w:rsidRDefault="00623AF8" w:rsidP="00623AF8">
      <w:pPr>
        <w:pStyle w:val="berschrift1"/>
        <w:rPr>
          <w:rFonts w:ascii="Aptos" w:hAnsi="Aptos"/>
        </w:rPr>
      </w:pPr>
      <w:bookmarkStart w:id="483" w:name="_Toc170142552"/>
      <w:bookmarkStart w:id="484" w:name="_Toc170983823"/>
      <w:r>
        <w:rPr>
          <w:rFonts w:ascii="Aptos" w:hAnsi="Aptos"/>
        </w:rPr>
        <w:t>Arbeitsmarktintegration von Menschen mit Vertriebenenstatus</w:t>
      </w:r>
      <w:bookmarkEnd w:id="483"/>
      <w:bookmarkEnd w:id="484"/>
    </w:p>
    <w:p w14:paraId="43AE0577"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59545D4D" w14:textId="77777777" w:rsidTr="00875DD0">
        <w:tc>
          <w:tcPr>
            <w:tcW w:w="9060" w:type="dxa"/>
            <w:shd w:val="clear" w:color="auto" w:fill="D9D9D9" w:themeFill="background1" w:themeFillShade="D9"/>
          </w:tcPr>
          <w:p w14:paraId="0614718A"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5FA3049D" w14:textId="77777777" w:rsidTr="00875DD0">
        <w:tc>
          <w:tcPr>
            <w:tcW w:w="9060" w:type="dxa"/>
          </w:tcPr>
          <w:p w14:paraId="148C2639" w14:textId="77777777" w:rsidR="00623AF8" w:rsidRPr="00CD3D28" w:rsidRDefault="00623AF8" w:rsidP="00875DD0">
            <w:pPr>
              <w:spacing w:before="120" w:after="120"/>
              <w:jc w:val="both"/>
              <w:rPr>
                <w:rFonts w:ascii="Aptos" w:hAnsi="Aptos"/>
                <w:sz w:val="22"/>
                <w:szCs w:val="22"/>
              </w:rPr>
            </w:pPr>
            <w:r>
              <w:rPr>
                <w:rFonts w:ascii="Aptos" w:hAnsi="Aptos"/>
                <w:sz w:val="22"/>
                <w:szCs w:val="22"/>
              </w:rPr>
              <w:t xml:space="preserve">Derzeit leben viele Menschen mit Vertriebenenstatus in der Grundversorgung. Viele sind noch nicht in die europäischen Arbeitsmärkte integriert. </w:t>
            </w:r>
            <w:r w:rsidRPr="00C800C8">
              <w:rPr>
                <w:rFonts w:ascii="Aptos" w:hAnsi="Aptos"/>
                <w:sz w:val="22"/>
                <w:szCs w:val="22"/>
              </w:rPr>
              <w:t>Gründe dafür sind Probleme bei der Kinderbetreuung und der Integration in die Bildungssysteme sowie die fehlende Anerkennung von in Drittstaaten erworbenen Qualifikationen und Bildungsabschlüssen.</w:t>
            </w:r>
            <w:r>
              <w:rPr>
                <w:rFonts w:ascii="Aptos" w:hAnsi="Aptos"/>
                <w:sz w:val="22"/>
                <w:szCs w:val="22"/>
              </w:rPr>
              <w:t xml:space="preserve"> </w:t>
            </w:r>
            <w:r w:rsidRPr="00E57E6C">
              <w:rPr>
                <w:rFonts w:ascii="Aptos" w:hAnsi="Aptos"/>
                <w:b/>
                <w:bCs/>
                <w:sz w:val="22"/>
                <w:szCs w:val="22"/>
              </w:rPr>
              <w:t xml:space="preserve">Welche Maßnahmen planen Sie, </w:t>
            </w:r>
            <w:r>
              <w:rPr>
                <w:rFonts w:ascii="Aptos" w:hAnsi="Aptos"/>
                <w:b/>
                <w:bCs/>
                <w:sz w:val="22"/>
                <w:szCs w:val="22"/>
              </w:rPr>
              <w:t xml:space="preserve">um </w:t>
            </w:r>
            <w:r w:rsidRPr="00E57E6C">
              <w:rPr>
                <w:rFonts w:ascii="Aptos" w:hAnsi="Aptos"/>
                <w:b/>
                <w:bCs/>
                <w:sz w:val="22"/>
                <w:szCs w:val="22"/>
              </w:rPr>
              <w:t xml:space="preserve">Menschen mit Vertriebenenstatus </w:t>
            </w:r>
            <w:r>
              <w:rPr>
                <w:rFonts w:ascii="Aptos" w:hAnsi="Aptos"/>
                <w:b/>
                <w:bCs/>
                <w:sz w:val="22"/>
                <w:szCs w:val="22"/>
              </w:rPr>
              <w:t>schneller</w:t>
            </w:r>
            <w:r w:rsidRPr="00E57E6C">
              <w:rPr>
                <w:rFonts w:ascii="Aptos" w:hAnsi="Aptos"/>
                <w:b/>
                <w:bCs/>
                <w:sz w:val="22"/>
                <w:szCs w:val="22"/>
              </w:rPr>
              <w:t xml:space="preserve"> in die </w:t>
            </w:r>
            <w:r>
              <w:rPr>
                <w:rFonts w:ascii="Aptos" w:hAnsi="Aptos"/>
                <w:b/>
                <w:bCs/>
                <w:sz w:val="22"/>
                <w:szCs w:val="22"/>
              </w:rPr>
              <w:t xml:space="preserve">europäischen </w:t>
            </w:r>
            <w:r w:rsidRPr="00E57E6C">
              <w:rPr>
                <w:rFonts w:ascii="Aptos" w:hAnsi="Aptos"/>
                <w:b/>
                <w:bCs/>
                <w:sz w:val="22"/>
                <w:szCs w:val="22"/>
              </w:rPr>
              <w:t>Arbeitsmärkte zu integrieren</w:t>
            </w:r>
            <w:r w:rsidRPr="005A2933">
              <w:rPr>
                <w:rFonts w:ascii="Aptos" w:hAnsi="Aptos"/>
                <w:b/>
                <w:bCs/>
                <w:sz w:val="22"/>
                <w:szCs w:val="22"/>
              </w:rPr>
              <w:t>?</w:t>
            </w:r>
          </w:p>
        </w:tc>
      </w:tr>
      <w:tr w:rsidR="00623AF8" w:rsidRPr="00CD3D28" w14:paraId="4D2109D2" w14:textId="77777777" w:rsidTr="00875DD0">
        <w:tc>
          <w:tcPr>
            <w:tcW w:w="9060" w:type="dxa"/>
            <w:shd w:val="clear" w:color="auto" w:fill="D9D9D9" w:themeFill="background1" w:themeFillShade="D9"/>
          </w:tcPr>
          <w:p w14:paraId="0BF4E5D0"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364331CD" w14:textId="77777777" w:rsidTr="00875DD0">
        <w:tc>
          <w:tcPr>
            <w:tcW w:w="9060" w:type="dxa"/>
          </w:tcPr>
          <w:p w14:paraId="07828C0B" w14:textId="77777777" w:rsidR="00623AF8" w:rsidRPr="005A018F" w:rsidRDefault="00623AF8" w:rsidP="00F63BE8">
            <w:pPr>
              <w:pStyle w:val="Listenabsatz"/>
              <w:numPr>
                <w:ilvl w:val="0"/>
                <w:numId w:val="71"/>
              </w:numPr>
              <w:spacing w:before="120" w:after="120"/>
              <w:jc w:val="both"/>
              <w:rPr>
                <w:rFonts w:ascii="Aptos" w:hAnsi="Aptos"/>
                <w:sz w:val="22"/>
                <w:szCs w:val="22"/>
              </w:rPr>
            </w:pPr>
            <w:r w:rsidRPr="005A018F">
              <w:rPr>
                <w:rFonts w:ascii="Aptos" w:hAnsi="Aptos"/>
                <w:sz w:val="22"/>
                <w:szCs w:val="22"/>
              </w:rPr>
              <w:t xml:space="preserve">Wie können Sie sicherstellen, dass die Kinder von Vertriebenen in die Bildungssysteme integriert werden? </w:t>
            </w:r>
          </w:p>
        </w:tc>
      </w:tr>
    </w:tbl>
    <w:p w14:paraId="4ADA5AF7"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4637508" w14:textId="77777777" w:rsidTr="00875DD0">
        <w:tc>
          <w:tcPr>
            <w:tcW w:w="9060" w:type="dxa"/>
            <w:tcBorders>
              <w:top w:val="nil"/>
              <w:left w:val="nil"/>
              <w:bottom w:val="nil"/>
              <w:right w:val="nil"/>
            </w:tcBorders>
            <w:shd w:val="clear" w:color="auto" w:fill="D9D9D9" w:themeFill="background1" w:themeFillShade="D9"/>
          </w:tcPr>
          <w:p w14:paraId="35E0993C"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768D6C66" w14:textId="77777777" w:rsidR="00623AF8" w:rsidRPr="00A808B4" w:rsidRDefault="00623AF8" w:rsidP="00623AF8">
      <w:pPr>
        <w:jc w:val="both"/>
        <w:rPr>
          <w:rFonts w:ascii="Aptos" w:eastAsia="Times New Roman" w:hAnsi="Aptos" w:cs="Arial"/>
          <w:sz w:val="22"/>
          <w:szCs w:val="22"/>
        </w:rPr>
      </w:pPr>
      <w:r w:rsidRPr="00A808B4">
        <w:rPr>
          <w:rFonts w:ascii="Aptos" w:eastAsia="Times New Roman" w:hAnsi="Aptos" w:cs="Arial"/>
          <w:sz w:val="22"/>
          <w:szCs w:val="22"/>
        </w:rPr>
        <w:t>Ein Faktor, der die demografische Entwicklung hin zu einer alternden Gesellschaft und einer schrumpfenden Erwerbsbevölkerung abmildert, ist die Migration. Bereits jetzt sind Migrant:innen vorrangig in Sektoren aktiv, die von Arbeitskräftemangel betroffen sind. Es bestehen weiterhin große Hürden der Arbeitsmarktintegration, die im aktuellen politischen Klima teils verschärft werden. Durch weiteren Zuzug, aber mehr noch durch Abbau bestehender Hürden für Personen mit Migrationshintergrund, die bereits in der EU leben, können diese Gruppen zur Abschwächung des Arbeitskräftemangels beitragen.</w:t>
      </w:r>
    </w:p>
    <w:p w14:paraId="2A84839C" w14:textId="77777777" w:rsidR="00623AF8" w:rsidRPr="00A808B4" w:rsidRDefault="00623AF8" w:rsidP="00623AF8">
      <w:pPr>
        <w:jc w:val="both"/>
        <w:rPr>
          <w:rFonts w:ascii="Aptos" w:eastAsia="Times New Roman" w:hAnsi="Aptos" w:cs="Arial"/>
          <w:sz w:val="22"/>
          <w:szCs w:val="22"/>
        </w:rPr>
      </w:pPr>
    </w:p>
    <w:p w14:paraId="38B9C992" w14:textId="77777777" w:rsidR="00623AF8" w:rsidRPr="00A808B4" w:rsidRDefault="00623AF8" w:rsidP="00623AF8">
      <w:pPr>
        <w:jc w:val="both"/>
        <w:rPr>
          <w:rFonts w:ascii="Aptos" w:eastAsia="Times New Roman" w:hAnsi="Aptos" w:cs="Arial"/>
          <w:sz w:val="22"/>
          <w:szCs w:val="22"/>
        </w:rPr>
      </w:pPr>
      <w:r w:rsidRPr="00A808B4">
        <w:rPr>
          <w:rFonts w:ascii="Aptos" w:eastAsia="Times New Roman" w:hAnsi="Aptos" w:cs="Arial"/>
          <w:sz w:val="22"/>
          <w:szCs w:val="22"/>
        </w:rPr>
        <w:t>Die schnelle Integration von Menschen mit Vertriebenenstatus in die europäischen Arbeitsmärkte fördert nicht nur den sozialen Zusammenhalt Kohäsion, sondern mildert auch den Arbeitskräftemangel und damit die derzeitige Überbelastung der Arbeitskräfte in vielen Sektoren. Eine rasche Eingliederung in den Arbeitsmarkt ermöglicht es Menschen mit Vertriebenenstatus schnell finanziell unabhängig zu werden und aktiv zur Wirtschaft beizutragen. Dies reduziert auch die Belastung der europäischen Sozialsysteme.</w:t>
      </w:r>
    </w:p>
    <w:p w14:paraId="4A76ADF8" w14:textId="77777777" w:rsidR="00623AF8" w:rsidRPr="00A808B4" w:rsidRDefault="00623AF8" w:rsidP="00623AF8">
      <w:pPr>
        <w:jc w:val="both"/>
        <w:rPr>
          <w:rFonts w:ascii="Aptos" w:eastAsia="Times New Roman" w:hAnsi="Aptos" w:cs="Arial"/>
          <w:sz w:val="22"/>
          <w:szCs w:val="22"/>
        </w:rPr>
      </w:pPr>
    </w:p>
    <w:p w14:paraId="45FCEB52" w14:textId="77777777" w:rsidR="00623AF8" w:rsidRPr="00C30294" w:rsidRDefault="00623AF8" w:rsidP="00623AF8">
      <w:pPr>
        <w:jc w:val="both"/>
        <w:rPr>
          <w:rFonts w:ascii="Arial" w:eastAsia="Times New Roman" w:hAnsi="Arial" w:cs="Arial"/>
        </w:rPr>
      </w:pPr>
      <w:r w:rsidRPr="00A808B4">
        <w:rPr>
          <w:rFonts w:ascii="Aptos" w:eastAsia="Times New Roman" w:hAnsi="Aptos" w:cs="Arial"/>
          <w:sz w:val="22"/>
          <w:szCs w:val="22"/>
        </w:rPr>
        <w:t>Für die Kinder von Vertriebenen ist der Zugang zu Bildung entscheidend. Eine frühzeitige Integration in das Bildungssystem unterstützt die sprachliche und kulturelle Integration und legt den Grundstein für ihre zukünftige Teilhabe am gesellschaftlichen und wirtschaftlichen Leben. Bildung ist ein zentraler Faktor für Chancengleichheit und sozialen Aufstieg, und die Integration von Kindern in das Schulsystem fördert langfristig stabile Lebensverläufe.</w:t>
      </w:r>
      <w:r w:rsidRPr="00624BF3">
        <w:rPr>
          <w:rFonts w:ascii="Aptos" w:hAnsi="Aptos"/>
          <w:bCs/>
          <w:sz w:val="22"/>
          <w:szCs w:val="22"/>
        </w:rPr>
        <w:br w:type="page"/>
      </w:r>
    </w:p>
    <w:p w14:paraId="12DC75AB" w14:textId="77777777" w:rsidR="00623AF8" w:rsidRDefault="00623AF8" w:rsidP="00623AF8">
      <w:pPr>
        <w:spacing w:after="120"/>
        <w:jc w:val="both"/>
        <w:rPr>
          <w:rFonts w:ascii="Aptos" w:hAnsi="Aptos"/>
          <w:bCs/>
          <w:iCs/>
          <w:sz w:val="22"/>
          <w:szCs w:val="22"/>
        </w:rPr>
      </w:pPr>
    </w:p>
    <w:p w14:paraId="2E9AE289" w14:textId="77777777" w:rsidR="00623AF8" w:rsidRDefault="00623AF8" w:rsidP="00623AF8">
      <w:pPr>
        <w:spacing w:after="120"/>
        <w:jc w:val="both"/>
        <w:rPr>
          <w:rFonts w:ascii="Aptos" w:hAnsi="Aptos"/>
          <w:bCs/>
          <w:iCs/>
          <w:sz w:val="22"/>
          <w:szCs w:val="22"/>
        </w:rPr>
      </w:pPr>
    </w:p>
    <w:p w14:paraId="06F16B34" w14:textId="77777777" w:rsidR="00623AF8" w:rsidRPr="00624BF3" w:rsidRDefault="00623AF8" w:rsidP="00623AF8">
      <w:pPr>
        <w:spacing w:after="120"/>
        <w:jc w:val="both"/>
        <w:rPr>
          <w:rFonts w:ascii="Aptos" w:hAnsi="Aptos"/>
          <w:bCs/>
          <w:iCs/>
          <w:sz w:val="22"/>
          <w:szCs w:val="22"/>
        </w:rPr>
      </w:pPr>
    </w:p>
    <w:p w14:paraId="76AA5DAA" w14:textId="77777777" w:rsidR="00623AF8" w:rsidRPr="00CD3D28" w:rsidRDefault="00623AF8" w:rsidP="00623AF8">
      <w:pPr>
        <w:pStyle w:val="berschrift1"/>
        <w:rPr>
          <w:rFonts w:ascii="Aptos" w:hAnsi="Aptos"/>
        </w:rPr>
      </w:pPr>
      <w:bookmarkStart w:id="485" w:name="_Toc170142553"/>
      <w:bookmarkStart w:id="486" w:name="_Toc170983824"/>
      <w:r>
        <w:rPr>
          <w:rFonts w:ascii="Aptos" w:hAnsi="Aptos"/>
        </w:rPr>
        <w:t>Freiwilligenarbeit und Fachkräftemangel</w:t>
      </w:r>
      <w:bookmarkEnd w:id="485"/>
      <w:bookmarkEnd w:id="486"/>
    </w:p>
    <w:p w14:paraId="00D8304F"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2A237EFE" w14:textId="77777777" w:rsidTr="00875DD0">
        <w:tc>
          <w:tcPr>
            <w:tcW w:w="9060" w:type="dxa"/>
            <w:shd w:val="clear" w:color="auto" w:fill="D9D9D9" w:themeFill="background1" w:themeFillShade="D9"/>
          </w:tcPr>
          <w:p w14:paraId="00C1E965"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53743E34" w14:textId="77777777" w:rsidTr="00875DD0">
        <w:tc>
          <w:tcPr>
            <w:tcW w:w="9060" w:type="dxa"/>
          </w:tcPr>
          <w:p w14:paraId="2ECB9733" w14:textId="77777777" w:rsidR="00623AF8" w:rsidRPr="00CD3D28" w:rsidRDefault="00623AF8" w:rsidP="00875DD0">
            <w:pPr>
              <w:spacing w:before="120" w:after="120"/>
              <w:jc w:val="both"/>
              <w:rPr>
                <w:rFonts w:ascii="Aptos" w:hAnsi="Aptos"/>
                <w:sz w:val="22"/>
                <w:szCs w:val="22"/>
              </w:rPr>
            </w:pPr>
            <w:r>
              <w:rPr>
                <w:rFonts w:ascii="Aptos" w:hAnsi="Aptos"/>
                <w:sz w:val="22"/>
                <w:szCs w:val="22"/>
              </w:rPr>
              <w:t>In einigen EU-Staaten werden viele soziale Dienste durch Freiwilligenarbeit erbracht. Gleichzeitig sind gerade auch Sozialorganisationen vermehrt vom Fachkräftemangel betroffen</w:t>
            </w:r>
            <w:r w:rsidRPr="00CD3D28">
              <w:rPr>
                <w:rFonts w:ascii="Aptos" w:hAnsi="Aptos"/>
                <w:sz w:val="22"/>
                <w:szCs w:val="22"/>
              </w:rPr>
              <w:t xml:space="preserve">. </w:t>
            </w:r>
            <w:r w:rsidRPr="0097682A">
              <w:rPr>
                <w:rFonts w:ascii="Aptos" w:hAnsi="Aptos"/>
                <w:b/>
                <w:bCs/>
                <w:sz w:val="22"/>
                <w:szCs w:val="22"/>
              </w:rPr>
              <w:t>Wie gedenken Sie</w:t>
            </w:r>
            <w:r>
              <w:rPr>
                <w:rFonts w:ascii="Aptos" w:hAnsi="Aptos"/>
                <w:b/>
                <w:bCs/>
                <w:sz w:val="22"/>
                <w:szCs w:val="22"/>
              </w:rPr>
              <w:t xml:space="preserve"> </w:t>
            </w:r>
            <w:r w:rsidRPr="0097682A">
              <w:rPr>
                <w:rFonts w:ascii="Aptos" w:hAnsi="Aptos"/>
                <w:b/>
                <w:bCs/>
                <w:sz w:val="22"/>
                <w:szCs w:val="22"/>
              </w:rPr>
              <w:t xml:space="preserve">Freiwilligenarbeit </w:t>
            </w:r>
            <w:r>
              <w:rPr>
                <w:rFonts w:ascii="Aptos" w:hAnsi="Aptos"/>
                <w:b/>
                <w:bCs/>
                <w:sz w:val="22"/>
                <w:szCs w:val="22"/>
              </w:rPr>
              <w:t>zu fördern</w:t>
            </w:r>
            <w:r w:rsidRPr="0097682A">
              <w:rPr>
                <w:rFonts w:ascii="Aptos" w:hAnsi="Aptos"/>
                <w:b/>
                <w:bCs/>
                <w:sz w:val="22"/>
                <w:szCs w:val="22"/>
              </w:rPr>
              <w:t xml:space="preserve"> und welche Bedeutung sehen </w:t>
            </w:r>
            <w:r>
              <w:rPr>
                <w:rFonts w:ascii="Aptos" w:hAnsi="Aptos"/>
                <w:b/>
                <w:bCs/>
                <w:sz w:val="22"/>
                <w:szCs w:val="22"/>
              </w:rPr>
              <w:t>S</w:t>
            </w:r>
            <w:r w:rsidRPr="0097682A">
              <w:rPr>
                <w:rFonts w:ascii="Aptos" w:hAnsi="Aptos"/>
                <w:b/>
                <w:bCs/>
                <w:sz w:val="22"/>
                <w:szCs w:val="22"/>
              </w:rPr>
              <w:t>ie in der Freiwilligenarbeit</w:t>
            </w:r>
            <w:r>
              <w:rPr>
                <w:rFonts w:ascii="Aptos" w:hAnsi="Aptos"/>
                <w:b/>
                <w:bCs/>
                <w:sz w:val="22"/>
                <w:szCs w:val="22"/>
              </w:rPr>
              <w:t>,</w:t>
            </w:r>
            <w:r w:rsidRPr="0097682A">
              <w:rPr>
                <w:rFonts w:ascii="Aptos" w:hAnsi="Aptos"/>
                <w:b/>
                <w:bCs/>
                <w:sz w:val="22"/>
                <w:szCs w:val="22"/>
              </w:rPr>
              <w:t xml:space="preserve"> um dem Fachkräftemangel </w:t>
            </w:r>
            <w:r>
              <w:rPr>
                <w:rFonts w:ascii="Aptos" w:hAnsi="Aptos"/>
                <w:b/>
                <w:bCs/>
                <w:sz w:val="22"/>
                <w:szCs w:val="22"/>
              </w:rPr>
              <w:t>entgegenzuwirken</w:t>
            </w:r>
            <w:r w:rsidRPr="00383992">
              <w:rPr>
                <w:rFonts w:ascii="Aptos" w:hAnsi="Aptos"/>
                <w:b/>
                <w:bCs/>
                <w:sz w:val="22"/>
                <w:szCs w:val="22"/>
              </w:rPr>
              <w:t>?</w:t>
            </w:r>
          </w:p>
        </w:tc>
      </w:tr>
      <w:tr w:rsidR="00623AF8" w:rsidRPr="00CD3D28" w14:paraId="1E962C47" w14:textId="77777777" w:rsidTr="00875DD0">
        <w:tc>
          <w:tcPr>
            <w:tcW w:w="9060" w:type="dxa"/>
            <w:shd w:val="clear" w:color="auto" w:fill="D9D9D9" w:themeFill="background1" w:themeFillShade="D9"/>
          </w:tcPr>
          <w:p w14:paraId="2D833BB4"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6723D358" w14:textId="77777777" w:rsidTr="00875DD0">
        <w:tc>
          <w:tcPr>
            <w:tcW w:w="9060" w:type="dxa"/>
          </w:tcPr>
          <w:p w14:paraId="022D6901" w14:textId="77777777" w:rsidR="00623AF8" w:rsidRPr="00934480" w:rsidRDefault="00623AF8" w:rsidP="00F63BE8">
            <w:pPr>
              <w:pStyle w:val="Listenabsatz"/>
              <w:numPr>
                <w:ilvl w:val="0"/>
                <w:numId w:val="71"/>
              </w:numPr>
              <w:spacing w:before="120" w:after="120"/>
              <w:jc w:val="both"/>
              <w:rPr>
                <w:rFonts w:ascii="Aptos" w:hAnsi="Aptos"/>
                <w:sz w:val="22"/>
                <w:szCs w:val="22"/>
              </w:rPr>
            </w:pPr>
            <w:r w:rsidRPr="00934480">
              <w:rPr>
                <w:rFonts w:ascii="Aptos" w:hAnsi="Aptos"/>
                <w:sz w:val="22"/>
                <w:szCs w:val="22"/>
              </w:rPr>
              <w:t>In welchen Sektoren können Sie sich das vorstellen?</w:t>
            </w:r>
          </w:p>
          <w:p w14:paraId="2321EA3C" w14:textId="77777777" w:rsidR="00623AF8" w:rsidRPr="00934480" w:rsidRDefault="00623AF8" w:rsidP="00F63BE8">
            <w:pPr>
              <w:pStyle w:val="Listenabsatz"/>
              <w:numPr>
                <w:ilvl w:val="0"/>
                <w:numId w:val="71"/>
              </w:numPr>
              <w:spacing w:before="120" w:after="120"/>
              <w:jc w:val="both"/>
              <w:rPr>
                <w:rFonts w:ascii="Aptos" w:hAnsi="Aptos"/>
                <w:sz w:val="22"/>
                <w:szCs w:val="22"/>
              </w:rPr>
            </w:pPr>
            <w:r w:rsidRPr="00934480">
              <w:rPr>
                <w:rFonts w:ascii="Aptos" w:hAnsi="Aptos"/>
                <w:sz w:val="22"/>
                <w:szCs w:val="22"/>
              </w:rPr>
              <w:t>Wie stellen Sie sicher, dass durch die Freiwilligenarbeit keine Senkung der Qualität der erbrachten Dienstleistung eintritt?</w:t>
            </w:r>
          </w:p>
        </w:tc>
      </w:tr>
    </w:tbl>
    <w:p w14:paraId="646FB5C0"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AA77F30" w14:textId="77777777" w:rsidTr="00875DD0">
        <w:tc>
          <w:tcPr>
            <w:tcW w:w="9060" w:type="dxa"/>
            <w:tcBorders>
              <w:top w:val="nil"/>
              <w:left w:val="nil"/>
              <w:bottom w:val="nil"/>
              <w:right w:val="nil"/>
            </w:tcBorders>
            <w:shd w:val="clear" w:color="auto" w:fill="D9D9D9" w:themeFill="background1" w:themeFillShade="D9"/>
          </w:tcPr>
          <w:p w14:paraId="2C9C7E56" w14:textId="77777777" w:rsidR="00623AF8" w:rsidRDefault="00623AF8" w:rsidP="00875DD0">
            <w:pPr>
              <w:spacing w:after="120"/>
              <w:jc w:val="both"/>
              <w:rPr>
                <w:rFonts w:ascii="Aptos" w:hAnsi="Aptos"/>
                <w:b/>
                <w:iCs/>
                <w:sz w:val="22"/>
                <w:szCs w:val="22"/>
              </w:rPr>
            </w:pPr>
            <w:r w:rsidRPr="005A018F">
              <w:rPr>
                <w:rFonts w:ascii="Aptos" w:hAnsi="Aptos"/>
                <w:b/>
                <w:bCs/>
                <w:sz w:val="22"/>
                <w:szCs w:val="22"/>
              </w:rPr>
              <w:t>Hintergrund</w:t>
            </w:r>
          </w:p>
        </w:tc>
      </w:tr>
    </w:tbl>
    <w:p w14:paraId="56C71506" w14:textId="77777777" w:rsidR="00623AF8" w:rsidRDefault="00623AF8" w:rsidP="00623AF8">
      <w:pPr>
        <w:spacing w:after="120"/>
        <w:jc w:val="both"/>
        <w:rPr>
          <w:rFonts w:ascii="Aptos" w:hAnsi="Aptos"/>
          <w:sz w:val="22"/>
          <w:szCs w:val="22"/>
        </w:rPr>
      </w:pPr>
      <w:r w:rsidRPr="00BD1D82">
        <w:rPr>
          <w:rFonts w:ascii="Aptos" w:hAnsi="Aptos"/>
          <w:sz w:val="22"/>
          <w:szCs w:val="22"/>
        </w:rPr>
        <w:t xml:space="preserve">Die Freiwilligenarbeit spielt eine entscheidende Rolle in der Bereitstellung sozialer Dienste und kann dazu beitragen, den Fachkräftemangel in einigen EU-Staaten zu mildern. </w:t>
      </w:r>
    </w:p>
    <w:p w14:paraId="2E7E770D" w14:textId="77777777" w:rsidR="00623AF8" w:rsidRDefault="00623AF8" w:rsidP="00623AF8">
      <w:pPr>
        <w:spacing w:after="120"/>
        <w:jc w:val="both"/>
        <w:rPr>
          <w:rFonts w:ascii="Aptos" w:hAnsi="Aptos"/>
          <w:sz w:val="22"/>
          <w:szCs w:val="22"/>
        </w:rPr>
      </w:pPr>
      <w:r w:rsidRPr="002C4FFB">
        <w:rPr>
          <w:rFonts w:ascii="Aptos" w:hAnsi="Aptos"/>
          <w:sz w:val="22"/>
          <w:szCs w:val="22"/>
        </w:rPr>
        <w:t xml:space="preserve">Freiwilligenarbeit ermöglicht es Menschen, neue Fähigkeiten zu erlernen und praktische Erfahrungen zu sammeln, die ihre berufliche Qualifikation und </w:t>
      </w:r>
      <w:r>
        <w:rPr>
          <w:rFonts w:ascii="Aptos" w:hAnsi="Aptos"/>
          <w:sz w:val="22"/>
          <w:szCs w:val="22"/>
        </w:rPr>
        <w:t>Arbeitsmarktintegration</w:t>
      </w:r>
      <w:r w:rsidRPr="002C4FFB">
        <w:rPr>
          <w:rFonts w:ascii="Aptos" w:hAnsi="Aptos"/>
          <w:sz w:val="22"/>
          <w:szCs w:val="22"/>
        </w:rPr>
        <w:t xml:space="preserve"> verbessern. </w:t>
      </w:r>
      <w:r w:rsidRPr="00940500">
        <w:rPr>
          <w:rFonts w:ascii="Aptos" w:hAnsi="Aptos"/>
          <w:sz w:val="22"/>
          <w:szCs w:val="22"/>
        </w:rPr>
        <w:t xml:space="preserve">Dies kann langfristig dazu beitragen, dass Freiwillige sich für eine berufliche Laufbahn in den Bereichen entscheiden, in denen sie sich engagiert haben, </w:t>
      </w:r>
      <w:r>
        <w:rPr>
          <w:rFonts w:ascii="Aptos" w:hAnsi="Aptos"/>
          <w:sz w:val="22"/>
          <w:szCs w:val="22"/>
        </w:rPr>
        <w:t>was auch den</w:t>
      </w:r>
      <w:r w:rsidRPr="00940500">
        <w:rPr>
          <w:rFonts w:ascii="Aptos" w:hAnsi="Aptos"/>
          <w:sz w:val="22"/>
          <w:szCs w:val="22"/>
        </w:rPr>
        <w:t xml:space="preserve"> Fachkräftemangel </w:t>
      </w:r>
      <w:r>
        <w:rPr>
          <w:rFonts w:ascii="Aptos" w:hAnsi="Aptos"/>
          <w:sz w:val="22"/>
          <w:szCs w:val="22"/>
        </w:rPr>
        <w:t>ab</w:t>
      </w:r>
      <w:r w:rsidRPr="00940500">
        <w:rPr>
          <w:rFonts w:ascii="Aptos" w:hAnsi="Aptos"/>
          <w:sz w:val="22"/>
          <w:szCs w:val="22"/>
        </w:rPr>
        <w:t>milder</w:t>
      </w:r>
      <w:r>
        <w:rPr>
          <w:rFonts w:ascii="Aptos" w:hAnsi="Aptos"/>
          <w:sz w:val="22"/>
          <w:szCs w:val="22"/>
        </w:rPr>
        <w:t>n</w:t>
      </w:r>
      <w:r w:rsidRPr="00940500">
        <w:rPr>
          <w:rFonts w:ascii="Aptos" w:hAnsi="Aptos"/>
          <w:sz w:val="22"/>
          <w:szCs w:val="22"/>
        </w:rPr>
        <w:t xml:space="preserve"> </w:t>
      </w:r>
      <w:r>
        <w:rPr>
          <w:rFonts w:ascii="Aptos" w:hAnsi="Aptos"/>
          <w:sz w:val="22"/>
          <w:szCs w:val="22"/>
        </w:rPr>
        <w:t xml:space="preserve">kann. </w:t>
      </w:r>
      <w:r w:rsidRPr="002C4FFB">
        <w:rPr>
          <w:rFonts w:ascii="Aptos" w:hAnsi="Aptos"/>
          <w:sz w:val="22"/>
          <w:szCs w:val="22"/>
        </w:rPr>
        <w:t>Darüber hinaus fördert Freiwilligenarbeit den sozialen Zusammenhalt und das Gemeinschaftsgefühl. Menschen, die sich freiwillig engagieren, entwickeln oft ein starkes Verantwortungsbewusstsein und eine enge Bindung zu</w:t>
      </w:r>
      <w:r>
        <w:rPr>
          <w:rFonts w:ascii="Aptos" w:hAnsi="Aptos"/>
          <w:sz w:val="22"/>
          <w:szCs w:val="22"/>
        </w:rPr>
        <w:t xml:space="preserve">r </w:t>
      </w:r>
      <w:r w:rsidRPr="002C4FFB">
        <w:rPr>
          <w:rFonts w:ascii="Aptos" w:hAnsi="Aptos"/>
          <w:sz w:val="22"/>
          <w:szCs w:val="22"/>
        </w:rPr>
        <w:t xml:space="preserve">Gemeinschaft. </w:t>
      </w:r>
      <w:r>
        <w:rPr>
          <w:rFonts w:ascii="Aptos" w:hAnsi="Aptos"/>
          <w:sz w:val="22"/>
          <w:szCs w:val="22"/>
        </w:rPr>
        <w:t xml:space="preserve">Ganz allgemein fördert </w:t>
      </w:r>
      <w:r w:rsidRPr="00BD1D82">
        <w:rPr>
          <w:rFonts w:ascii="Aptos" w:hAnsi="Aptos"/>
          <w:sz w:val="22"/>
          <w:szCs w:val="22"/>
        </w:rPr>
        <w:t>Freiwilligenarbeit soziale Kontakte und Integration, sowohl für die Helfenden als auch für die Begünstigten.</w:t>
      </w:r>
      <w:r>
        <w:rPr>
          <w:rFonts w:ascii="Aptos" w:hAnsi="Aptos"/>
          <w:sz w:val="22"/>
          <w:szCs w:val="22"/>
        </w:rPr>
        <w:t xml:space="preserve"> </w:t>
      </w:r>
      <w:r w:rsidRPr="002C4FFB">
        <w:rPr>
          <w:rFonts w:ascii="Aptos" w:hAnsi="Aptos"/>
          <w:sz w:val="22"/>
          <w:szCs w:val="22"/>
        </w:rPr>
        <w:t>D</w:t>
      </w:r>
      <w:r>
        <w:rPr>
          <w:rFonts w:ascii="Aptos" w:hAnsi="Aptos"/>
          <w:sz w:val="22"/>
          <w:szCs w:val="22"/>
        </w:rPr>
        <w:t>amit trägt Freiwilligenarbeit</w:t>
      </w:r>
      <w:r w:rsidRPr="002C4FFB">
        <w:rPr>
          <w:rFonts w:ascii="Aptos" w:hAnsi="Aptos"/>
          <w:sz w:val="22"/>
          <w:szCs w:val="22"/>
        </w:rPr>
        <w:t xml:space="preserve"> zur allgemeinen Resilienz der Gesellschaft bei.</w:t>
      </w:r>
    </w:p>
    <w:p w14:paraId="44A9E877" w14:textId="77777777" w:rsidR="00623AF8" w:rsidRPr="002C4FFB" w:rsidRDefault="00623AF8" w:rsidP="00623AF8">
      <w:pPr>
        <w:spacing w:after="120"/>
        <w:jc w:val="both"/>
        <w:rPr>
          <w:rFonts w:ascii="Aptos" w:hAnsi="Aptos"/>
          <w:sz w:val="22"/>
          <w:szCs w:val="22"/>
        </w:rPr>
      </w:pPr>
      <w:r w:rsidRPr="002C4FFB">
        <w:rPr>
          <w:rFonts w:ascii="Aptos" w:hAnsi="Aptos"/>
          <w:sz w:val="22"/>
          <w:szCs w:val="22"/>
        </w:rPr>
        <w:t xml:space="preserve">Dabei ist es wichtig sicherzustellen, dass die Qualität der erbrachten Leistungen nicht sinkt. Dies kann durch gezielte Schulungen und klare Standards gewährleistet werden. Freiwillige können durch professionelle Schulungen und Mentoring-Programme unterstützt werden, sodass ihre Arbeit </w:t>
      </w:r>
      <w:r>
        <w:rPr>
          <w:rFonts w:ascii="Aptos" w:hAnsi="Aptos"/>
          <w:sz w:val="22"/>
          <w:szCs w:val="22"/>
        </w:rPr>
        <w:t>nicht die</w:t>
      </w:r>
      <w:r w:rsidRPr="002C4FFB">
        <w:rPr>
          <w:rFonts w:ascii="Aptos" w:hAnsi="Aptos"/>
          <w:sz w:val="22"/>
          <w:szCs w:val="22"/>
        </w:rPr>
        <w:t xml:space="preserve"> hohen Standards </w:t>
      </w:r>
      <w:r>
        <w:rPr>
          <w:rFonts w:ascii="Aptos" w:hAnsi="Aptos"/>
          <w:sz w:val="22"/>
          <w:szCs w:val="22"/>
        </w:rPr>
        <w:t>von</w:t>
      </w:r>
      <w:r w:rsidRPr="002C4FFB">
        <w:rPr>
          <w:rFonts w:ascii="Aptos" w:hAnsi="Aptos"/>
          <w:sz w:val="22"/>
          <w:szCs w:val="22"/>
        </w:rPr>
        <w:t xml:space="preserve"> festangestellten Fachkräften</w:t>
      </w:r>
      <w:r>
        <w:rPr>
          <w:rFonts w:ascii="Aptos" w:hAnsi="Aptos"/>
          <w:sz w:val="22"/>
          <w:szCs w:val="22"/>
        </w:rPr>
        <w:t xml:space="preserve"> unterläuft</w:t>
      </w:r>
      <w:r w:rsidRPr="002C4FFB">
        <w:rPr>
          <w:rFonts w:ascii="Aptos" w:hAnsi="Aptos"/>
          <w:sz w:val="22"/>
          <w:szCs w:val="22"/>
        </w:rPr>
        <w:t>.</w:t>
      </w:r>
      <w:r>
        <w:rPr>
          <w:rFonts w:ascii="Aptos" w:hAnsi="Aptos"/>
          <w:sz w:val="22"/>
          <w:szCs w:val="22"/>
        </w:rPr>
        <w:t xml:space="preserve"> </w:t>
      </w:r>
    </w:p>
    <w:p w14:paraId="454806A8" w14:textId="77777777" w:rsidR="00623AF8" w:rsidRPr="002C4FFB" w:rsidRDefault="00623AF8" w:rsidP="00623AF8">
      <w:pPr>
        <w:spacing w:after="120"/>
        <w:jc w:val="both"/>
        <w:rPr>
          <w:rFonts w:ascii="Aptos" w:hAnsi="Aptos"/>
          <w:sz w:val="22"/>
          <w:szCs w:val="22"/>
        </w:rPr>
      </w:pPr>
      <w:r w:rsidRPr="002C4FFB">
        <w:rPr>
          <w:rFonts w:ascii="Aptos" w:hAnsi="Aptos"/>
          <w:bCs/>
          <w:sz w:val="22"/>
          <w:szCs w:val="22"/>
        </w:rPr>
        <w:br w:type="page"/>
      </w:r>
    </w:p>
    <w:p w14:paraId="7734244F" w14:textId="77777777" w:rsidR="00623AF8" w:rsidRPr="0010091C" w:rsidRDefault="00623AF8" w:rsidP="00623AF8">
      <w:pPr>
        <w:spacing w:after="120"/>
        <w:jc w:val="both"/>
        <w:rPr>
          <w:rFonts w:ascii="Aptos" w:hAnsi="Aptos"/>
          <w:bCs/>
          <w:iCs/>
          <w:sz w:val="22"/>
          <w:szCs w:val="22"/>
        </w:rPr>
      </w:pPr>
    </w:p>
    <w:p w14:paraId="2661DD44" w14:textId="77777777" w:rsidR="00623AF8" w:rsidRDefault="00623AF8" w:rsidP="00623AF8">
      <w:pPr>
        <w:pStyle w:val="berschrift1"/>
        <w:ind w:left="720"/>
        <w:rPr>
          <w:rFonts w:ascii="Aptos" w:hAnsi="Aptos"/>
        </w:rPr>
      </w:pPr>
    </w:p>
    <w:p w14:paraId="13724935" w14:textId="77777777" w:rsidR="00623AF8" w:rsidRPr="00CD3D28" w:rsidRDefault="00623AF8" w:rsidP="00623AF8">
      <w:pPr>
        <w:pStyle w:val="berschrift1"/>
        <w:rPr>
          <w:rFonts w:ascii="Aptos" w:hAnsi="Aptos"/>
        </w:rPr>
      </w:pPr>
      <w:bookmarkStart w:id="487" w:name="_Toc170142554"/>
      <w:bookmarkStart w:id="488" w:name="_Toc170983825"/>
      <w:r w:rsidRPr="00CD3D28">
        <w:rPr>
          <w:rFonts w:ascii="Aptos" w:hAnsi="Aptos"/>
        </w:rPr>
        <w:t>Beschäftigungskriterien für Just-Transition-Förderungen</w:t>
      </w:r>
      <w:bookmarkEnd w:id="487"/>
      <w:bookmarkEnd w:id="488"/>
    </w:p>
    <w:p w14:paraId="226F1F04"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211B3956" w14:textId="77777777" w:rsidTr="00875DD0">
        <w:tc>
          <w:tcPr>
            <w:tcW w:w="9060" w:type="dxa"/>
            <w:shd w:val="clear" w:color="auto" w:fill="D9D9D9" w:themeFill="background1" w:themeFillShade="D9"/>
          </w:tcPr>
          <w:p w14:paraId="1C05AF1A"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 xml:space="preserve">Frage </w:t>
            </w:r>
          </w:p>
        </w:tc>
      </w:tr>
      <w:tr w:rsidR="00623AF8" w:rsidRPr="00CD3D28" w14:paraId="5FE74F99" w14:textId="77777777" w:rsidTr="00875DD0">
        <w:tc>
          <w:tcPr>
            <w:tcW w:w="9060" w:type="dxa"/>
          </w:tcPr>
          <w:p w14:paraId="2C735742" w14:textId="77777777" w:rsidR="00623AF8" w:rsidRPr="00CD3D28" w:rsidRDefault="00623AF8" w:rsidP="00875DD0">
            <w:pPr>
              <w:spacing w:before="120" w:after="120"/>
              <w:jc w:val="both"/>
              <w:rPr>
                <w:rFonts w:ascii="Aptos" w:hAnsi="Aptos"/>
                <w:sz w:val="22"/>
                <w:szCs w:val="22"/>
              </w:rPr>
            </w:pPr>
            <w:r w:rsidRPr="00FB37D8">
              <w:rPr>
                <w:rFonts w:ascii="Aptos" w:hAnsi="Aptos"/>
                <w:sz w:val="22"/>
                <w:szCs w:val="22"/>
              </w:rPr>
              <w:t xml:space="preserve">Mit dem Aufkommen des Just-Transition-Fonds steht die EU vor der Herausforderung, eine gerechte und nachhaltige Transformation ihrer Wirtschaft zu gewährleisten. Dabei ist es essenziell, Beschäftigungskriterien einzuführen, die sicherstellen, dass die Fördermittel gezielt dort eingesetzt werden, wo sie am dringendsten benötigt werden. Diese Kriterien sollten sowohl die Schaffung neuer Arbeitsplätze als auch die Umschulung und Unterstützung von Arbeitnehmer:innen, insbesondere in Regionen und Sektoren, die vom Strukturwandel betroffen sind. </w:t>
            </w:r>
            <w:r w:rsidRPr="00FB37D8">
              <w:rPr>
                <w:rFonts w:ascii="Aptos" w:hAnsi="Aptos"/>
                <w:b/>
                <w:bCs/>
                <w:sz w:val="22"/>
                <w:szCs w:val="22"/>
              </w:rPr>
              <w:t>Inwiefern planen Sie, Auszahlungen aus dem Just-Transition-Fonds mit dem Joberhalt in den Betrieben zu verbinden?</w:t>
            </w:r>
          </w:p>
        </w:tc>
      </w:tr>
      <w:tr w:rsidR="00623AF8" w:rsidRPr="00CD3D28" w14:paraId="4C25B56B" w14:textId="77777777" w:rsidTr="00875DD0">
        <w:tc>
          <w:tcPr>
            <w:tcW w:w="9060" w:type="dxa"/>
            <w:shd w:val="clear" w:color="auto" w:fill="D9D9D9" w:themeFill="background1" w:themeFillShade="D9"/>
          </w:tcPr>
          <w:p w14:paraId="47E58B81"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6C486DF0" w14:textId="77777777" w:rsidTr="00875DD0">
        <w:tc>
          <w:tcPr>
            <w:tcW w:w="9060" w:type="dxa"/>
          </w:tcPr>
          <w:p w14:paraId="5DADB6BE" w14:textId="77777777" w:rsidR="00623AF8" w:rsidRPr="00CD3D28" w:rsidRDefault="00623AF8" w:rsidP="00875DD0">
            <w:pPr>
              <w:spacing w:before="120" w:after="120"/>
              <w:jc w:val="both"/>
              <w:rPr>
                <w:rFonts w:ascii="Aptos" w:hAnsi="Aptos"/>
                <w:sz w:val="22"/>
                <w:szCs w:val="22"/>
              </w:rPr>
            </w:pPr>
            <w:r>
              <w:rPr>
                <w:rFonts w:ascii="Aptos" w:hAnsi="Aptos"/>
                <w:sz w:val="22"/>
                <w:szCs w:val="22"/>
              </w:rPr>
              <w:t>-</w:t>
            </w:r>
          </w:p>
        </w:tc>
      </w:tr>
    </w:tbl>
    <w:p w14:paraId="31AE8500"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D4DBFE0" w14:textId="77777777" w:rsidTr="00875DD0">
        <w:tc>
          <w:tcPr>
            <w:tcW w:w="9060" w:type="dxa"/>
            <w:tcBorders>
              <w:top w:val="nil"/>
              <w:left w:val="nil"/>
              <w:bottom w:val="nil"/>
              <w:right w:val="nil"/>
            </w:tcBorders>
            <w:shd w:val="clear" w:color="auto" w:fill="D9D9D9" w:themeFill="background1" w:themeFillShade="D9"/>
          </w:tcPr>
          <w:p w14:paraId="0F3131BC" w14:textId="77777777" w:rsidR="00623AF8" w:rsidRDefault="00623AF8" w:rsidP="00875DD0">
            <w:pPr>
              <w:spacing w:before="100" w:beforeAutospacing="1" w:after="100" w:afterAutospacing="1"/>
              <w:jc w:val="both"/>
              <w:rPr>
                <w:rFonts w:ascii="Aptos" w:hAnsi="Aptos"/>
                <w:b/>
                <w:iCs/>
                <w:sz w:val="22"/>
                <w:szCs w:val="22"/>
                <w:lang w:val="en-GB"/>
              </w:rPr>
            </w:pPr>
            <w:r w:rsidRPr="005A018F">
              <w:rPr>
                <w:rFonts w:ascii="Aptos" w:hAnsi="Aptos"/>
                <w:b/>
                <w:bCs/>
                <w:sz w:val="22"/>
                <w:szCs w:val="22"/>
              </w:rPr>
              <w:t>Hintergrund</w:t>
            </w:r>
          </w:p>
        </w:tc>
      </w:tr>
    </w:tbl>
    <w:p w14:paraId="5AC6F89F" w14:textId="77777777" w:rsidR="00623AF8" w:rsidRPr="00734EF6" w:rsidRDefault="00623AF8" w:rsidP="00623AF8">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Der</w:t>
      </w:r>
      <w:r w:rsidRPr="00734EF6">
        <w:rPr>
          <w:rFonts w:ascii="Aptos" w:eastAsia="Times New Roman" w:hAnsi="Aptos" w:cs="Times New Roman"/>
          <w:sz w:val="22"/>
          <w:szCs w:val="22"/>
          <w:lang w:eastAsia="de-AT"/>
        </w:rPr>
        <w:t xml:space="preserve"> Just-Transition-Fonds zielt darauf ab, die sozioökonomischen Auswirkungen des Übergangs zu einer kohlenstoffarmen Wirtschaft zu mildern und sicherzustellen, dass Regionen und Sektoren, die </w:t>
      </w:r>
      <w:r>
        <w:rPr>
          <w:rFonts w:ascii="Aptos" w:eastAsia="Times New Roman" w:hAnsi="Aptos" w:cs="Times New Roman"/>
          <w:sz w:val="22"/>
          <w:szCs w:val="22"/>
          <w:lang w:eastAsia="de-AT"/>
        </w:rPr>
        <w:t>Großteils</w:t>
      </w:r>
      <w:r w:rsidRPr="00734EF6">
        <w:rPr>
          <w:rFonts w:ascii="Aptos" w:eastAsia="Times New Roman" w:hAnsi="Aptos" w:cs="Times New Roman"/>
          <w:sz w:val="22"/>
          <w:szCs w:val="22"/>
          <w:lang w:eastAsia="de-AT"/>
        </w:rPr>
        <w:t xml:space="preserve"> von fossilen Brennstoffen abhängig sind, angemessen unterstützt werden. Ein zentrales Anliegen ist es, Beschäftigungskriterien einzuführen, die gewährleisten, dass die Fördermittel gezielt dort eingesetzt werden, wo sie am dringendsten benötigt werden. Dies umfasst die Schaffung neuer Arbeitsplätze sowie die </w:t>
      </w:r>
      <w:r>
        <w:rPr>
          <w:rFonts w:ascii="Aptos" w:eastAsia="Times New Roman" w:hAnsi="Aptos" w:cs="Times New Roman"/>
          <w:sz w:val="22"/>
          <w:szCs w:val="22"/>
          <w:lang w:eastAsia="de-AT"/>
        </w:rPr>
        <w:t>S</w:t>
      </w:r>
      <w:r w:rsidRPr="00734EF6">
        <w:rPr>
          <w:rFonts w:ascii="Aptos" w:eastAsia="Times New Roman" w:hAnsi="Aptos" w:cs="Times New Roman"/>
          <w:sz w:val="22"/>
          <w:szCs w:val="22"/>
          <w:lang w:eastAsia="de-AT"/>
        </w:rPr>
        <w:t>chulung und Unterstützung von Arbeitnehmer, insbesondere in vom Strukturwandel betroffenen Sektoren wie der Energie-, Kohle- und Automobilindustrie.</w:t>
      </w:r>
      <w:r>
        <w:rPr>
          <w:rFonts w:ascii="Aptos" w:eastAsia="Times New Roman" w:hAnsi="Aptos" w:cs="Times New Roman"/>
          <w:sz w:val="22"/>
          <w:szCs w:val="22"/>
          <w:lang w:eastAsia="de-AT"/>
        </w:rPr>
        <w:t xml:space="preserve"> Die</w:t>
      </w:r>
      <w:r w:rsidRPr="00734EF6">
        <w:rPr>
          <w:rFonts w:ascii="Aptos" w:eastAsia="Times New Roman" w:hAnsi="Aptos" w:cs="Times New Roman"/>
          <w:sz w:val="22"/>
          <w:szCs w:val="22"/>
          <w:lang w:eastAsia="de-AT"/>
        </w:rPr>
        <w:t xml:space="preserve"> Mittel des Fonds</w:t>
      </w:r>
      <w:r>
        <w:rPr>
          <w:rFonts w:ascii="Aptos" w:eastAsia="Times New Roman" w:hAnsi="Aptos" w:cs="Times New Roman"/>
          <w:sz w:val="22"/>
          <w:szCs w:val="22"/>
          <w:lang w:eastAsia="de-AT"/>
        </w:rPr>
        <w:t xml:space="preserve"> haben das Potenzial</w:t>
      </w:r>
      <w:r w:rsidRPr="00734EF6">
        <w:rPr>
          <w:rFonts w:ascii="Aptos" w:eastAsia="Times New Roman" w:hAnsi="Aptos" w:cs="Times New Roman"/>
          <w:sz w:val="22"/>
          <w:szCs w:val="22"/>
          <w:lang w:eastAsia="de-AT"/>
        </w:rPr>
        <w:t xml:space="preserve"> langfristige finanzielle Unterstützung </w:t>
      </w:r>
      <w:r>
        <w:rPr>
          <w:rFonts w:ascii="Aptos" w:eastAsia="Times New Roman" w:hAnsi="Aptos" w:cs="Times New Roman"/>
          <w:sz w:val="22"/>
          <w:szCs w:val="22"/>
          <w:lang w:eastAsia="de-AT"/>
        </w:rPr>
        <w:t xml:space="preserve">zu </w:t>
      </w:r>
      <w:r w:rsidRPr="00734EF6">
        <w:rPr>
          <w:rFonts w:ascii="Aptos" w:eastAsia="Times New Roman" w:hAnsi="Aptos" w:cs="Times New Roman"/>
          <w:sz w:val="22"/>
          <w:szCs w:val="22"/>
          <w:lang w:eastAsia="de-AT"/>
        </w:rPr>
        <w:t>bieten, nachhaltige Beschäftigungsmöglichkeiten</w:t>
      </w:r>
      <w:r>
        <w:rPr>
          <w:rFonts w:ascii="Aptos" w:eastAsia="Times New Roman" w:hAnsi="Aptos" w:cs="Times New Roman"/>
          <w:sz w:val="22"/>
          <w:szCs w:val="22"/>
          <w:lang w:eastAsia="de-AT"/>
        </w:rPr>
        <w:t xml:space="preserve"> zu</w:t>
      </w:r>
      <w:r w:rsidRPr="00734EF6">
        <w:rPr>
          <w:rFonts w:ascii="Aptos" w:eastAsia="Times New Roman" w:hAnsi="Aptos" w:cs="Times New Roman"/>
          <w:sz w:val="22"/>
          <w:szCs w:val="22"/>
          <w:lang w:eastAsia="de-AT"/>
        </w:rPr>
        <w:t xml:space="preserve"> schaffen und die Resilienz der betroffenen Regionen</w:t>
      </w:r>
      <w:r>
        <w:rPr>
          <w:rFonts w:ascii="Aptos" w:eastAsia="Times New Roman" w:hAnsi="Aptos" w:cs="Times New Roman"/>
          <w:sz w:val="22"/>
          <w:szCs w:val="22"/>
          <w:lang w:eastAsia="de-AT"/>
        </w:rPr>
        <w:t xml:space="preserve"> zu</w:t>
      </w:r>
      <w:r w:rsidRPr="00734EF6">
        <w:rPr>
          <w:rFonts w:ascii="Aptos" w:eastAsia="Times New Roman" w:hAnsi="Aptos" w:cs="Times New Roman"/>
          <w:sz w:val="22"/>
          <w:szCs w:val="22"/>
          <w:lang w:eastAsia="de-AT"/>
        </w:rPr>
        <w:t xml:space="preserve"> stärken.</w:t>
      </w:r>
    </w:p>
    <w:p w14:paraId="1E3CDC88" w14:textId="77777777" w:rsidR="00623AF8" w:rsidRPr="00EE2586" w:rsidRDefault="00623AF8" w:rsidP="00623AF8">
      <w:pPr>
        <w:spacing w:before="100" w:beforeAutospacing="1" w:after="100" w:afterAutospacing="1"/>
        <w:jc w:val="both"/>
        <w:rPr>
          <w:rFonts w:ascii="Aptos" w:eastAsia="Times New Roman" w:hAnsi="Aptos" w:cs="Times New Roman"/>
          <w:sz w:val="22"/>
          <w:szCs w:val="22"/>
          <w:lang w:eastAsia="de-AT"/>
        </w:rPr>
      </w:pPr>
      <w:r w:rsidRPr="00734EF6">
        <w:rPr>
          <w:rFonts w:ascii="Aptos" w:eastAsia="Times New Roman" w:hAnsi="Aptos" w:cs="Times New Roman"/>
          <w:sz w:val="22"/>
          <w:szCs w:val="22"/>
          <w:lang w:eastAsia="de-AT"/>
        </w:rPr>
        <w:t xml:space="preserve">Um sicherzustellen, dass Just-Transition-Fonds effektiv zur Sicherung von Arbeitsplätzen </w:t>
      </w:r>
      <w:r>
        <w:rPr>
          <w:rFonts w:ascii="Aptos" w:eastAsia="Times New Roman" w:hAnsi="Aptos" w:cs="Times New Roman"/>
          <w:sz w:val="22"/>
          <w:szCs w:val="22"/>
          <w:lang w:eastAsia="de-AT"/>
        </w:rPr>
        <w:t>beitragen</w:t>
      </w:r>
      <w:r w:rsidRPr="00734EF6">
        <w:rPr>
          <w:rFonts w:ascii="Aptos" w:eastAsia="Times New Roman" w:hAnsi="Aptos" w:cs="Times New Roman"/>
          <w:sz w:val="22"/>
          <w:szCs w:val="22"/>
          <w:lang w:eastAsia="de-AT"/>
        </w:rPr>
        <w:t xml:space="preserve">, ist geplant, die Auszahlungen </w:t>
      </w:r>
      <w:r>
        <w:rPr>
          <w:rFonts w:ascii="Aptos" w:eastAsia="Times New Roman" w:hAnsi="Aptos" w:cs="Times New Roman"/>
          <w:sz w:val="22"/>
          <w:szCs w:val="22"/>
          <w:lang w:eastAsia="de-AT"/>
        </w:rPr>
        <w:t>mit</w:t>
      </w:r>
      <w:r w:rsidRPr="00734EF6">
        <w:rPr>
          <w:rFonts w:ascii="Aptos" w:eastAsia="Times New Roman" w:hAnsi="Aptos" w:cs="Times New Roman"/>
          <w:sz w:val="22"/>
          <w:szCs w:val="22"/>
          <w:lang w:eastAsia="de-AT"/>
        </w:rPr>
        <w:t xml:space="preserve"> Beschäftigungskriterien zu </w:t>
      </w:r>
      <w:r>
        <w:rPr>
          <w:rFonts w:ascii="Aptos" w:eastAsia="Times New Roman" w:hAnsi="Aptos" w:cs="Times New Roman"/>
          <w:sz w:val="22"/>
          <w:szCs w:val="22"/>
          <w:lang w:eastAsia="de-AT"/>
        </w:rPr>
        <w:t>verbinden</w:t>
      </w:r>
      <w:r w:rsidRPr="00734EF6">
        <w:rPr>
          <w:rFonts w:ascii="Aptos" w:eastAsia="Times New Roman" w:hAnsi="Aptos" w:cs="Times New Roman"/>
          <w:sz w:val="22"/>
          <w:szCs w:val="22"/>
          <w:lang w:eastAsia="de-AT"/>
        </w:rPr>
        <w:t>. Unternehmen, die Mittel aus dem Fonds erhalten, müssen nachweisen, dass sie Maßnahmen ergreifen, um Arbeitsplätze zu erhalten und neue Beschäftigungsmöglichkeiten zu schaffen</w:t>
      </w:r>
      <w:r w:rsidRPr="00A923E9">
        <w:rPr>
          <w:rFonts w:ascii="Aptos" w:eastAsia="Times New Roman" w:hAnsi="Aptos" w:cs="Times New Roman"/>
          <w:sz w:val="22"/>
          <w:szCs w:val="22"/>
          <w:lang w:eastAsia="de-AT"/>
        </w:rPr>
        <w:t xml:space="preserve">, wie es beispielsweise die Richtlinie zur </w:t>
      </w:r>
      <w:r w:rsidRPr="00A923E9">
        <w:rPr>
          <w:rFonts w:ascii="Aptos" w:hAnsi="Aptos"/>
          <w:sz w:val="22"/>
          <w:szCs w:val="22"/>
        </w:rPr>
        <w:t>Qualifizierungs- und Beratungsförderung des Landes Kärnten</w:t>
      </w:r>
      <w:r w:rsidRPr="00A923E9">
        <w:rPr>
          <w:rFonts w:ascii="Aptos" w:hAnsi="Aptos"/>
          <w:sz w:val="28"/>
          <w:szCs w:val="28"/>
        </w:rPr>
        <w:t xml:space="preserve"> </w:t>
      </w:r>
      <w:r>
        <w:rPr>
          <w:rFonts w:ascii="Aptos" w:eastAsia="Times New Roman" w:hAnsi="Aptos" w:cs="Times New Roman"/>
          <w:sz w:val="22"/>
          <w:szCs w:val="22"/>
          <w:lang w:eastAsia="de-AT"/>
        </w:rPr>
        <w:t>vorschlägt</w:t>
      </w:r>
      <w:r w:rsidRPr="00734EF6">
        <w:rPr>
          <w:rFonts w:ascii="Aptos" w:eastAsia="Times New Roman" w:hAnsi="Aptos" w:cs="Times New Roman"/>
          <w:sz w:val="22"/>
          <w:szCs w:val="22"/>
          <w:lang w:eastAsia="de-AT"/>
        </w:rPr>
        <w:t>.</w:t>
      </w:r>
      <w:r>
        <w:rPr>
          <w:rStyle w:val="Funotenzeichen"/>
          <w:rFonts w:ascii="Aptos" w:eastAsia="Times New Roman" w:hAnsi="Aptos"/>
          <w:sz w:val="22"/>
          <w:szCs w:val="22"/>
          <w:lang w:eastAsia="de-AT"/>
        </w:rPr>
        <w:footnoteReference w:id="25"/>
      </w:r>
      <w:r w:rsidRPr="00734EF6">
        <w:rPr>
          <w:rFonts w:ascii="Aptos" w:eastAsia="Times New Roman" w:hAnsi="Aptos" w:cs="Times New Roman"/>
          <w:sz w:val="22"/>
          <w:szCs w:val="22"/>
          <w:lang w:eastAsia="de-AT"/>
        </w:rPr>
        <w:t xml:space="preserve"> </w:t>
      </w:r>
      <w:r>
        <w:rPr>
          <w:rFonts w:ascii="Aptos" w:eastAsia="Times New Roman" w:hAnsi="Aptos" w:cs="Times New Roman"/>
          <w:sz w:val="22"/>
          <w:szCs w:val="22"/>
          <w:lang w:eastAsia="de-AT"/>
        </w:rPr>
        <w:t xml:space="preserve">Weitere </w:t>
      </w:r>
      <w:r w:rsidRPr="00734EF6">
        <w:rPr>
          <w:rFonts w:ascii="Aptos" w:eastAsia="Times New Roman" w:hAnsi="Aptos" w:cs="Times New Roman"/>
          <w:sz w:val="22"/>
          <w:szCs w:val="22"/>
          <w:lang w:eastAsia="de-AT"/>
        </w:rPr>
        <w:t>Maßnahmen sollen nicht nur den Erhalt von Arbeitsplätzen unterstützen, sondern auch die soziale Akzeptanz für den notwendigen ökologischen Wandel erhöhen und einen reibungslosen Übergang zu einer nachhaltigen Wirtschaft ermöglichen.</w:t>
      </w:r>
      <w:r w:rsidRPr="00CD3D28">
        <w:rPr>
          <w:rFonts w:ascii="Aptos" w:hAnsi="Aptos"/>
          <w:bCs/>
          <w:sz w:val="22"/>
          <w:szCs w:val="22"/>
        </w:rPr>
        <w:br w:type="page"/>
      </w:r>
    </w:p>
    <w:p w14:paraId="1FE50F0C" w14:textId="77777777" w:rsidR="00623AF8" w:rsidRPr="00CD3D28" w:rsidRDefault="00623AF8" w:rsidP="00623AF8">
      <w:pPr>
        <w:spacing w:after="120"/>
        <w:jc w:val="both"/>
        <w:rPr>
          <w:rFonts w:ascii="Aptos" w:hAnsi="Aptos"/>
          <w:bCs/>
          <w:iCs/>
          <w:sz w:val="22"/>
          <w:szCs w:val="22"/>
        </w:rPr>
      </w:pPr>
    </w:p>
    <w:p w14:paraId="317EF755" w14:textId="77777777" w:rsidR="00623AF8" w:rsidRPr="00CD3D28" w:rsidRDefault="00623AF8" w:rsidP="00623AF8">
      <w:pPr>
        <w:pStyle w:val="berschrift1"/>
        <w:ind w:left="720"/>
        <w:rPr>
          <w:rFonts w:ascii="Aptos" w:hAnsi="Aptos"/>
        </w:rPr>
      </w:pPr>
    </w:p>
    <w:p w14:paraId="6EE345A7" w14:textId="77777777" w:rsidR="00623AF8" w:rsidRPr="00CD3D28" w:rsidRDefault="00623AF8" w:rsidP="00623AF8">
      <w:pPr>
        <w:pStyle w:val="berschrift1"/>
        <w:rPr>
          <w:rFonts w:ascii="Aptos" w:hAnsi="Aptos"/>
        </w:rPr>
      </w:pPr>
      <w:bookmarkStart w:id="489" w:name="_Toc170142555"/>
      <w:bookmarkStart w:id="490" w:name="_Toc170983826"/>
      <w:r w:rsidRPr="00CD3D28">
        <w:rPr>
          <w:rFonts w:ascii="Aptos" w:hAnsi="Aptos"/>
        </w:rPr>
        <w:t>Umschulungsprojekte im Sinne des Just-Transition-Mechanismus</w:t>
      </w:r>
      <w:bookmarkEnd w:id="489"/>
      <w:bookmarkEnd w:id="490"/>
    </w:p>
    <w:p w14:paraId="1FF40657"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0022036C" w14:textId="77777777" w:rsidTr="00875DD0">
        <w:tc>
          <w:tcPr>
            <w:tcW w:w="9060" w:type="dxa"/>
            <w:shd w:val="clear" w:color="auto" w:fill="D9D9D9" w:themeFill="background1" w:themeFillShade="D9"/>
          </w:tcPr>
          <w:p w14:paraId="6FA3F605"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33DDF89E" w14:textId="77777777" w:rsidTr="00875DD0">
        <w:tc>
          <w:tcPr>
            <w:tcW w:w="9060" w:type="dxa"/>
          </w:tcPr>
          <w:p w14:paraId="33EA0566" w14:textId="77777777" w:rsidR="00623AF8" w:rsidRPr="00CD3D28" w:rsidRDefault="00623AF8" w:rsidP="00875DD0">
            <w:pPr>
              <w:spacing w:before="120" w:after="120"/>
              <w:jc w:val="both"/>
              <w:rPr>
                <w:rFonts w:ascii="Aptos" w:hAnsi="Aptos"/>
                <w:sz w:val="22"/>
                <w:szCs w:val="22"/>
              </w:rPr>
            </w:pPr>
            <w:r w:rsidRPr="00FB37D8">
              <w:rPr>
                <w:rFonts w:ascii="Aptos" w:hAnsi="Aptos"/>
                <w:sz w:val="22"/>
                <w:szCs w:val="22"/>
              </w:rPr>
              <w:t>Der Just-Transition-Mechanismus zielt darauf ab, einen gerechten und inklusiven Übergang zu einer kohlenstoffarmen Wirtschaft zu gewährleisten, indem sie sowohl Arbeitsplätze als auch Gemeinschaften unterstützt, die von traditionellen, kohlenstoffintensiven Industrien abhängig sind, und gleichzeitig den Übergang zu nachhaltigen, grünen Arbeitsplätzen fördert. Im Rahmen dieses Konzepts werden Umschulungsprojekte und Programme entwickelt, um betroffene Arbeitskräfte auf neue Berufe und Beschäftigungsmöglichkeiten vorzubereiten</w:t>
            </w:r>
            <w:r>
              <w:rPr>
                <w:rFonts w:ascii="Aptos" w:hAnsi="Aptos"/>
                <w:sz w:val="22"/>
                <w:szCs w:val="22"/>
              </w:rPr>
              <w:t>.</w:t>
            </w:r>
            <w:r w:rsidRPr="00FB37D8">
              <w:rPr>
                <w:rFonts w:ascii="Aptos" w:hAnsi="Aptos"/>
                <w:sz w:val="22"/>
                <w:szCs w:val="22"/>
              </w:rPr>
              <w:t xml:space="preserve"> </w:t>
            </w:r>
            <w:r w:rsidRPr="00FB37D8">
              <w:rPr>
                <w:rFonts w:ascii="Aptos" w:hAnsi="Aptos"/>
                <w:b/>
                <w:bCs/>
                <w:sz w:val="22"/>
                <w:szCs w:val="22"/>
              </w:rPr>
              <w:t>Welche Umschulungsprojekte planen Sie und wo sehen Sie Notwendigkeiten, um die Mitgliedstaaten zu unterstützen?</w:t>
            </w:r>
          </w:p>
        </w:tc>
      </w:tr>
      <w:tr w:rsidR="00623AF8" w:rsidRPr="00CD3D28" w14:paraId="028012F6" w14:textId="77777777" w:rsidTr="00875DD0">
        <w:tc>
          <w:tcPr>
            <w:tcW w:w="9060" w:type="dxa"/>
            <w:shd w:val="clear" w:color="auto" w:fill="D9D9D9" w:themeFill="background1" w:themeFillShade="D9"/>
          </w:tcPr>
          <w:p w14:paraId="6597901A"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479AB6D6" w14:textId="77777777" w:rsidTr="00875DD0">
        <w:tc>
          <w:tcPr>
            <w:tcW w:w="9060" w:type="dxa"/>
          </w:tcPr>
          <w:p w14:paraId="06640EDC" w14:textId="77777777" w:rsidR="00623AF8" w:rsidRPr="00E77696" w:rsidRDefault="00623AF8" w:rsidP="00F63BE8">
            <w:pPr>
              <w:pStyle w:val="Listenabsatz"/>
              <w:numPr>
                <w:ilvl w:val="0"/>
                <w:numId w:val="71"/>
              </w:numPr>
              <w:spacing w:before="120" w:after="120"/>
              <w:jc w:val="both"/>
              <w:rPr>
                <w:rFonts w:ascii="Aptos" w:hAnsi="Aptos"/>
                <w:sz w:val="22"/>
                <w:szCs w:val="22"/>
              </w:rPr>
            </w:pPr>
            <w:r w:rsidRPr="00E77696">
              <w:rPr>
                <w:rFonts w:ascii="Aptos" w:hAnsi="Aptos"/>
                <w:sz w:val="22"/>
                <w:szCs w:val="22"/>
              </w:rPr>
              <w:t>Was sind Ihre geplanten Maßnahmen, um sicherzustellen, dass die Transition durch Umschulungen keine Verschlechterung der Arbeitsplätze verursacht?</w:t>
            </w:r>
          </w:p>
        </w:tc>
      </w:tr>
    </w:tbl>
    <w:p w14:paraId="156500F5"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1FBA140" w14:textId="77777777" w:rsidTr="00875DD0">
        <w:tc>
          <w:tcPr>
            <w:tcW w:w="9060" w:type="dxa"/>
            <w:tcBorders>
              <w:top w:val="nil"/>
              <w:left w:val="nil"/>
              <w:bottom w:val="nil"/>
              <w:right w:val="nil"/>
            </w:tcBorders>
            <w:shd w:val="clear" w:color="auto" w:fill="D9D9D9" w:themeFill="background1" w:themeFillShade="D9"/>
          </w:tcPr>
          <w:p w14:paraId="5EE27DA9"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1D65DA76" w14:textId="77777777" w:rsidR="00623AF8" w:rsidRPr="008254C1" w:rsidRDefault="00623AF8" w:rsidP="00623AF8">
      <w:pPr>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Der</w:t>
      </w:r>
      <w:r w:rsidRPr="00734EF6">
        <w:rPr>
          <w:rFonts w:ascii="Aptos" w:eastAsia="Times New Roman" w:hAnsi="Aptos" w:cs="Times New Roman"/>
          <w:sz w:val="22"/>
          <w:szCs w:val="22"/>
          <w:lang w:eastAsia="de-AT"/>
        </w:rPr>
        <w:t xml:space="preserve"> Just-Transition-Fonds zielt darauf ab, die sozioökonomischen Auswirkungen des Übergangs zu einer kohlenstoffarmen Wirtschaft zu mildern und sicherzustellen, dass Regionen und Sektoren, die </w:t>
      </w:r>
      <w:r>
        <w:rPr>
          <w:rFonts w:ascii="Aptos" w:eastAsia="Times New Roman" w:hAnsi="Aptos" w:cs="Times New Roman"/>
          <w:sz w:val="22"/>
          <w:szCs w:val="22"/>
          <w:lang w:eastAsia="de-AT"/>
        </w:rPr>
        <w:t>Großteils</w:t>
      </w:r>
      <w:r w:rsidRPr="00734EF6">
        <w:rPr>
          <w:rFonts w:ascii="Aptos" w:eastAsia="Times New Roman" w:hAnsi="Aptos" w:cs="Times New Roman"/>
          <w:sz w:val="22"/>
          <w:szCs w:val="22"/>
          <w:lang w:eastAsia="de-AT"/>
        </w:rPr>
        <w:t xml:space="preserve"> von fossilen Brennstoffen abhängig sind, angemessen unterstützt werden. Ein zentrales Anliegen ist es, Beschäftigungskriterien einzuführen, die gewährleisten, dass die Fördermittel gezielt dort eingesetzt werden, wo sie am dringendsten benötigt werden. </w:t>
      </w:r>
      <w:r w:rsidRPr="008254C1">
        <w:rPr>
          <w:rFonts w:ascii="Aptos" w:hAnsi="Aptos"/>
          <w:sz w:val="22"/>
          <w:szCs w:val="22"/>
          <w:lang w:eastAsia="de-AT"/>
        </w:rPr>
        <w:t xml:space="preserve">Ein besonderer Fokus </w:t>
      </w:r>
      <w:r>
        <w:rPr>
          <w:rFonts w:ascii="Aptos" w:hAnsi="Aptos"/>
          <w:sz w:val="22"/>
          <w:szCs w:val="22"/>
          <w:lang w:eastAsia="de-AT"/>
        </w:rPr>
        <w:t xml:space="preserve">liegt </w:t>
      </w:r>
      <w:r w:rsidRPr="008254C1">
        <w:rPr>
          <w:rFonts w:ascii="Aptos" w:hAnsi="Aptos"/>
          <w:sz w:val="22"/>
          <w:szCs w:val="22"/>
          <w:lang w:eastAsia="de-AT"/>
        </w:rPr>
        <w:t>auf der Unterstützung von Umschulungsprojekten und Programmen, die betroffene Arbeitskräfte auf neue Berufe und Beschäftigungsmöglichkeiten vorbereiten. Diese Umschulungsinitiativen umfassen berufliche Weiterbildung, Ausbildungsprogramme und finanzielle Unterstützung. Die Herausforderung besteht jedoch darin, sicherzustellen, dass diese Umschulungsprojekte ausreichend finanziert und effektiv durchgeführt werden, um den spezifischen Bedürfnissen der betroffenen Arbeitnehmer</w:t>
      </w:r>
      <w:r>
        <w:rPr>
          <w:rFonts w:ascii="Aptos" w:hAnsi="Aptos"/>
          <w:sz w:val="22"/>
          <w:szCs w:val="22"/>
          <w:lang w:eastAsia="de-AT"/>
        </w:rPr>
        <w:t>:innen</w:t>
      </w:r>
      <w:r w:rsidRPr="008254C1">
        <w:rPr>
          <w:rFonts w:ascii="Aptos" w:hAnsi="Aptos"/>
          <w:sz w:val="22"/>
          <w:szCs w:val="22"/>
          <w:lang w:eastAsia="de-AT"/>
        </w:rPr>
        <w:t xml:space="preserve"> gerecht zu werden.</w:t>
      </w:r>
    </w:p>
    <w:p w14:paraId="677A9BE9" w14:textId="77777777" w:rsidR="00623AF8" w:rsidRDefault="00623AF8" w:rsidP="00623AF8">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Aus Sicht der öffentlichen Wirtschaft, besteht in dem Bereich die</w:t>
      </w:r>
      <w:r w:rsidRPr="008254C1">
        <w:rPr>
          <w:rFonts w:ascii="Aptos" w:eastAsia="Times New Roman" w:hAnsi="Aptos" w:cs="Times New Roman"/>
          <w:sz w:val="22"/>
          <w:szCs w:val="22"/>
          <w:lang w:eastAsia="de-AT"/>
        </w:rPr>
        <w:t xml:space="preserve"> Notwendigkeit</w:t>
      </w:r>
      <w:r>
        <w:rPr>
          <w:rFonts w:ascii="Aptos" w:eastAsia="Times New Roman" w:hAnsi="Aptos" w:cs="Times New Roman"/>
          <w:sz w:val="22"/>
          <w:szCs w:val="22"/>
          <w:lang w:eastAsia="de-AT"/>
        </w:rPr>
        <w:t xml:space="preserve"> </w:t>
      </w:r>
      <w:r w:rsidRPr="008254C1">
        <w:rPr>
          <w:rFonts w:ascii="Aptos" w:eastAsia="Times New Roman" w:hAnsi="Aptos" w:cs="Times New Roman"/>
          <w:sz w:val="22"/>
          <w:szCs w:val="22"/>
          <w:lang w:eastAsia="de-AT"/>
        </w:rPr>
        <w:t xml:space="preserve">eng mit lokalen und regionalen Behörden, Bildungseinrichtungen und der Privatwirtschaft zusammenzuarbeiten, um sicherzustellen, dass die Umschulungsmaßnahmen zielgerichtet und praxisnah sind. </w:t>
      </w:r>
      <w:r>
        <w:rPr>
          <w:rFonts w:ascii="Aptos" w:eastAsia="Times New Roman" w:hAnsi="Aptos" w:cs="Times New Roman"/>
          <w:sz w:val="22"/>
          <w:szCs w:val="22"/>
          <w:lang w:eastAsia="de-AT"/>
        </w:rPr>
        <w:t>Dazu müssen</w:t>
      </w:r>
      <w:r w:rsidRPr="008254C1">
        <w:rPr>
          <w:rFonts w:ascii="Aptos" w:eastAsia="Times New Roman" w:hAnsi="Aptos" w:cs="Times New Roman"/>
          <w:sz w:val="22"/>
          <w:szCs w:val="22"/>
          <w:lang w:eastAsia="de-AT"/>
        </w:rPr>
        <w:t xml:space="preserve"> ausreichende finanzielle Mittel zur Verfügung stehen, um die Durchführung dieser Programme zu unterstützen und den Übergang zu erleichtern.</w:t>
      </w:r>
    </w:p>
    <w:p w14:paraId="65BC1894" w14:textId="77777777" w:rsidR="00623AF8" w:rsidRPr="00CD3D28" w:rsidRDefault="00623AF8" w:rsidP="00623AF8">
      <w:pPr>
        <w:rPr>
          <w:rFonts w:ascii="Aptos" w:hAnsi="Aptos"/>
          <w:bCs/>
          <w:sz w:val="22"/>
          <w:szCs w:val="22"/>
        </w:rPr>
      </w:pPr>
      <w:r w:rsidRPr="00CD3D28">
        <w:rPr>
          <w:rFonts w:ascii="Aptos" w:hAnsi="Aptos"/>
          <w:bCs/>
          <w:sz w:val="22"/>
          <w:szCs w:val="22"/>
        </w:rPr>
        <w:br w:type="page"/>
      </w:r>
    </w:p>
    <w:p w14:paraId="7C07C4EC" w14:textId="77777777" w:rsidR="00623AF8" w:rsidRPr="00CD3D28" w:rsidRDefault="00623AF8" w:rsidP="00623AF8">
      <w:pPr>
        <w:spacing w:after="120"/>
        <w:jc w:val="both"/>
        <w:rPr>
          <w:rFonts w:ascii="Aptos" w:hAnsi="Aptos"/>
          <w:bCs/>
          <w:iCs/>
          <w:sz w:val="22"/>
          <w:szCs w:val="22"/>
        </w:rPr>
      </w:pPr>
    </w:p>
    <w:p w14:paraId="511A85CC" w14:textId="77777777" w:rsidR="00623AF8" w:rsidRPr="00CD3D28" w:rsidRDefault="00623AF8" w:rsidP="00623AF8">
      <w:pPr>
        <w:pStyle w:val="berschrift1"/>
        <w:ind w:left="720"/>
        <w:rPr>
          <w:rFonts w:ascii="Aptos" w:hAnsi="Aptos"/>
        </w:rPr>
      </w:pPr>
    </w:p>
    <w:p w14:paraId="018BCAE4" w14:textId="77777777" w:rsidR="00623AF8" w:rsidRPr="00CD3D28" w:rsidRDefault="00623AF8" w:rsidP="00623AF8">
      <w:pPr>
        <w:pStyle w:val="berschrift1"/>
        <w:rPr>
          <w:rFonts w:ascii="Aptos" w:hAnsi="Aptos"/>
        </w:rPr>
      </w:pPr>
      <w:bookmarkStart w:id="491" w:name="_Toc170142556"/>
      <w:bookmarkStart w:id="492" w:name="_Toc170983827"/>
      <w:r>
        <w:rPr>
          <w:rFonts w:ascii="Aptos" w:hAnsi="Aptos"/>
        </w:rPr>
        <w:t>Qualität in der Angehörigenpflege</w:t>
      </w:r>
      <w:bookmarkEnd w:id="491"/>
      <w:bookmarkEnd w:id="492"/>
    </w:p>
    <w:p w14:paraId="6AF32FE4"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0F4115AE" w14:textId="77777777" w:rsidTr="00875DD0">
        <w:tc>
          <w:tcPr>
            <w:tcW w:w="9060" w:type="dxa"/>
            <w:shd w:val="clear" w:color="auto" w:fill="D9D9D9" w:themeFill="background1" w:themeFillShade="D9"/>
          </w:tcPr>
          <w:p w14:paraId="0E813E56"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69950F9E" w14:textId="77777777" w:rsidTr="00875DD0">
        <w:tc>
          <w:tcPr>
            <w:tcW w:w="9060" w:type="dxa"/>
          </w:tcPr>
          <w:p w14:paraId="4EE95CAC" w14:textId="77777777" w:rsidR="00623AF8" w:rsidRPr="00CD3D28" w:rsidRDefault="00623AF8" w:rsidP="00875DD0">
            <w:pPr>
              <w:spacing w:before="120" w:after="120"/>
              <w:jc w:val="both"/>
              <w:rPr>
                <w:rFonts w:ascii="Aptos" w:hAnsi="Aptos"/>
                <w:sz w:val="22"/>
                <w:szCs w:val="22"/>
              </w:rPr>
            </w:pPr>
            <w:r>
              <w:rPr>
                <w:rFonts w:ascii="Aptos" w:hAnsi="Aptos"/>
                <w:sz w:val="22"/>
                <w:szCs w:val="22"/>
              </w:rPr>
              <w:t>In vielen Familien werden notwendige Pflege- und Betreuungsdienste von Angehörigen erbracht. Der Fachkräftemangel im Pflege- und Betreuungssektor wird möglicherweise den Anteil pflegender Angehöriger gegenüber der formalen Pflege noch weiter erhöhen</w:t>
            </w:r>
            <w:r w:rsidRPr="00CD3D28">
              <w:rPr>
                <w:rFonts w:ascii="Aptos" w:hAnsi="Aptos"/>
                <w:sz w:val="22"/>
                <w:szCs w:val="22"/>
              </w:rPr>
              <w:t xml:space="preserve">. </w:t>
            </w:r>
            <w:r w:rsidRPr="00D8224C">
              <w:rPr>
                <w:rFonts w:ascii="Aptos" w:hAnsi="Aptos"/>
                <w:b/>
                <w:bCs/>
                <w:sz w:val="22"/>
                <w:szCs w:val="22"/>
              </w:rPr>
              <w:t xml:space="preserve">Inwieweit </w:t>
            </w:r>
            <w:r>
              <w:rPr>
                <w:rFonts w:ascii="Aptos" w:hAnsi="Aptos"/>
                <w:b/>
                <w:bCs/>
                <w:sz w:val="22"/>
                <w:szCs w:val="22"/>
              </w:rPr>
              <w:t>werden</w:t>
            </w:r>
            <w:r w:rsidRPr="00D8224C">
              <w:rPr>
                <w:rFonts w:ascii="Aptos" w:hAnsi="Aptos"/>
                <w:b/>
                <w:bCs/>
                <w:sz w:val="22"/>
                <w:szCs w:val="22"/>
              </w:rPr>
              <w:t xml:space="preserve"> Sie nationale</w:t>
            </w:r>
            <w:r>
              <w:rPr>
                <w:rFonts w:ascii="Aptos" w:hAnsi="Aptos"/>
                <w:b/>
                <w:bCs/>
                <w:sz w:val="22"/>
                <w:szCs w:val="22"/>
              </w:rPr>
              <w:t xml:space="preserve"> und </w:t>
            </w:r>
            <w:r w:rsidRPr="00D8224C">
              <w:rPr>
                <w:rFonts w:ascii="Aptos" w:hAnsi="Aptos"/>
                <w:b/>
                <w:bCs/>
                <w:sz w:val="22"/>
                <w:szCs w:val="22"/>
              </w:rPr>
              <w:t>kommunale Initiativen</w:t>
            </w:r>
            <w:r>
              <w:rPr>
                <w:rFonts w:ascii="Aptos" w:hAnsi="Aptos"/>
                <w:b/>
                <w:bCs/>
                <w:sz w:val="22"/>
                <w:szCs w:val="22"/>
              </w:rPr>
              <w:t xml:space="preserve"> unterstützen</w:t>
            </w:r>
            <w:r w:rsidRPr="00D8224C">
              <w:rPr>
                <w:rFonts w:ascii="Aptos" w:hAnsi="Aptos"/>
                <w:b/>
                <w:bCs/>
                <w:sz w:val="22"/>
                <w:szCs w:val="22"/>
              </w:rPr>
              <w:t>, um die Qualität der Angehörigenpflege zu verbessern</w:t>
            </w:r>
            <w:r w:rsidRPr="00383992">
              <w:rPr>
                <w:rFonts w:ascii="Aptos" w:hAnsi="Aptos"/>
                <w:b/>
                <w:bCs/>
                <w:sz w:val="22"/>
                <w:szCs w:val="22"/>
              </w:rPr>
              <w:t>?</w:t>
            </w:r>
          </w:p>
        </w:tc>
      </w:tr>
      <w:tr w:rsidR="00623AF8" w:rsidRPr="00CD3D28" w14:paraId="0AFBB43C" w14:textId="77777777" w:rsidTr="00875DD0">
        <w:tc>
          <w:tcPr>
            <w:tcW w:w="9060" w:type="dxa"/>
            <w:shd w:val="clear" w:color="auto" w:fill="D9D9D9" w:themeFill="background1" w:themeFillShade="D9"/>
          </w:tcPr>
          <w:p w14:paraId="16851823"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6A7DC7B1" w14:textId="77777777" w:rsidTr="00875DD0">
        <w:tc>
          <w:tcPr>
            <w:tcW w:w="9060" w:type="dxa"/>
          </w:tcPr>
          <w:p w14:paraId="753E1A24" w14:textId="77777777" w:rsidR="00623AF8" w:rsidRPr="00257F52" w:rsidRDefault="00623AF8" w:rsidP="00F63BE8">
            <w:pPr>
              <w:pStyle w:val="Listenabsatz"/>
              <w:numPr>
                <w:ilvl w:val="0"/>
                <w:numId w:val="71"/>
              </w:numPr>
              <w:spacing w:before="120" w:after="120"/>
              <w:jc w:val="both"/>
              <w:rPr>
                <w:rFonts w:ascii="Aptos" w:hAnsi="Aptos"/>
                <w:sz w:val="22"/>
                <w:szCs w:val="22"/>
              </w:rPr>
            </w:pPr>
            <w:r w:rsidRPr="00257F52">
              <w:rPr>
                <w:rFonts w:ascii="Aptos" w:hAnsi="Aptos"/>
                <w:sz w:val="22"/>
                <w:szCs w:val="22"/>
              </w:rPr>
              <w:t>Planen Sie Förderungen im Bereich der Weiterbildung und Unterstützung von pflegenden Angehörigen?</w:t>
            </w:r>
          </w:p>
        </w:tc>
      </w:tr>
    </w:tbl>
    <w:p w14:paraId="7662D1CD"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4B6FEFDF" w14:textId="77777777" w:rsidTr="00875DD0">
        <w:tc>
          <w:tcPr>
            <w:tcW w:w="9060" w:type="dxa"/>
            <w:tcBorders>
              <w:top w:val="nil"/>
              <w:left w:val="nil"/>
              <w:bottom w:val="nil"/>
              <w:right w:val="nil"/>
            </w:tcBorders>
            <w:shd w:val="clear" w:color="auto" w:fill="D9D9D9" w:themeFill="background1" w:themeFillShade="D9"/>
          </w:tcPr>
          <w:p w14:paraId="48179305" w14:textId="77777777" w:rsidR="00623AF8" w:rsidRDefault="00623AF8" w:rsidP="00875DD0">
            <w:pPr>
              <w:spacing w:after="120"/>
              <w:jc w:val="both"/>
              <w:rPr>
                <w:rFonts w:ascii="Aptos" w:hAnsi="Aptos"/>
                <w:b/>
                <w:iCs/>
                <w:sz w:val="22"/>
                <w:szCs w:val="22"/>
              </w:rPr>
            </w:pPr>
            <w:r w:rsidRPr="005A018F">
              <w:rPr>
                <w:rFonts w:ascii="Aptos" w:hAnsi="Aptos"/>
                <w:b/>
                <w:bCs/>
                <w:sz w:val="22"/>
                <w:szCs w:val="22"/>
              </w:rPr>
              <w:t>Hintergrund</w:t>
            </w:r>
          </w:p>
        </w:tc>
      </w:tr>
    </w:tbl>
    <w:p w14:paraId="20521BAD" w14:textId="77777777" w:rsidR="00623AF8" w:rsidRPr="00B3081A" w:rsidRDefault="00623AF8" w:rsidP="00623AF8">
      <w:pPr>
        <w:spacing w:after="120"/>
        <w:jc w:val="both"/>
        <w:rPr>
          <w:rFonts w:ascii="Aptos" w:hAnsi="Aptos"/>
          <w:bCs/>
          <w:iCs/>
          <w:sz w:val="22"/>
          <w:szCs w:val="22"/>
        </w:rPr>
      </w:pPr>
      <w:r w:rsidRPr="00736140">
        <w:rPr>
          <w:rFonts w:ascii="Aptos" w:hAnsi="Aptos"/>
          <w:bCs/>
          <w:iCs/>
          <w:sz w:val="22"/>
          <w:szCs w:val="22"/>
        </w:rPr>
        <w:t xml:space="preserve">In vielen Familien übernehmen Angehörige </w:t>
      </w:r>
      <w:r>
        <w:rPr>
          <w:rFonts w:ascii="Aptos" w:hAnsi="Aptos"/>
          <w:bCs/>
          <w:iCs/>
          <w:sz w:val="22"/>
          <w:szCs w:val="22"/>
        </w:rPr>
        <w:t xml:space="preserve">unter großem persönlichen und finanziellen Aufwand </w:t>
      </w:r>
      <w:r w:rsidRPr="00736140">
        <w:rPr>
          <w:rFonts w:ascii="Aptos" w:hAnsi="Aptos"/>
          <w:bCs/>
          <w:iCs/>
          <w:sz w:val="22"/>
          <w:szCs w:val="22"/>
        </w:rPr>
        <w:t>die notwendige Pflege und Betreuung. Der Fachkräftemange</w:t>
      </w:r>
      <w:r>
        <w:rPr>
          <w:rFonts w:ascii="Aptos" w:hAnsi="Aptos"/>
          <w:bCs/>
          <w:iCs/>
          <w:sz w:val="22"/>
          <w:szCs w:val="22"/>
        </w:rPr>
        <w:t>l</w:t>
      </w:r>
      <w:r w:rsidRPr="00736140">
        <w:rPr>
          <w:rFonts w:ascii="Aptos" w:hAnsi="Aptos"/>
          <w:bCs/>
          <w:iCs/>
          <w:sz w:val="22"/>
          <w:szCs w:val="22"/>
        </w:rPr>
        <w:t xml:space="preserve"> im Pflege- und Betreuungssektor könnte dazu führen, dass der Anteil der pflegenden Angehörigen im Vergleich zur formalen Pflege weiter steigt. </w:t>
      </w:r>
      <w:r>
        <w:rPr>
          <w:rFonts w:ascii="Aptos" w:hAnsi="Aptos"/>
          <w:bCs/>
          <w:iCs/>
          <w:sz w:val="22"/>
          <w:szCs w:val="22"/>
        </w:rPr>
        <w:t>Daher ist</w:t>
      </w:r>
      <w:r w:rsidRPr="00B3081A">
        <w:rPr>
          <w:rFonts w:ascii="Aptos" w:hAnsi="Aptos"/>
          <w:bCs/>
          <w:iCs/>
          <w:sz w:val="22"/>
          <w:szCs w:val="22"/>
        </w:rPr>
        <w:t xml:space="preserve"> Unterstützung nationaler und kommunaler Initiativen zur Verbesserung der Qualität der Angehörigenpflege von entscheidender Bedeutung</w:t>
      </w:r>
      <w:r>
        <w:rPr>
          <w:rFonts w:ascii="Aptos" w:hAnsi="Aptos"/>
          <w:bCs/>
          <w:iCs/>
          <w:sz w:val="22"/>
          <w:szCs w:val="22"/>
        </w:rPr>
        <w:t>.</w:t>
      </w:r>
    </w:p>
    <w:p w14:paraId="08FC7146" w14:textId="77777777" w:rsidR="00623AF8" w:rsidRPr="00B3081A" w:rsidRDefault="00623AF8" w:rsidP="00623AF8">
      <w:pPr>
        <w:spacing w:after="120"/>
        <w:jc w:val="both"/>
        <w:rPr>
          <w:rFonts w:ascii="Aptos" w:hAnsi="Aptos"/>
          <w:bCs/>
          <w:iCs/>
          <w:sz w:val="22"/>
          <w:szCs w:val="22"/>
        </w:rPr>
      </w:pPr>
      <w:r w:rsidRPr="00B3081A">
        <w:rPr>
          <w:rFonts w:ascii="Aptos" w:hAnsi="Aptos"/>
          <w:bCs/>
          <w:iCs/>
          <w:sz w:val="22"/>
          <w:szCs w:val="22"/>
        </w:rPr>
        <w:t>Förderungen im Bereich der Weiterbildung und Unterstützung von pflegenden Angehörigen sind essenziell, um die Qualität der Pflege zu sichern und zu verbessern. Durch gezielte Weiterbildungsprogramme können pflegende Angehörige die notwendigen Kenntnisse und Fähigkeiten erwerben, um eine qualitativ hochwertige Pflege zu gewährleisten. Dies umfasst sowohl medizinische als auch psychologische Aspekte der Pflege, um den vielfältigen Anforderungen gerecht zu werden.</w:t>
      </w:r>
    </w:p>
    <w:p w14:paraId="57925176" w14:textId="77777777" w:rsidR="00623AF8" w:rsidRPr="00B3081A" w:rsidRDefault="00623AF8" w:rsidP="00623AF8">
      <w:pPr>
        <w:spacing w:after="120"/>
        <w:jc w:val="both"/>
        <w:rPr>
          <w:rFonts w:ascii="Aptos" w:hAnsi="Aptos"/>
          <w:bCs/>
          <w:iCs/>
          <w:sz w:val="22"/>
          <w:szCs w:val="22"/>
        </w:rPr>
      </w:pPr>
      <w:r w:rsidRPr="00B3081A">
        <w:rPr>
          <w:rFonts w:ascii="Aptos" w:hAnsi="Aptos"/>
          <w:bCs/>
          <w:iCs/>
          <w:sz w:val="22"/>
          <w:szCs w:val="22"/>
        </w:rPr>
        <w:t xml:space="preserve">Darüber hinaus entlasten Unterstützungsangebote </w:t>
      </w:r>
      <w:r>
        <w:rPr>
          <w:rFonts w:ascii="Aptos" w:hAnsi="Aptos"/>
          <w:bCs/>
          <w:iCs/>
          <w:sz w:val="22"/>
          <w:szCs w:val="22"/>
        </w:rPr>
        <w:t xml:space="preserve">für pflegende Angehörige, wie </w:t>
      </w:r>
      <w:r w:rsidRPr="00736140">
        <w:rPr>
          <w:rFonts w:ascii="Aptos" w:hAnsi="Aptos"/>
          <w:bCs/>
          <w:iCs/>
          <w:sz w:val="22"/>
          <w:szCs w:val="22"/>
        </w:rPr>
        <w:t>finanzielle Leistungen, Beratungsdienste, Schulungen und psychosoziale Unterstützung</w:t>
      </w:r>
      <w:r>
        <w:rPr>
          <w:rFonts w:ascii="Aptos" w:hAnsi="Aptos"/>
          <w:bCs/>
          <w:iCs/>
          <w:sz w:val="22"/>
          <w:szCs w:val="22"/>
        </w:rPr>
        <w:t xml:space="preserve"> </w:t>
      </w:r>
      <w:r w:rsidRPr="00B3081A">
        <w:rPr>
          <w:rFonts w:ascii="Aptos" w:hAnsi="Aptos"/>
          <w:bCs/>
          <w:iCs/>
          <w:sz w:val="22"/>
          <w:szCs w:val="22"/>
        </w:rPr>
        <w:t>und verhindern Überlastung und Burnout. Dies trägt nicht nur zur Gesundheit und Lebensqualität der Pflegebedürftigen bei, sondern auch zur langfristigen physischen und psychischen Gesundheit der Pflegenden selbst.</w:t>
      </w:r>
    </w:p>
    <w:p w14:paraId="234BFD33" w14:textId="77777777" w:rsidR="00623AF8" w:rsidRDefault="00623AF8" w:rsidP="00623AF8">
      <w:pPr>
        <w:spacing w:after="120"/>
        <w:jc w:val="both"/>
        <w:rPr>
          <w:rFonts w:ascii="Aptos" w:hAnsi="Aptos"/>
          <w:bCs/>
          <w:iCs/>
          <w:sz w:val="22"/>
          <w:szCs w:val="22"/>
        </w:rPr>
      </w:pPr>
    </w:p>
    <w:p w14:paraId="353D657F" w14:textId="77777777" w:rsidR="00623AF8" w:rsidRPr="005D5F77" w:rsidRDefault="00623AF8" w:rsidP="00623AF8">
      <w:pPr>
        <w:spacing w:after="120"/>
        <w:jc w:val="both"/>
        <w:rPr>
          <w:rFonts w:ascii="Aptos" w:hAnsi="Aptos"/>
          <w:bCs/>
          <w:iCs/>
          <w:sz w:val="22"/>
          <w:szCs w:val="22"/>
        </w:rPr>
      </w:pPr>
    </w:p>
    <w:p w14:paraId="0F6B760F" w14:textId="77777777" w:rsidR="00623AF8" w:rsidRPr="00CD3D28" w:rsidRDefault="00623AF8" w:rsidP="00623AF8">
      <w:pPr>
        <w:pStyle w:val="berschrift1"/>
        <w:rPr>
          <w:rFonts w:ascii="Aptos" w:hAnsi="Aptos"/>
        </w:rPr>
      </w:pPr>
    </w:p>
    <w:p w14:paraId="289CC46A" w14:textId="77777777" w:rsidR="00623AF8" w:rsidRDefault="00623AF8" w:rsidP="00623AF8">
      <w:pPr>
        <w:rPr>
          <w:rFonts w:ascii="Aptos" w:eastAsiaTheme="majorEastAsia" w:hAnsi="Aptos" w:cstheme="majorBidi"/>
          <w:b/>
          <w:color w:val="E4342D"/>
          <w:szCs w:val="32"/>
        </w:rPr>
      </w:pPr>
      <w:r>
        <w:rPr>
          <w:rFonts w:ascii="Aptos" w:hAnsi="Aptos"/>
        </w:rPr>
        <w:br w:type="page"/>
      </w:r>
    </w:p>
    <w:p w14:paraId="2127DB5E" w14:textId="77777777" w:rsidR="00623AF8" w:rsidRDefault="00623AF8" w:rsidP="00623AF8">
      <w:pPr>
        <w:pStyle w:val="berschrift1"/>
        <w:rPr>
          <w:rFonts w:ascii="Aptos" w:hAnsi="Aptos"/>
        </w:rPr>
      </w:pPr>
      <w:bookmarkStart w:id="493" w:name="_Toc170142557"/>
    </w:p>
    <w:p w14:paraId="11177C38" w14:textId="77777777" w:rsidR="00623AF8" w:rsidRPr="00CD3D28" w:rsidRDefault="00623AF8" w:rsidP="00623AF8">
      <w:pPr>
        <w:pStyle w:val="berschrift1"/>
        <w:rPr>
          <w:rFonts w:ascii="Aptos" w:hAnsi="Aptos"/>
        </w:rPr>
      </w:pPr>
      <w:bookmarkStart w:id="494" w:name="_Toc170983828"/>
      <w:r>
        <w:rPr>
          <w:rFonts w:ascii="Aptos" w:hAnsi="Aptos"/>
        </w:rPr>
        <w:t>Verteilung der Care-Arbeit und Erwerbsbeteiligung von Frauen</w:t>
      </w:r>
      <w:bookmarkEnd w:id="493"/>
      <w:bookmarkEnd w:id="494"/>
    </w:p>
    <w:p w14:paraId="4D05265E"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1357C70B" w14:textId="77777777" w:rsidTr="00875DD0">
        <w:tc>
          <w:tcPr>
            <w:tcW w:w="9060" w:type="dxa"/>
            <w:shd w:val="clear" w:color="auto" w:fill="D9D9D9" w:themeFill="background1" w:themeFillShade="D9"/>
          </w:tcPr>
          <w:p w14:paraId="599DBC90"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078CA5B1" w14:textId="77777777" w:rsidTr="00875DD0">
        <w:tc>
          <w:tcPr>
            <w:tcW w:w="9060" w:type="dxa"/>
          </w:tcPr>
          <w:p w14:paraId="297BA599" w14:textId="77777777" w:rsidR="00623AF8" w:rsidRPr="00CD3D28" w:rsidRDefault="00623AF8" w:rsidP="00875DD0">
            <w:pPr>
              <w:spacing w:before="120" w:after="120"/>
              <w:jc w:val="both"/>
              <w:rPr>
                <w:rFonts w:ascii="Aptos" w:hAnsi="Aptos"/>
                <w:sz w:val="22"/>
                <w:szCs w:val="22"/>
              </w:rPr>
            </w:pPr>
            <w:r>
              <w:rPr>
                <w:rFonts w:ascii="Aptos" w:hAnsi="Aptos"/>
                <w:sz w:val="22"/>
                <w:szCs w:val="22"/>
              </w:rPr>
              <w:t xml:space="preserve">Frauen tragen immer noch die Hauptlast familiärer Verpflichtungen der Care-Arbeit, von der Kinderbetreuung, Haushaltsorganisation, bis zur Reinigung. </w:t>
            </w:r>
            <w:r w:rsidRPr="00EB00E0">
              <w:rPr>
                <w:rFonts w:ascii="Aptos" w:hAnsi="Aptos"/>
                <w:sz w:val="22"/>
                <w:szCs w:val="22"/>
              </w:rPr>
              <w:t xml:space="preserve">Dies wirkt sich negativ auf die Vereinbarkeit von Familie und Beruf und damit auch auf die Erwerbsbeteiligung von Frauen aus. </w:t>
            </w:r>
            <w:r w:rsidRPr="007237C3">
              <w:rPr>
                <w:rFonts w:ascii="Aptos" w:hAnsi="Aptos"/>
                <w:b/>
                <w:bCs/>
                <w:sz w:val="22"/>
                <w:szCs w:val="22"/>
              </w:rPr>
              <w:t>W</w:t>
            </w:r>
            <w:r>
              <w:rPr>
                <w:rFonts w:ascii="Aptos" w:hAnsi="Aptos"/>
                <w:b/>
                <w:bCs/>
                <w:sz w:val="22"/>
                <w:szCs w:val="22"/>
              </w:rPr>
              <w:t xml:space="preserve">ie können Sie eine gleichmäßigere und gerechtere </w:t>
            </w:r>
            <w:bookmarkStart w:id="495" w:name="_Hlk170110967"/>
            <w:r>
              <w:rPr>
                <w:rFonts w:ascii="Aptos" w:hAnsi="Aptos"/>
                <w:b/>
                <w:bCs/>
                <w:sz w:val="22"/>
                <w:szCs w:val="22"/>
              </w:rPr>
              <w:t>Verteilung der Care-Arbeit in Haushalt und Familie</w:t>
            </w:r>
            <w:bookmarkEnd w:id="495"/>
            <w:r>
              <w:rPr>
                <w:rFonts w:ascii="Aptos" w:hAnsi="Aptos"/>
                <w:b/>
                <w:bCs/>
                <w:sz w:val="22"/>
                <w:szCs w:val="22"/>
              </w:rPr>
              <w:t xml:space="preserve"> unterstützen</w:t>
            </w:r>
            <w:r w:rsidRPr="007237C3">
              <w:rPr>
                <w:rFonts w:ascii="Aptos" w:hAnsi="Aptos"/>
                <w:b/>
                <w:bCs/>
                <w:sz w:val="22"/>
                <w:szCs w:val="22"/>
              </w:rPr>
              <w:t>?</w:t>
            </w:r>
          </w:p>
        </w:tc>
      </w:tr>
      <w:tr w:rsidR="00623AF8" w:rsidRPr="00CD3D28" w14:paraId="2B49AD02" w14:textId="77777777" w:rsidTr="00875DD0">
        <w:tc>
          <w:tcPr>
            <w:tcW w:w="9060" w:type="dxa"/>
            <w:shd w:val="clear" w:color="auto" w:fill="D9D9D9" w:themeFill="background1" w:themeFillShade="D9"/>
          </w:tcPr>
          <w:p w14:paraId="39BD393D"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6C41242D" w14:textId="77777777" w:rsidTr="00875DD0">
        <w:tc>
          <w:tcPr>
            <w:tcW w:w="9060" w:type="dxa"/>
          </w:tcPr>
          <w:p w14:paraId="447EE305" w14:textId="77777777" w:rsidR="00623AF8" w:rsidRPr="004C56E8" w:rsidRDefault="00623AF8" w:rsidP="00F63BE8">
            <w:pPr>
              <w:pStyle w:val="Listenabsatz"/>
              <w:numPr>
                <w:ilvl w:val="0"/>
                <w:numId w:val="71"/>
              </w:numPr>
              <w:spacing w:before="120" w:after="120"/>
              <w:jc w:val="both"/>
              <w:rPr>
                <w:rFonts w:ascii="Aptos" w:hAnsi="Aptos"/>
                <w:sz w:val="22"/>
                <w:szCs w:val="22"/>
              </w:rPr>
            </w:pPr>
            <w:r w:rsidRPr="004C56E8">
              <w:rPr>
                <w:rFonts w:ascii="Aptos" w:hAnsi="Aptos"/>
                <w:sz w:val="22"/>
                <w:szCs w:val="22"/>
              </w:rPr>
              <w:t>Welche Anreize wollen Sie setzen, um die Vereinbarkeit von Familie und Beruf für Frauen zu verbessern und die Erwerbsbeteiligung von Frauen zu erhöhen?</w:t>
            </w:r>
          </w:p>
          <w:p w14:paraId="52D8009F" w14:textId="77777777" w:rsidR="00623AF8" w:rsidRPr="004C56E8" w:rsidRDefault="00623AF8" w:rsidP="00F63BE8">
            <w:pPr>
              <w:pStyle w:val="Listenabsatz"/>
              <w:numPr>
                <w:ilvl w:val="0"/>
                <w:numId w:val="71"/>
              </w:numPr>
              <w:spacing w:before="120" w:after="120"/>
              <w:jc w:val="both"/>
              <w:rPr>
                <w:rFonts w:ascii="Aptos" w:hAnsi="Aptos"/>
                <w:sz w:val="22"/>
                <w:szCs w:val="22"/>
              </w:rPr>
            </w:pPr>
            <w:r w:rsidRPr="004C56E8">
              <w:rPr>
                <w:rFonts w:ascii="Aptos" w:hAnsi="Aptos"/>
                <w:sz w:val="22"/>
                <w:szCs w:val="22"/>
              </w:rPr>
              <w:t xml:space="preserve">Welche Anreize wollen Sie setzen um intersektionale Benachteiligungen in der Verteilung der Care-Arbeit, d.h. Benachteiligungen aufgrund des Geschlechts verbunden mit Migrationshintergrund, religiöser Zugehörigkeit, sozioökonomischen Status, etc., zu reduzieren? </w:t>
            </w:r>
          </w:p>
          <w:p w14:paraId="439CAA61" w14:textId="77777777" w:rsidR="00623AF8" w:rsidRPr="004C56E8" w:rsidRDefault="00623AF8" w:rsidP="00F63BE8">
            <w:pPr>
              <w:pStyle w:val="Listenabsatz"/>
              <w:numPr>
                <w:ilvl w:val="0"/>
                <w:numId w:val="71"/>
              </w:numPr>
              <w:spacing w:before="120" w:after="120"/>
              <w:jc w:val="both"/>
              <w:rPr>
                <w:rFonts w:ascii="Aptos" w:hAnsi="Aptos"/>
                <w:sz w:val="22"/>
                <w:szCs w:val="22"/>
              </w:rPr>
            </w:pPr>
            <w:r w:rsidRPr="004C56E8">
              <w:rPr>
                <w:rFonts w:ascii="Aptos" w:hAnsi="Aptos"/>
                <w:sz w:val="22"/>
                <w:szCs w:val="22"/>
              </w:rPr>
              <w:t>Welche Anreize wollen Sie setzen damit insbesondere auch migrantische Frauen stärker in den Arbeitsmarkt integriert werden?</w:t>
            </w:r>
          </w:p>
        </w:tc>
      </w:tr>
    </w:tbl>
    <w:p w14:paraId="1A15C37E"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058924D" w14:textId="77777777" w:rsidTr="00875DD0">
        <w:tc>
          <w:tcPr>
            <w:tcW w:w="9060" w:type="dxa"/>
            <w:tcBorders>
              <w:top w:val="nil"/>
              <w:left w:val="nil"/>
              <w:bottom w:val="nil"/>
              <w:right w:val="nil"/>
            </w:tcBorders>
            <w:shd w:val="clear" w:color="auto" w:fill="D9D9D9" w:themeFill="background1" w:themeFillShade="D9"/>
          </w:tcPr>
          <w:p w14:paraId="4FF9770A" w14:textId="77777777" w:rsidR="00623AF8" w:rsidRDefault="00623AF8" w:rsidP="00875DD0">
            <w:pPr>
              <w:spacing w:after="120"/>
              <w:jc w:val="both"/>
              <w:rPr>
                <w:rFonts w:ascii="Aptos" w:hAnsi="Aptos"/>
                <w:b/>
                <w:iCs/>
                <w:sz w:val="22"/>
                <w:szCs w:val="22"/>
              </w:rPr>
            </w:pPr>
            <w:r w:rsidRPr="005A018F">
              <w:rPr>
                <w:rFonts w:ascii="Aptos" w:hAnsi="Aptos"/>
                <w:b/>
                <w:bCs/>
                <w:sz w:val="22"/>
                <w:szCs w:val="22"/>
              </w:rPr>
              <w:t>Hintergrund</w:t>
            </w:r>
          </w:p>
        </w:tc>
      </w:tr>
    </w:tbl>
    <w:p w14:paraId="50F15B61" w14:textId="77777777" w:rsidR="00623AF8" w:rsidRDefault="00623AF8" w:rsidP="00623AF8">
      <w:pPr>
        <w:spacing w:after="120"/>
        <w:jc w:val="both"/>
        <w:rPr>
          <w:rFonts w:ascii="Aptos" w:hAnsi="Aptos"/>
          <w:bCs/>
          <w:iCs/>
          <w:sz w:val="22"/>
          <w:szCs w:val="22"/>
        </w:rPr>
      </w:pPr>
      <w:r w:rsidRPr="00EB00E0">
        <w:rPr>
          <w:rFonts w:ascii="Aptos" w:hAnsi="Aptos"/>
          <w:bCs/>
          <w:iCs/>
          <w:sz w:val="22"/>
          <w:szCs w:val="22"/>
        </w:rPr>
        <w:t>Die E</w:t>
      </w:r>
      <w:r>
        <w:rPr>
          <w:rFonts w:ascii="Aptos" w:hAnsi="Aptos"/>
          <w:bCs/>
          <w:iCs/>
          <w:sz w:val="22"/>
          <w:szCs w:val="22"/>
        </w:rPr>
        <w:t xml:space="preserve">rhöhung der Erwerbsbeteiligung von Frauen am Arbeitsmarkt stellt einen zentralen Hebel im Kampf gegen den Arbeits- und Fachkräftemangel, aber vor allem im Kampf gegen Altersarmut dar, die Frauen auch stärker betrifft. Das kann aber nur erreicht werden, wenn die familiären Verpflichtungen der Care-Arbeit gleichmäßiger verteilt werden. </w:t>
      </w:r>
    </w:p>
    <w:p w14:paraId="564B760C" w14:textId="77777777" w:rsidR="00623AF8" w:rsidRPr="00D228AB" w:rsidRDefault="00623AF8" w:rsidP="00623AF8">
      <w:pPr>
        <w:spacing w:after="120"/>
        <w:jc w:val="both"/>
        <w:rPr>
          <w:rFonts w:ascii="Aptos" w:hAnsi="Aptos"/>
          <w:bCs/>
          <w:iCs/>
          <w:sz w:val="22"/>
          <w:szCs w:val="22"/>
        </w:rPr>
      </w:pPr>
      <w:r w:rsidRPr="00D228AB">
        <w:rPr>
          <w:rFonts w:ascii="Aptos" w:hAnsi="Aptos"/>
          <w:bCs/>
          <w:iCs/>
          <w:sz w:val="22"/>
          <w:szCs w:val="22"/>
        </w:rPr>
        <w:t>Darüber hinaus ist es wichtig, intersektionale Benachteiligungen in der Verteilung der Care-Arbeit zu adressieren.</w:t>
      </w:r>
      <w:r>
        <w:rPr>
          <w:rFonts w:ascii="Aptos" w:hAnsi="Aptos"/>
          <w:bCs/>
          <w:iCs/>
          <w:sz w:val="22"/>
          <w:szCs w:val="22"/>
        </w:rPr>
        <w:t xml:space="preserve"> Migrantische Frauen sind noch stärker von Benachteiligung betroffen und tragen gleichzeitig eine höhere Pflege- und Betreuungslast. </w:t>
      </w:r>
      <w:r w:rsidRPr="00D228AB">
        <w:rPr>
          <w:rFonts w:ascii="Aptos" w:hAnsi="Aptos"/>
          <w:bCs/>
          <w:iCs/>
          <w:sz w:val="22"/>
          <w:szCs w:val="22"/>
        </w:rPr>
        <w:t>Dies erschwert ihre Integration in den Arbeitsmarkt und verstärkt bestehende Ungleichheiten.</w:t>
      </w:r>
      <w:r>
        <w:rPr>
          <w:rFonts w:ascii="Aptos" w:hAnsi="Aptos"/>
          <w:bCs/>
          <w:iCs/>
          <w:sz w:val="22"/>
          <w:szCs w:val="22"/>
        </w:rPr>
        <w:t xml:space="preserve"> Hier gibt es daher einen großen Handlungsbedarf, um intersektionale Benachteiligungen am Arbeitsmarkt, etwa aufgrund des sozioökonomischen Status, des Migrationshintergrunds, religiöser Zugehörigkeit, sexueller Orientierung, usw. zu beseitigen und die Erwerbsbeteiligung dieser zu erhöhen.</w:t>
      </w:r>
    </w:p>
    <w:p w14:paraId="27FC9416" w14:textId="77777777" w:rsidR="00623AF8" w:rsidRPr="00460DB4" w:rsidRDefault="00623AF8" w:rsidP="00623AF8">
      <w:pPr>
        <w:spacing w:after="120"/>
        <w:jc w:val="both"/>
        <w:rPr>
          <w:rFonts w:ascii="Aptos" w:hAnsi="Aptos"/>
          <w:bCs/>
          <w:iCs/>
          <w:sz w:val="22"/>
          <w:szCs w:val="22"/>
        </w:rPr>
      </w:pPr>
      <w:r w:rsidRPr="00D228AB">
        <w:rPr>
          <w:rFonts w:ascii="Aptos" w:hAnsi="Aptos"/>
          <w:bCs/>
          <w:iCs/>
          <w:sz w:val="22"/>
          <w:szCs w:val="22"/>
        </w:rPr>
        <w:t>Um diese Herausforderungen zu bewältigen, könnten verschiedene Anreize gesetzt werden. Dazu gehören beispielsweise flexible Arbeitszeitmodelle, bezahlte Elternzeit und steuerliche Vorteile für Familien, die Care-Arbeit gerecht aufteilen. Spezifische Förderprogramme für migrantische Frauen, wie etwa Sprachkurse, berufliche Weiterbildung und Mentoring-Programme, können deren Integration in den Arbeitsmarkt unterstützen und ihre beruflichen Chancen verbessern.</w:t>
      </w:r>
      <w:r>
        <w:rPr>
          <w:rFonts w:ascii="Aptos" w:hAnsi="Aptos"/>
          <w:bCs/>
          <w:iCs/>
          <w:sz w:val="22"/>
          <w:szCs w:val="22"/>
        </w:rPr>
        <w:t xml:space="preserve"> Aber auch Männer müssen in diesen Prozess miteinbezogen werden, um veraltete Rollenbilder in der </w:t>
      </w:r>
      <w:r w:rsidRPr="00460DB4">
        <w:rPr>
          <w:rFonts w:ascii="Aptos" w:hAnsi="Aptos"/>
          <w:bCs/>
          <w:iCs/>
          <w:sz w:val="22"/>
          <w:szCs w:val="22"/>
        </w:rPr>
        <w:t xml:space="preserve">Verteilung der Care-Arbeit in Haushalt und Familie </w:t>
      </w:r>
      <w:r>
        <w:rPr>
          <w:rFonts w:ascii="Aptos" w:hAnsi="Aptos"/>
          <w:bCs/>
          <w:iCs/>
          <w:sz w:val="22"/>
          <w:szCs w:val="22"/>
        </w:rPr>
        <w:t>abzubauen.</w:t>
      </w:r>
      <w:r w:rsidRPr="00EB00E0">
        <w:rPr>
          <w:rFonts w:ascii="Aptos" w:hAnsi="Aptos"/>
          <w:bCs/>
          <w:sz w:val="22"/>
          <w:szCs w:val="22"/>
        </w:rPr>
        <w:br w:type="page"/>
      </w:r>
    </w:p>
    <w:p w14:paraId="1FC9CEC9" w14:textId="77777777" w:rsidR="00623AF8" w:rsidRPr="00EB00E0" w:rsidRDefault="00623AF8" w:rsidP="00623AF8">
      <w:pPr>
        <w:spacing w:after="120"/>
        <w:jc w:val="both"/>
        <w:rPr>
          <w:rFonts w:ascii="Aptos" w:hAnsi="Aptos"/>
          <w:bCs/>
          <w:iCs/>
          <w:sz w:val="22"/>
          <w:szCs w:val="22"/>
        </w:rPr>
      </w:pPr>
    </w:p>
    <w:p w14:paraId="1C0EB0BD" w14:textId="77777777" w:rsidR="00623AF8" w:rsidRPr="00CD3D28" w:rsidRDefault="00623AF8" w:rsidP="00623AF8">
      <w:pPr>
        <w:pStyle w:val="berschrift1"/>
        <w:ind w:left="720"/>
        <w:rPr>
          <w:rFonts w:ascii="Aptos" w:hAnsi="Aptos"/>
        </w:rPr>
      </w:pPr>
    </w:p>
    <w:p w14:paraId="7A9F1394" w14:textId="77777777" w:rsidR="00623AF8" w:rsidRPr="00CD3D28" w:rsidRDefault="00623AF8" w:rsidP="00623AF8">
      <w:pPr>
        <w:pStyle w:val="berschrift1"/>
        <w:ind w:left="360"/>
        <w:rPr>
          <w:rFonts w:ascii="Aptos" w:hAnsi="Aptos"/>
        </w:rPr>
      </w:pPr>
      <w:bookmarkStart w:id="496" w:name="_Toc170142558"/>
      <w:bookmarkStart w:id="497" w:name="_Toc170983829"/>
      <w:r w:rsidRPr="00AC07C0">
        <w:rPr>
          <w:rFonts w:ascii="Aptos" w:hAnsi="Aptos"/>
        </w:rPr>
        <w:t>Unterstützungsangebote für obdach-/wohnungslose Menschen in den</w:t>
      </w:r>
      <w:r>
        <w:rPr>
          <w:rFonts w:ascii="Aptos" w:hAnsi="Aptos"/>
        </w:rPr>
        <w:t xml:space="preserve"> </w:t>
      </w:r>
      <w:r w:rsidRPr="00AC07C0">
        <w:rPr>
          <w:rFonts w:ascii="Aptos" w:hAnsi="Aptos"/>
        </w:rPr>
        <w:t>Herkunftsländern</w:t>
      </w:r>
      <w:bookmarkEnd w:id="496"/>
      <w:bookmarkEnd w:id="497"/>
    </w:p>
    <w:p w14:paraId="43BF1B90"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7E9661D7" w14:textId="77777777" w:rsidTr="00875DD0">
        <w:tc>
          <w:tcPr>
            <w:tcW w:w="9060" w:type="dxa"/>
            <w:shd w:val="clear" w:color="auto" w:fill="D9D9D9" w:themeFill="background1" w:themeFillShade="D9"/>
          </w:tcPr>
          <w:p w14:paraId="15913476"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765A8DEA" w14:textId="77777777" w:rsidTr="00875DD0">
        <w:tc>
          <w:tcPr>
            <w:tcW w:w="9060" w:type="dxa"/>
          </w:tcPr>
          <w:p w14:paraId="6A34602D" w14:textId="77777777" w:rsidR="00623AF8" w:rsidRPr="00E61B2A" w:rsidRDefault="00623AF8" w:rsidP="00875DD0">
            <w:pPr>
              <w:spacing w:before="120" w:after="120"/>
              <w:jc w:val="both"/>
              <w:rPr>
                <w:rFonts w:ascii="Aptos" w:hAnsi="Aptos"/>
                <w:b/>
                <w:bCs/>
                <w:sz w:val="22"/>
                <w:szCs w:val="22"/>
              </w:rPr>
            </w:pPr>
            <w:r w:rsidRPr="00CD3D28">
              <w:rPr>
                <w:rFonts w:ascii="Aptos" w:hAnsi="Aptos"/>
                <w:sz w:val="22"/>
                <w:szCs w:val="22"/>
              </w:rPr>
              <w:t xml:space="preserve">In den </w:t>
            </w:r>
            <w:r>
              <w:rPr>
                <w:rFonts w:ascii="Aptos" w:hAnsi="Aptos"/>
                <w:sz w:val="22"/>
                <w:szCs w:val="22"/>
              </w:rPr>
              <w:t xml:space="preserve">vergangenen </w:t>
            </w:r>
            <w:r w:rsidRPr="00624BF3">
              <w:rPr>
                <w:rFonts w:ascii="Aptos" w:hAnsi="Aptos"/>
                <w:sz w:val="22"/>
                <w:szCs w:val="22"/>
              </w:rPr>
              <w:t xml:space="preserve">Jahren </w:t>
            </w:r>
            <w:r>
              <w:rPr>
                <w:rFonts w:ascii="Aptos" w:hAnsi="Aptos"/>
                <w:sz w:val="22"/>
                <w:szCs w:val="22"/>
              </w:rPr>
              <w:t>gab es einen Anstieg</w:t>
            </w:r>
            <w:r w:rsidRPr="00624BF3">
              <w:rPr>
                <w:rFonts w:ascii="Aptos" w:hAnsi="Aptos"/>
                <w:sz w:val="22"/>
                <w:szCs w:val="22"/>
              </w:rPr>
              <w:t xml:space="preserve"> </w:t>
            </w:r>
            <w:r>
              <w:rPr>
                <w:rFonts w:ascii="Aptos" w:hAnsi="Aptos"/>
                <w:sz w:val="22"/>
                <w:szCs w:val="22"/>
              </w:rPr>
              <w:t>in den</w:t>
            </w:r>
            <w:r w:rsidRPr="00624BF3">
              <w:rPr>
                <w:rFonts w:ascii="Aptos" w:hAnsi="Aptos"/>
                <w:sz w:val="22"/>
                <w:szCs w:val="22"/>
              </w:rPr>
              <w:t xml:space="preserve"> Zahl</w:t>
            </w:r>
            <w:r>
              <w:rPr>
                <w:rFonts w:ascii="Aptos" w:hAnsi="Aptos"/>
                <w:sz w:val="22"/>
                <w:szCs w:val="22"/>
              </w:rPr>
              <w:t>en</w:t>
            </w:r>
            <w:r w:rsidRPr="00624BF3">
              <w:rPr>
                <w:rFonts w:ascii="Aptos" w:hAnsi="Aptos"/>
                <w:sz w:val="22"/>
                <w:szCs w:val="22"/>
              </w:rPr>
              <w:t xml:space="preserve"> der obdachlosen zugewanderten EU-Bürger:innen, die keinen Zugang zu nationalen Grundsicherungssystemen </w:t>
            </w:r>
            <w:r>
              <w:rPr>
                <w:rFonts w:ascii="Aptos" w:hAnsi="Aptos"/>
                <w:sz w:val="22"/>
                <w:szCs w:val="22"/>
              </w:rPr>
              <w:t xml:space="preserve">im Zielland </w:t>
            </w:r>
            <w:r w:rsidRPr="00624BF3">
              <w:rPr>
                <w:rFonts w:ascii="Aptos" w:hAnsi="Aptos"/>
                <w:sz w:val="22"/>
                <w:szCs w:val="22"/>
              </w:rPr>
              <w:t>haben. Aufgrund fehlender Unterstützungssysteme</w:t>
            </w:r>
            <w:r>
              <w:rPr>
                <w:rFonts w:ascii="Aptos" w:hAnsi="Aptos"/>
                <w:sz w:val="22"/>
                <w:szCs w:val="22"/>
              </w:rPr>
              <w:t>,</w:t>
            </w:r>
            <w:r w:rsidRPr="00624BF3">
              <w:rPr>
                <w:rFonts w:ascii="Aptos" w:hAnsi="Aptos"/>
                <w:sz w:val="22"/>
                <w:szCs w:val="22"/>
              </w:rPr>
              <w:t xml:space="preserve"> Diskriminierung </w:t>
            </w:r>
            <w:r>
              <w:rPr>
                <w:rFonts w:ascii="Aptos" w:hAnsi="Aptos"/>
                <w:sz w:val="22"/>
                <w:szCs w:val="22"/>
              </w:rPr>
              <w:t>oder auch</w:t>
            </w:r>
            <w:r w:rsidRPr="00624BF3">
              <w:rPr>
                <w:rFonts w:ascii="Aptos" w:hAnsi="Aptos"/>
                <w:sz w:val="22"/>
                <w:szCs w:val="22"/>
              </w:rPr>
              <w:t xml:space="preserve"> Kriminalisierung in </w:t>
            </w:r>
            <w:r>
              <w:rPr>
                <w:rFonts w:ascii="Aptos" w:hAnsi="Aptos"/>
                <w:sz w:val="22"/>
                <w:szCs w:val="22"/>
              </w:rPr>
              <w:t>den</w:t>
            </w:r>
            <w:r w:rsidRPr="00624BF3">
              <w:rPr>
                <w:rFonts w:ascii="Aptos" w:hAnsi="Aptos"/>
                <w:sz w:val="22"/>
                <w:szCs w:val="22"/>
              </w:rPr>
              <w:t xml:space="preserve"> Herkunftsländern bleiben viele im </w:t>
            </w:r>
            <w:r>
              <w:rPr>
                <w:rFonts w:ascii="Aptos" w:hAnsi="Aptos"/>
                <w:sz w:val="22"/>
                <w:szCs w:val="22"/>
              </w:rPr>
              <w:t>Ziell</w:t>
            </w:r>
            <w:r w:rsidRPr="00624BF3">
              <w:rPr>
                <w:rFonts w:ascii="Aptos" w:hAnsi="Aptos"/>
                <w:sz w:val="22"/>
                <w:szCs w:val="22"/>
              </w:rPr>
              <w:t xml:space="preserve">and ohne Aussicht auf Beschäftigung. </w:t>
            </w:r>
            <w:r>
              <w:rPr>
                <w:rFonts w:ascii="Aptos" w:hAnsi="Aptos"/>
                <w:b/>
                <w:bCs/>
                <w:sz w:val="22"/>
                <w:szCs w:val="22"/>
              </w:rPr>
              <w:t>Welche koordinierenden Maßnahmen können Sie setzen, damit</w:t>
            </w:r>
            <w:r w:rsidRPr="00E61B2A">
              <w:rPr>
                <w:rFonts w:ascii="Aptos" w:hAnsi="Aptos"/>
                <w:b/>
                <w:bCs/>
                <w:sz w:val="22"/>
                <w:szCs w:val="22"/>
              </w:rPr>
              <w:t xml:space="preserve"> </w:t>
            </w:r>
            <w:r>
              <w:rPr>
                <w:rFonts w:ascii="Aptos" w:hAnsi="Aptos"/>
                <w:b/>
                <w:bCs/>
                <w:sz w:val="22"/>
                <w:szCs w:val="22"/>
              </w:rPr>
              <w:t>die Sozialsysteme und Unterstützungsangebote in den Mitgliedstaaten, insbesondere in den Städten, ausgebaut werden</w:t>
            </w:r>
            <w:r w:rsidRPr="00E61B2A">
              <w:rPr>
                <w:rFonts w:ascii="Aptos" w:hAnsi="Aptos"/>
                <w:b/>
                <w:bCs/>
                <w:sz w:val="22"/>
                <w:szCs w:val="22"/>
              </w:rPr>
              <w:t>?</w:t>
            </w:r>
          </w:p>
        </w:tc>
      </w:tr>
      <w:tr w:rsidR="00623AF8" w:rsidRPr="00CD3D28" w14:paraId="152C4EDB" w14:textId="77777777" w:rsidTr="00875DD0">
        <w:tc>
          <w:tcPr>
            <w:tcW w:w="9060" w:type="dxa"/>
            <w:shd w:val="clear" w:color="auto" w:fill="D9D9D9" w:themeFill="background1" w:themeFillShade="D9"/>
          </w:tcPr>
          <w:p w14:paraId="0B03359C"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46BFB6E5" w14:textId="77777777" w:rsidTr="00875DD0">
        <w:tc>
          <w:tcPr>
            <w:tcW w:w="9060" w:type="dxa"/>
          </w:tcPr>
          <w:p w14:paraId="5FD9EF57" w14:textId="77777777" w:rsidR="00623AF8" w:rsidRPr="001B5A70" w:rsidRDefault="00623AF8" w:rsidP="00F63BE8">
            <w:pPr>
              <w:pStyle w:val="Listenabsatz"/>
              <w:numPr>
                <w:ilvl w:val="0"/>
                <w:numId w:val="71"/>
              </w:numPr>
              <w:spacing w:before="120" w:after="120"/>
              <w:jc w:val="both"/>
              <w:rPr>
                <w:rFonts w:ascii="Aptos" w:hAnsi="Aptos"/>
                <w:sz w:val="22"/>
                <w:szCs w:val="22"/>
              </w:rPr>
            </w:pPr>
            <w:r w:rsidRPr="001B5A70">
              <w:rPr>
                <w:rFonts w:ascii="Aptos" w:hAnsi="Aptos"/>
                <w:sz w:val="22"/>
                <w:szCs w:val="22"/>
              </w:rPr>
              <w:t>Wie können die europäischen Sozialschutzsysteme ohne ein Senken von Standards in einigen Mitgliedstaaten weiter angeglichen werden?</w:t>
            </w:r>
          </w:p>
        </w:tc>
      </w:tr>
    </w:tbl>
    <w:p w14:paraId="43D8444F"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4A34BD0B" w14:textId="77777777" w:rsidTr="00875DD0">
        <w:tc>
          <w:tcPr>
            <w:tcW w:w="9060" w:type="dxa"/>
            <w:tcBorders>
              <w:top w:val="nil"/>
              <w:left w:val="nil"/>
              <w:bottom w:val="nil"/>
              <w:right w:val="nil"/>
            </w:tcBorders>
            <w:shd w:val="clear" w:color="auto" w:fill="D9D9D9" w:themeFill="background1" w:themeFillShade="D9"/>
          </w:tcPr>
          <w:p w14:paraId="5AC171B9" w14:textId="77777777" w:rsidR="00623AF8" w:rsidRDefault="00623AF8" w:rsidP="00875DD0">
            <w:pPr>
              <w:spacing w:after="120"/>
              <w:jc w:val="both"/>
              <w:rPr>
                <w:rFonts w:ascii="Aptos" w:hAnsi="Aptos"/>
                <w:b/>
                <w:iCs/>
                <w:sz w:val="22"/>
                <w:szCs w:val="22"/>
              </w:rPr>
            </w:pPr>
            <w:r w:rsidRPr="005A018F">
              <w:rPr>
                <w:rFonts w:ascii="Aptos" w:hAnsi="Aptos"/>
                <w:b/>
                <w:bCs/>
                <w:sz w:val="22"/>
                <w:szCs w:val="22"/>
              </w:rPr>
              <w:t>Hintergrund</w:t>
            </w:r>
          </w:p>
        </w:tc>
      </w:tr>
    </w:tbl>
    <w:p w14:paraId="64452BFB" w14:textId="77777777" w:rsidR="00623AF8" w:rsidRPr="00572D10" w:rsidRDefault="00623AF8" w:rsidP="00623AF8">
      <w:pPr>
        <w:spacing w:after="120"/>
        <w:jc w:val="both"/>
        <w:rPr>
          <w:rFonts w:ascii="Aptos" w:hAnsi="Aptos"/>
          <w:sz w:val="22"/>
          <w:szCs w:val="22"/>
        </w:rPr>
      </w:pPr>
      <w:r w:rsidRPr="006053E7">
        <w:rPr>
          <w:rFonts w:ascii="Aptos" w:hAnsi="Aptos"/>
          <w:sz w:val="22"/>
          <w:szCs w:val="22"/>
        </w:rPr>
        <w:t>Oft sind mobile EU-Bürger:innen – neben anderen Herausforderungen – damit konfrontiert, dass sie einen Hauptwohnsitz belegen müssen, um eine Anstellung zu finden. Gleichzeitig braucht es aber Beschäftigung und Einkommen, um eine Wohnung mieten zu können bzw. sozialrechtliche Ansprüche zu erlangen. Die Folge ist oftmals Obdachlosigkeit, die sich insbesondere in den Städten manifestiert.</w:t>
      </w:r>
      <w:r>
        <w:rPr>
          <w:rFonts w:ascii="Aptos" w:hAnsi="Aptos"/>
          <w:sz w:val="22"/>
          <w:szCs w:val="22"/>
        </w:rPr>
        <w:t xml:space="preserve"> D</w:t>
      </w:r>
      <w:r w:rsidRPr="00624BF3">
        <w:rPr>
          <w:rFonts w:ascii="Aptos" w:hAnsi="Aptos"/>
          <w:sz w:val="22"/>
          <w:szCs w:val="22"/>
        </w:rPr>
        <w:t>iese verfügen aber nicht über die Ressourcen um adäquate, langfristige Unterstützung zu bieten. Wichtige Aspekte, um dieser Entwicklung gegenzusteuern, sind insbesondere die Angleichung</w:t>
      </w:r>
      <w:r>
        <w:rPr>
          <w:rFonts w:ascii="Aptos" w:hAnsi="Aptos"/>
          <w:sz w:val="22"/>
          <w:szCs w:val="22"/>
        </w:rPr>
        <w:t xml:space="preserve"> bzw. </w:t>
      </w:r>
      <w:r w:rsidRPr="00624BF3">
        <w:rPr>
          <w:rFonts w:ascii="Aptos" w:hAnsi="Aptos"/>
          <w:sz w:val="22"/>
          <w:szCs w:val="22"/>
        </w:rPr>
        <w:t>Stärkung der Grundsicherungs- und Sozialsysteme sowie ein Ausbau der Unterstützungsangebote für obdach-/wohnungslose Menschen in den Herkunftsländern</w:t>
      </w:r>
      <w:r w:rsidRPr="00CD3D28">
        <w:rPr>
          <w:rFonts w:ascii="Aptos" w:hAnsi="Aptos"/>
          <w:sz w:val="22"/>
          <w:szCs w:val="22"/>
        </w:rPr>
        <w:t>.</w:t>
      </w:r>
    </w:p>
    <w:p w14:paraId="4CB525FB" w14:textId="77777777" w:rsidR="00623AF8" w:rsidRPr="00F37E2A" w:rsidRDefault="00623AF8" w:rsidP="00623AF8">
      <w:pPr>
        <w:spacing w:after="120"/>
        <w:jc w:val="both"/>
        <w:rPr>
          <w:rFonts w:ascii="Aptos" w:hAnsi="Aptos"/>
          <w:bCs/>
          <w:iCs/>
          <w:sz w:val="22"/>
          <w:szCs w:val="22"/>
        </w:rPr>
      </w:pPr>
      <w:r>
        <w:rPr>
          <w:rFonts w:ascii="Aptos" w:hAnsi="Aptos"/>
          <w:bCs/>
          <w:iCs/>
          <w:sz w:val="22"/>
          <w:szCs w:val="22"/>
        </w:rPr>
        <w:t>Noch allgemeiner ist die</w:t>
      </w:r>
      <w:r w:rsidRPr="00F37E2A">
        <w:rPr>
          <w:rFonts w:ascii="Aptos" w:hAnsi="Aptos"/>
          <w:bCs/>
          <w:iCs/>
          <w:sz w:val="22"/>
          <w:szCs w:val="22"/>
        </w:rPr>
        <w:t xml:space="preserve"> Koordinierung und der Ausbau von Sozialsystemen und Unterstützungsangeboten in den Mitgliedstaaten von großer Bedeutung für die soziale und wirtschaftliche Stabilität in Europa. Angesichts zunehmender sozialer Ungleichheiten und wirtschaftlicher Herausforderungen ist ein starkes, integriertes soziales Sicherheitsnetz essenziell. Diese Maßnahmen fördern nicht nur den sozialen Zusammenhalt, sondern stärken auch die Resilienz der Gesellschaft gegen wirtschaftliche und soziale Krisen.</w:t>
      </w:r>
    </w:p>
    <w:p w14:paraId="5C7EFA4E" w14:textId="77777777" w:rsidR="00623AF8" w:rsidRPr="00572D10" w:rsidRDefault="00623AF8" w:rsidP="00623AF8">
      <w:pPr>
        <w:spacing w:after="120"/>
        <w:jc w:val="both"/>
        <w:rPr>
          <w:rFonts w:ascii="Aptos" w:hAnsi="Aptos"/>
          <w:sz w:val="22"/>
          <w:szCs w:val="22"/>
        </w:rPr>
      </w:pPr>
      <w:r w:rsidRPr="00F37E2A">
        <w:rPr>
          <w:rFonts w:ascii="Aptos" w:hAnsi="Aptos"/>
          <w:bCs/>
          <w:iCs/>
          <w:sz w:val="22"/>
          <w:szCs w:val="22"/>
        </w:rPr>
        <w:t>Ein wichtiger Aspekt ist die Angleichung der europäischen Sozialschutzsysteme, ohne die Standards in einigen Mitgliedstaaten zu senken</w:t>
      </w:r>
      <w:r>
        <w:rPr>
          <w:rFonts w:ascii="Aptos" w:hAnsi="Aptos"/>
          <w:bCs/>
          <w:iCs/>
          <w:sz w:val="22"/>
          <w:szCs w:val="22"/>
        </w:rPr>
        <w:t xml:space="preserve">. </w:t>
      </w:r>
      <w:r w:rsidRPr="00F37E2A">
        <w:rPr>
          <w:rFonts w:ascii="Aptos" w:hAnsi="Aptos"/>
          <w:bCs/>
          <w:iCs/>
          <w:sz w:val="22"/>
          <w:szCs w:val="22"/>
        </w:rPr>
        <w:t>Besonders in Städten, die häufig mit den größten sozialen Herausforderungen konfrontiert sind, ist der Ausbau von Sozialsystemen und Unterstützungsangeboten entscheidend. Dazu gehören umfassende Maßnahmen zur Armutsbekämpfung, Unterstützung für Arbeitslose, Zugang zu erschwinglichem Wohnraum und Gesundheitsversorgung sowie Bildungs- und Weiterbildungsprogramme.</w:t>
      </w:r>
      <w:r>
        <w:rPr>
          <w:rFonts w:ascii="Aptos" w:hAnsi="Aptos"/>
          <w:bCs/>
          <w:iCs/>
          <w:sz w:val="22"/>
          <w:szCs w:val="22"/>
        </w:rPr>
        <w:t xml:space="preserve"> </w:t>
      </w:r>
      <w:r w:rsidRPr="00F37E2A">
        <w:rPr>
          <w:rFonts w:ascii="Aptos" w:hAnsi="Aptos"/>
          <w:bCs/>
          <w:iCs/>
          <w:sz w:val="22"/>
          <w:szCs w:val="22"/>
        </w:rPr>
        <w:t xml:space="preserve">Durch eine koordinierte Herangehensweise können die Mitgliedstaaten sicherstellen, dass alle Bürger, unabhängig von ihrem Wohnort, Zugang zu angemessener sozialer Unterstützung haben. Dies stärkt nicht nur die sozialen Strukturen, sondern fördert auch die wirtschaftliche Entwicklung, indem es die Teilhabe aller Bürger am Arbeitsmarkt und gesellschaftlichen Leben verbessert. </w:t>
      </w:r>
    </w:p>
    <w:p w14:paraId="0E55604D" w14:textId="77777777" w:rsidR="00623AF8" w:rsidRPr="00CD3D28" w:rsidRDefault="00623AF8" w:rsidP="00623AF8">
      <w:pPr>
        <w:spacing w:after="120"/>
        <w:jc w:val="both"/>
        <w:rPr>
          <w:rFonts w:ascii="Aptos" w:hAnsi="Aptos"/>
          <w:bCs/>
          <w:iCs/>
          <w:sz w:val="22"/>
          <w:szCs w:val="22"/>
        </w:rPr>
      </w:pPr>
    </w:p>
    <w:p w14:paraId="7C5C14E7" w14:textId="77777777" w:rsidR="00623AF8" w:rsidRPr="00CD3D28" w:rsidRDefault="00623AF8" w:rsidP="00623AF8">
      <w:pPr>
        <w:pStyle w:val="berschrift1"/>
        <w:ind w:left="720"/>
        <w:rPr>
          <w:rFonts w:ascii="Aptos" w:hAnsi="Aptos"/>
        </w:rPr>
      </w:pPr>
    </w:p>
    <w:p w14:paraId="739AE531" w14:textId="77777777" w:rsidR="00623AF8" w:rsidRPr="00CD3D28" w:rsidRDefault="00623AF8" w:rsidP="00623AF8">
      <w:pPr>
        <w:pStyle w:val="berschrift1"/>
        <w:rPr>
          <w:rFonts w:ascii="Aptos" w:hAnsi="Aptos"/>
        </w:rPr>
      </w:pPr>
      <w:bookmarkStart w:id="498" w:name="_Toc170142559"/>
      <w:bookmarkStart w:id="499" w:name="_Toc170983830"/>
      <w:r>
        <w:rPr>
          <w:rFonts w:ascii="Aptos" w:hAnsi="Aptos"/>
        </w:rPr>
        <w:t>Ausbau der Sozialsysteme in Nettoempfängerstaaten</w:t>
      </w:r>
      <w:bookmarkEnd w:id="498"/>
      <w:bookmarkEnd w:id="499"/>
    </w:p>
    <w:p w14:paraId="18576BA2"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73A49663" w14:textId="77777777" w:rsidTr="00875DD0">
        <w:tc>
          <w:tcPr>
            <w:tcW w:w="9060" w:type="dxa"/>
            <w:shd w:val="clear" w:color="auto" w:fill="D9D9D9" w:themeFill="background1" w:themeFillShade="D9"/>
          </w:tcPr>
          <w:p w14:paraId="6CC8EFCE"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4D92D6E3" w14:textId="77777777" w:rsidTr="00875DD0">
        <w:tc>
          <w:tcPr>
            <w:tcW w:w="9060" w:type="dxa"/>
          </w:tcPr>
          <w:p w14:paraId="0C2A4B2E" w14:textId="77777777" w:rsidR="00623AF8" w:rsidRPr="00CD3D28" w:rsidRDefault="00623AF8" w:rsidP="00875DD0">
            <w:pPr>
              <w:spacing w:before="120" w:after="120"/>
              <w:jc w:val="both"/>
              <w:rPr>
                <w:rFonts w:ascii="Aptos" w:hAnsi="Aptos"/>
                <w:sz w:val="22"/>
                <w:szCs w:val="22"/>
              </w:rPr>
            </w:pPr>
            <w:r w:rsidRPr="00B77E4F">
              <w:rPr>
                <w:rFonts w:ascii="Aptos" w:hAnsi="Aptos"/>
                <w:sz w:val="22"/>
                <w:szCs w:val="22"/>
              </w:rPr>
              <w:t xml:space="preserve">Im Rahmen der EU-Kohäsionsfonds werden große Summen an EU-Geldern an die jeweiligen Mitgliedstaaten verteilt, mit dem Ziel, die wirtschaftliche Konvergenz zwischen den EU-Staaten und Regionen zu fördern. Mit diesen Mitteln verfügt die EU auch über einen Hebel, um eine Aufwärtskonvergenz in den Sozialsystemen der Mitgliedstaaten zu fördern. </w:t>
            </w:r>
            <w:r w:rsidRPr="001A2BE4">
              <w:rPr>
                <w:rFonts w:ascii="Aptos" w:hAnsi="Aptos"/>
                <w:b/>
                <w:bCs/>
                <w:sz w:val="22"/>
                <w:szCs w:val="22"/>
              </w:rPr>
              <w:t xml:space="preserve">Wie kann sichergestellt werden, dass die Netto-Empfänger von EU-Geldern unter den </w:t>
            </w:r>
            <w:r>
              <w:rPr>
                <w:rFonts w:ascii="Aptos" w:hAnsi="Aptos"/>
                <w:b/>
                <w:bCs/>
                <w:sz w:val="22"/>
                <w:szCs w:val="22"/>
              </w:rPr>
              <w:t>Mitgliedstaaten</w:t>
            </w:r>
            <w:r w:rsidRPr="001A2BE4">
              <w:rPr>
                <w:rFonts w:ascii="Aptos" w:hAnsi="Aptos"/>
                <w:b/>
                <w:bCs/>
                <w:sz w:val="22"/>
                <w:szCs w:val="22"/>
              </w:rPr>
              <w:t xml:space="preserve"> ihre </w:t>
            </w:r>
            <w:r>
              <w:rPr>
                <w:rFonts w:ascii="Aptos" w:hAnsi="Aptos"/>
                <w:b/>
                <w:bCs/>
                <w:sz w:val="22"/>
                <w:szCs w:val="22"/>
              </w:rPr>
              <w:t>sozialen Sicherungs</w:t>
            </w:r>
            <w:r w:rsidRPr="001A2BE4">
              <w:rPr>
                <w:rFonts w:ascii="Aptos" w:hAnsi="Aptos"/>
                <w:b/>
                <w:bCs/>
                <w:sz w:val="22"/>
                <w:szCs w:val="22"/>
              </w:rPr>
              <w:t>systeme ausbauen und verbessern</w:t>
            </w:r>
            <w:r w:rsidRPr="005A2933">
              <w:rPr>
                <w:rFonts w:ascii="Aptos" w:hAnsi="Aptos"/>
                <w:b/>
                <w:bCs/>
                <w:sz w:val="22"/>
                <w:szCs w:val="22"/>
              </w:rPr>
              <w:t>?</w:t>
            </w:r>
          </w:p>
        </w:tc>
      </w:tr>
      <w:tr w:rsidR="00623AF8" w:rsidRPr="00CD3D28" w14:paraId="6AB449FF" w14:textId="77777777" w:rsidTr="00875DD0">
        <w:tc>
          <w:tcPr>
            <w:tcW w:w="9060" w:type="dxa"/>
            <w:shd w:val="clear" w:color="auto" w:fill="D9D9D9" w:themeFill="background1" w:themeFillShade="D9"/>
          </w:tcPr>
          <w:p w14:paraId="154A9EA1"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6D46EF68" w14:textId="77777777" w:rsidTr="00875DD0">
        <w:tc>
          <w:tcPr>
            <w:tcW w:w="9060" w:type="dxa"/>
          </w:tcPr>
          <w:p w14:paraId="2187AEBB" w14:textId="77777777" w:rsidR="00623AF8" w:rsidRPr="0009748D" w:rsidRDefault="00623AF8" w:rsidP="00F63BE8">
            <w:pPr>
              <w:pStyle w:val="Listenabsatz"/>
              <w:numPr>
                <w:ilvl w:val="0"/>
                <w:numId w:val="71"/>
              </w:numPr>
              <w:spacing w:after="160" w:line="259" w:lineRule="auto"/>
              <w:rPr>
                <w:rFonts w:ascii="Aptos" w:hAnsi="Aptos"/>
                <w:sz w:val="22"/>
                <w:szCs w:val="22"/>
              </w:rPr>
            </w:pPr>
            <w:r w:rsidRPr="0009748D">
              <w:rPr>
                <w:rFonts w:ascii="Aptos" w:hAnsi="Aptos"/>
                <w:sz w:val="22"/>
                <w:szCs w:val="22"/>
              </w:rPr>
              <w:t>Wie kann der Kohäsionsfonds dahingehend zielgerichtet genutzt werden?</w:t>
            </w:r>
          </w:p>
        </w:tc>
      </w:tr>
    </w:tbl>
    <w:p w14:paraId="555B60D1"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232AB065" w14:textId="77777777" w:rsidTr="00875DD0">
        <w:tc>
          <w:tcPr>
            <w:tcW w:w="9060" w:type="dxa"/>
            <w:shd w:val="clear" w:color="auto" w:fill="D9D9D9" w:themeFill="background1" w:themeFillShade="D9"/>
          </w:tcPr>
          <w:p w14:paraId="2D9E0B77" w14:textId="77777777" w:rsidR="00623AF8" w:rsidRDefault="00623AF8" w:rsidP="00875DD0">
            <w:pPr>
              <w:spacing w:after="120"/>
              <w:jc w:val="both"/>
              <w:rPr>
                <w:rFonts w:ascii="Aptos" w:hAnsi="Aptos"/>
                <w:b/>
                <w:iCs/>
                <w:sz w:val="22"/>
                <w:szCs w:val="22"/>
              </w:rPr>
            </w:pPr>
            <w:r w:rsidRPr="005A018F">
              <w:rPr>
                <w:rFonts w:ascii="Aptos" w:hAnsi="Aptos"/>
                <w:b/>
                <w:bCs/>
                <w:sz w:val="22"/>
                <w:szCs w:val="22"/>
              </w:rPr>
              <w:t>Hintergrund</w:t>
            </w:r>
          </w:p>
        </w:tc>
      </w:tr>
    </w:tbl>
    <w:p w14:paraId="37BDD634" w14:textId="77777777" w:rsidR="00623AF8" w:rsidRPr="005D7239" w:rsidRDefault="00623AF8" w:rsidP="00623AF8">
      <w:pPr>
        <w:spacing w:after="120"/>
        <w:jc w:val="both"/>
        <w:rPr>
          <w:rFonts w:ascii="Aptos" w:hAnsi="Aptos"/>
          <w:bCs/>
          <w:iCs/>
          <w:sz w:val="22"/>
          <w:szCs w:val="22"/>
        </w:rPr>
      </w:pPr>
      <w:r w:rsidRPr="005D7239">
        <w:rPr>
          <w:rFonts w:ascii="Aptos" w:hAnsi="Aptos"/>
          <w:bCs/>
          <w:iCs/>
          <w:sz w:val="22"/>
          <w:szCs w:val="22"/>
        </w:rPr>
        <w:t xml:space="preserve">Der Ausbau und die Verbesserung sozialer Sicherungssysteme in den Netto-Empfänger-Ländern von EU-Geldern sind von entscheidender Bedeutung für die langfristige Stabilität und den Wohlstand der gesamten Europäischen Union. </w:t>
      </w:r>
      <w:r>
        <w:rPr>
          <w:rFonts w:ascii="Aptos" w:hAnsi="Aptos"/>
          <w:bCs/>
          <w:iCs/>
          <w:sz w:val="22"/>
          <w:szCs w:val="22"/>
        </w:rPr>
        <w:t>Diese</w:t>
      </w:r>
      <w:r w:rsidRPr="005D7239">
        <w:rPr>
          <w:rFonts w:ascii="Aptos" w:hAnsi="Aptos"/>
          <w:bCs/>
          <w:iCs/>
          <w:sz w:val="22"/>
          <w:szCs w:val="22"/>
        </w:rPr>
        <w:t xml:space="preserve"> Länder </w:t>
      </w:r>
      <w:r>
        <w:rPr>
          <w:rFonts w:ascii="Aptos" w:hAnsi="Aptos"/>
          <w:bCs/>
          <w:iCs/>
          <w:sz w:val="22"/>
          <w:szCs w:val="22"/>
        </w:rPr>
        <w:t>stehen</w:t>
      </w:r>
      <w:r w:rsidRPr="005D7239">
        <w:rPr>
          <w:rFonts w:ascii="Aptos" w:hAnsi="Aptos"/>
          <w:bCs/>
          <w:iCs/>
          <w:sz w:val="22"/>
          <w:szCs w:val="22"/>
        </w:rPr>
        <w:t xml:space="preserve"> oft </w:t>
      </w:r>
      <w:r>
        <w:rPr>
          <w:rFonts w:ascii="Aptos" w:hAnsi="Aptos"/>
          <w:bCs/>
          <w:iCs/>
          <w:sz w:val="22"/>
          <w:szCs w:val="22"/>
        </w:rPr>
        <w:t xml:space="preserve">vor </w:t>
      </w:r>
      <w:r w:rsidRPr="005D7239">
        <w:rPr>
          <w:rFonts w:ascii="Aptos" w:hAnsi="Aptos"/>
          <w:bCs/>
          <w:iCs/>
          <w:sz w:val="22"/>
          <w:szCs w:val="22"/>
        </w:rPr>
        <w:t>größere</w:t>
      </w:r>
      <w:r>
        <w:rPr>
          <w:rFonts w:ascii="Aptos" w:hAnsi="Aptos"/>
          <w:bCs/>
          <w:iCs/>
          <w:sz w:val="22"/>
          <w:szCs w:val="22"/>
        </w:rPr>
        <w:t>n</w:t>
      </w:r>
      <w:r w:rsidRPr="005D7239">
        <w:rPr>
          <w:rFonts w:ascii="Aptos" w:hAnsi="Aptos"/>
          <w:bCs/>
          <w:iCs/>
          <w:sz w:val="22"/>
          <w:szCs w:val="22"/>
        </w:rPr>
        <w:t xml:space="preserve"> wirtschaftlichen und sozialen Herausforderungen und benötigen daher gezielte Unterstützung, um </w:t>
      </w:r>
      <w:r>
        <w:rPr>
          <w:rFonts w:ascii="Aptos" w:hAnsi="Aptos"/>
          <w:bCs/>
          <w:iCs/>
          <w:sz w:val="22"/>
          <w:szCs w:val="22"/>
        </w:rPr>
        <w:t xml:space="preserve">ihre sozialen Sicherungssysteme auf ein Niveau auszubauen, das die </w:t>
      </w:r>
      <w:r w:rsidRPr="005D7239">
        <w:rPr>
          <w:rFonts w:ascii="Aptos" w:hAnsi="Aptos"/>
          <w:bCs/>
          <w:iCs/>
          <w:sz w:val="22"/>
          <w:szCs w:val="22"/>
        </w:rPr>
        <w:t>Lebensqualität ihrer Bürger verbesser</w:t>
      </w:r>
      <w:r>
        <w:rPr>
          <w:rFonts w:ascii="Aptos" w:hAnsi="Aptos"/>
          <w:bCs/>
          <w:iCs/>
          <w:sz w:val="22"/>
          <w:szCs w:val="22"/>
        </w:rPr>
        <w:t>t</w:t>
      </w:r>
      <w:r w:rsidRPr="005D7239">
        <w:rPr>
          <w:rFonts w:ascii="Aptos" w:hAnsi="Aptos"/>
          <w:bCs/>
          <w:iCs/>
          <w:sz w:val="22"/>
          <w:szCs w:val="22"/>
        </w:rPr>
        <w:t xml:space="preserve"> und Ungleichheiten verringer</w:t>
      </w:r>
      <w:r>
        <w:rPr>
          <w:rFonts w:ascii="Aptos" w:hAnsi="Aptos"/>
          <w:bCs/>
          <w:iCs/>
          <w:sz w:val="22"/>
          <w:szCs w:val="22"/>
        </w:rPr>
        <w:t>t</w:t>
      </w:r>
      <w:r w:rsidRPr="005D7239">
        <w:rPr>
          <w:rFonts w:ascii="Aptos" w:hAnsi="Aptos"/>
          <w:bCs/>
          <w:iCs/>
          <w:sz w:val="22"/>
          <w:szCs w:val="22"/>
        </w:rPr>
        <w:t>.</w:t>
      </w:r>
    </w:p>
    <w:p w14:paraId="08CF559F" w14:textId="77777777" w:rsidR="00623AF8" w:rsidRPr="005D7239" w:rsidRDefault="00623AF8" w:rsidP="00623AF8">
      <w:pPr>
        <w:spacing w:after="120"/>
        <w:jc w:val="both"/>
        <w:rPr>
          <w:rFonts w:ascii="Aptos" w:hAnsi="Aptos"/>
          <w:bCs/>
          <w:iCs/>
          <w:sz w:val="22"/>
          <w:szCs w:val="22"/>
        </w:rPr>
      </w:pPr>
      <w:r w:rsidRPr="005D7239">
        <w:rPr>
          <w:rFonts w:ascii="Aptos" w:hAnsi="Aptos"/>
          <w:bCs/>
          <w:iCs/>
          <w:sz w:val="22"/>
          <w:szCs w:val="22"/>
        </w:rPr>
        <w:t xml:space="preserve">Der Kohäsionsfonds der EU </w:t>
      </w:r>
      <w:r>
        <w:rPr>
          <w:rFonts w:ascii="Aptos" w:hAnsi="Aptos"/>
          <w:bCs/>
          <w:iCs/>
          <w:sz w:val="22"/>
          <w:szCs w:val="22"/>
        </w:rPr>
        <w:t>könnte ein</w:t>
      </w:r>
      <w:r w:rsidRPr="005D7239">
        <w:rPr>
          <w:rFonts w:ascii="Aptos" w:hAnsi="Aptos"/>
          <w:bCs/>
          <w:iCs/>
          <w:sz w:val="22"/>
          <w:szCs w:val="22"/>
        </w:rPr>
        <w:t xml:space="preserve"> Instrument</w:t>
      </w:r>
      <w:r>
        <w:rPr>
          <w:rFonts w:ascii="Aptos" w:hAnsi="Aptos"/>
          <w:bCs/>
          <w:iCs/>
          <w:sz w:val="22"/>
          <w:szCs w:val="22"/>
        </w:rPr>
        <w:t xml:space="preserve"> dafür sein.</w:t>
      </w:r>
      <w:r w:rsidRPr="005D7239">
        <w:rPr>
          <w:rFonts w:ascii="Aptos" w:hAnsi="Aptos"/>
          <w:bCs/>
          <w:iCs/>
          <w:sz w:val="22"/>
          <w:szCs w:val="22"/>
        </w:rPr>
        <w:t xml:space="preserve"> Er zielt darauf ab, die wirtschaftliche, soziale und territoriale Kohäsion zu stärken, indem er die Mitgliedstaaten </w:t>
      </w:r>
      <w:r>
        <w:rPr>
          <w:rFonts w:ascii="Aptos" w:hAnsi="Aptos"/>
          <w:bCs/>
          <w:iCs/>
          <w:sz w:val="22"/>
          <w:szCs w:val="22"/>
        </w:rPr>
        <w:t>mit den niedrigsten pro Kopf Einkommen finanziell unterstützt</w:t>
      </w:r>
      <w:r w:rsidRPr="005D7239">
        <w:rPr>
          <w:rFonts w:ascii="Aptos" w:hAnsi="Aptos"/>
          <w:bCs/>
          <w:iCs/>
          <w:sz w:val="22"/>
          <w:szCs w:val="22"/>
        </w:rPr>
        <w:t>.</w:t>
      </w:r>
      <w:r w:rsidRPr="00C76CFE">
        <w:rPr>
          <w:rFonts w:ascii="Aptos" w:hAnsi="Aptos"/>
          <w:bCs/>
          <w:iCs/>
          <w:sz w:val="22"/>
          <w:szCs w:val="22"/>
        </w:rPr>
        <w:t xml:space="preserve"> Die EU </w:t>
      </w:r>
      <w:r>
        <w:rPr>
          <w:rFonts w:ascii="Aptos" w:hAnsi="Aptos"/>
          <w:bCs/>
          <w:iCs/>
          <w:sz w:val="22"/>
          <w:szCs w:val="22"/>
        </w:rPr>
        <w:t>könnte</w:t>
      </w:r>
      <w:r w:rsidRPr="00C76CFE">
        <w:rPr>
          <w:rFonts w:ascii="Aptos" w:hAnsi="Aptos"/>
          <w:bCs/>
          <w:iCs/>
          <w:sz w:val="22"/>
          <w:szCs w:val="22"/>
        </w:rPr>
        <w:t xml:space="preserve"> </w:t>
      </w:r>
      <w:r>
        <w:rPr>
          <w:rFonts w:ascii="Aptos" w:hAnsi="Aptos"/>
          <w:bCs/>
          <w:iCs/>
          <w:sz w:val="22"/>
          <w:szCs w:val="22"/>
        </w:rPr>
        <w:t>die</w:t>
      </w:r>
      <w:r w:rsidRPr="00C76CFE">
        <w:rPr>
          <w:rFonts w:ascii="Aptos" w:hAnsi="Aptos"/>
          <w:bCs/>
          <w:iCs/>
          <w:sz w:val="22"/>
          <w:szCs w:val="22"/>
        </w:rPr>
        <w:t xml:space="preserve"> strategische</w:t>
      </w:r>
      <w:r>
        <w:rPr>
          <w:rFonts w:ascii="Aptos" w:hAnsi="Aptos"/>
          <w:bCs/>
          <w:iCs/>
          <w:sz w:val="22"/>
          <w:szCs w:val="22"/>
        </w:rPr>
        <w:t>n</w:t>
      </w:r>
      <w:r w:rsidRPr="00C76CFE">
        <w:rPr>
          <w:rFonts w:ascii="Aptos" w:hAnsi="Aptos"/>
          <w:bCs/>
          <w:iCs/>
          <w:sz w:val="22"/>
          <w:szCs w:val="22"/>
        </w:rPr>
        <w:t xml:space="preserve"> Ziele für die Verwendung der Kohäsionsfonds </w:t>
      </w:r>
      <w:r>
        <w:rPr>
          <w:rFonts w:ascii="Aptos" w:hAnsi="Aptos"/>
          <w:bCs/>
          <w:iCs/>
          <w:sz w:val="22"/>
          <w:szCs w:val="22"/>
        </w:rPr>
        <w:t xml:space="preserve">klarer </w:t>
      </w:r>
      <w:r w:rsidRPr="00C76CFE">
        <w:rPr>
          <w:rFonts w:ascii="Aptos" w:hAnsi="Aptos"/>
          <w:bCs/>
          <w:iCs/>
          <w:sz w:val="22"/>
          <w:szCs w:val="22"/>
        </w:rPr>
        <w:t xml:space="preserve">festlegen </w:t>
      </w:r>
      <w:r>
        <w:rPr>
          <w:rFonts w:ascii="Aptos" w:hAnsi="Aptos"/>
          <w:bCs/>
          <w:iCs/>
          <w:sz w:val="22"/>
          <w:szCs w:val="22"/>
        </w:rPr>
        <w:t xml:space="preserve">und dabei Indikatoren </w:t>
      </w:r>
      <w:r w:rsidRPr="00C76CFE">
        <w:rPr>
          <w:rFonts w:ascii="Aptos" w:hAnsi="Aptos"/>
          <w:bCs/>
          <w:iCs/>
          <w:sz w:val="22"/>
          <w:szCs w:val="22"/>
        </w:rPr>
        <w:t>soziale</w:t>
      </w:r>
      <w:r>
        <w:rPr>
          <w:rFonts w:ascii="Aptos" w:hAnsi="Aptos"/>
          <w:bCs/>
          <w:iCs/>
          <w:sz w:val="22"/>
          <w:szCs w:val="22"/>
        </w:rPr>
        <w:t>r</w:t>
      </w:r>
      <w:r w:rsidRPr="00C76CFE">
        <w:rPr>
          <w:rFonts w:ascii="Aptos" w:hAnsi="Aptos"/>
          <w:bCs/>
          <w:iCs/>
          <w:sz w:val="22"/>
          <w:szCs w:val="22"/>
        </w:rPr>
        <w:t xml:space="preserve"> Inklusion und Armutsbekämpfung </w:t>
      </w:r>
      <w:r>
        <w:rPr>
          <w:rFonts w:ascii="Aptos" w:hAnsi="Aptos"/>
          <w:bCs/>
          <w:iCs/>
          <w:sz w:val="22"/>
          <w:szCs w:val="22"/>
        </w:rPr>
        <w:t>miteinbeziehen</w:t>
      </w:r>
      <w:r w:rsidRPr="00C76CFE">
        <w:rPr>
          <w:rFonts w:ascii="Aptos" w:hAnsi="Aptos"/>
          <w:bCs/>
          <w:iCs/>
          <w:sz w:val="22"/>
          <w:szCs w:val="22"/>
        </w:rPr>
        <w:t>.</w:t>
      </w:r>
      <w:r>
        <w:rPr>
          <w:rFonts w:ascii="Aptos" w:hAnsi="Aptos"/>
          <w:bCs/>
          <w:iCs/>
          <w:sz w:val="22"/>
          <w:szCs w:val="22"/>
        </w:rPr>
        <w:t xml:space="preserve"> Die</w:t>
      </w:r>
      <w:r w:rsidRPr="00C76CFE">
        <w:rPr>
          <w:rFonts w:ascii="Aptos" w:hAnsi="Aptos"/>
          <w:bCs/>
          <w:iCs/>
          <w:sz w:val="22"/>
          <w:szCs w:val="22"/>
        </w:rPr>
        <w:t xml:space="preserve"> Mittelvergabe </w:t>
      </w:r>
      <w:r>
        <w:rPr>
          <w:rFonts w:ascii="Aptos" w:hAnsi="Aptos"/>
          <w:bCs/>
          <w:iCs/>
          <w:sz w:val="22"/>
          <w:szCs w:val="22"/>
        </w:rPr>
        <w:t xml:space="preserve">könnte dann </w:t>
      </w:r>
      <w:r w:rsidRPr="00C76CFE">
        <w:rPr>
          <w:rFonts w:ascii="Aptos" w:hAnsi="Aptos"/>
          <w:bCs/>
          <w:iCs/>
          <w:sz w:val="22"/>
          <w:szCs w:val="22"/>
        </w:rPr>
        <w:t xml:space="preserve">an die Umsetzung von Reformen und Verbesserungen in den Sozialsystemen </w:t>
      </w:r>
      <w:r>
        <w:rPr>
          <w:rFonts w:ascii="Aptos" w:hAnsi="Aptos"/>
          <w:bCs/>
          <w:iCs/>
          <w:sz w:val="22"/>
          <w:szCs w:val="22"/>
        </w:rPr>
        <w:t>entsprechend der festgelegten Indikatoren ge</w:t>
      </w:r>
      <w:r w:rsidRPr="00C76CFE">
        <w:rPr>
          <w:rFonts w:ascii="Aptos" w:hAnsi="Aptos"/>
          <w:bCs/>
          <w:iCs/>
          <w:sz w:val="22"/>
          <w:szCs w:val="22"/>
        </w:rPr>
        <w:t>knüpf</w:t>
      </w:r>
      <w:r>
        <w:rPr>
          <w:rFonts w:ascii="Aptos" w:hAnsi="Aptos"/>
          <w:bCs/>
          <w:iCs/>
          <w:sz w:val="22"/>
          <w:szCs w:val="22"/>
        </w:rPr>
        <w:t>t werden</w:t>
      </w:r>
      <w:r w:rsidRPr="00C76CFE">
        <w:rPr>
          <w:rFonts w:ascii="Aptos" w:hAnsi="Aptos"/>
          <w:bCs/>
          <w:iCs/>
          <w:sz w:val="22"/>
          <w:szCs w:val="22"/>
        </w:rPr>
        <w:t xml:space="preserve">. Dies </w:t>
      </w:r>
      <w:r>
        <w:rPr>
          <w:rFonts w:ascii="Aptos" w:hAnsi="Aptos"/>
          <w:bCs/>
          <w:iCs/>
          <w:sz w:val="22"/>
          <w:szCs w:val="22"/>
        </w:rPr>
        <w:t>würde</w:t>
      </w:r>
      <w:r w:rsidRPr="00C76CFE">
        <w:rPr>
          <w:rFonts w:ascii="Aptos" w:hAnsi="Aptos"/>
          <w:bCs/>
          <w:iCs/>
          <w:sz w:val="22"/>
          <w:szCs w:val="22"/>
        </w:rPr>
        <w:t xml:space="preserve"> die Effizienz, Transparenz und Wirksamkeit der Systeme erhöhen.</w:t>
      </w:r>
      <w:r>
        <w:rPr>
          <w:rFonts w:ascii="Aptos" w:hAnsi="Aptos"/>
          <w:bCs/>
          <w:iCs/>
          <w:sz w:val="22"/>
          <w:szCs w:val="22"/>
        </w:rPr>
        <w:t xml:space="preserve"> Weiters muss die korrekte Verwendung auch nach Vergabe nachvollziehbar sein.</w:t>
      </w:r>
      <w:r w:rsidRPr="00C76CFE">
        <w:rPr>
          <w:rFonts w:ascii="Aptos" w:hAnsi="Aptos"/>
          <w:bCs/>
          <w:iCs/>
          <w:sz w:val="22"/>
          <w:szCs w:val="22"/>
        </w:rPr>
        <w:t xml:space="preserve"> Die EU sollte die Verwendung der Mittel </w:t>
      </w:r>
      <w:r>
        <w:rPr>
          <w:rFonts w:ascii="Aptos" w:hAnsi="Aptos"/>
          <w:bCs/>
          <w:iCs/>
          <w:sz w:val="22"/>
          <w:szCs w:val="22"/>
        </w:rPr>
        <w:t xml:space="preserve">dazu </w:t>
      </w:r>
      <w:r w:rsidRPr="00C76CFE">
        <w:rPr>
          <w:rFonts w:ascii="Aptos" w:hAnsi="Aptos"/>
          <w:bCs/>
          <w:iCs/>
          <w:sz w:val="22"/>
          <w:szCs w:val="22"/>
        </w:rPr>
        <w:t>überwachen und sicherstellen, dass sie den beabsichtigten Zweck erfüllen</w:t>
      </w:r>
      <w:r>
        <w:rPr>
          <w:rFonts w:ascii="Aptos" w:hAnsi="Aptos"/>
          <w:bCs/>
          <w:iCs/>
          <w:sz w:val="22"/>
          <w:szCs w:val="22"/>
        </w:rPr>
        <w:t xml:space="preserve"> und bei Verstoß Sanktionen setzen</w:t>
      </w:r>
      <w:r w:rsidRPr="00C76CFE">
        <w:rPr>
          <w:rFonts w:ascii="Aptos" w:hAnsi="Aptos"/>
          <w:bCs/>
          <w:iCs/>
          <w:sz w:val="22"/>
          <w:szCs w:val="22"/>
        </w:rPr>
        <w:t xml:space="preserve">. </w:t>
      </w:r>
    </w:p>
    <w:p w14:paraId="1514683E" w14:textId="77777777" w:rsidR="00623AF8" w:rsidRPr="0009127C" w:rsidRDefault="00623AF8" w:rsidP="00623AF8">
      <w:pPr>
        <w:spacing w:after="120"/>
        <w:jc w:val="both"/>
        <w:rPr>
          <w:rFonts w:ascii="Aptos" w:hAnsi="Aptos"/>
          <w:bCs/>
          <w:iCs/>
          <w:sz w:val="22"/>
          <w:szCs w:val="22"/>
        </w:rPr>
      </w:pPr>
      <w:r w:rsidRPr="005D7239">
        <w:rPr>
          <w:rFonts w:ascii="Aptos" w:hAnsi="Aptos"/>
          <w:bCs/>
          <w:iCs/>
          <w:sz w:val="22"/>
          <w:szCs w:val="22"/>
        </w:rPr>
        <w:t>Durch den gezielten Einsatz des Kohäsionsfonds wird sichergestellt, dass die Mittel effektiv genutzt werden, um die sozialen Sicherungssysteme in den Netto-Empfänger-Ländern zu stärken und die Lebensbedingungen ihrer Bürger zu verbessern. Dies trägt letztlich zu einer gerechteren und wohlhabenderen Europäischen Union bei.</w:t>
      </w:r>
      <w:r w:rsidRPr="0009127C">
        <w:rPr>
          <w:rFonts w:ascii="Aptos" w:hAnsi="Aptos"/>
          <w:bCs/>
          <w:sz w:val="22"/>
          <w:szCs w:val="22"/>
        </w:rPr>
        <w:br w:type="page"/>
      </w:r>
    </w:p>
    <w:p w14:paraId="4AEFBDD5" w14:textId="77777777" w:rsidR="00623AF8" w:rsidRPr="00CD3D28" w:rsidRDefault="00623AF8" w:rsidP="00623AF8">
      <w:pPr>
        <w:pStyle w:val="berschrift1"/>
        <w:ind w:left="720"/>
        <w:rPr>
          <w:rFonts w:ascii="Aptos" w:hAnsi="Aptos"/>
        </w:rPr>
      </w:pPr>
    </w:p>
    <w:p w14:paraId="6A526DC4" w14:textId="77777777" w:rsidR="00623AF8" w:rsidRPr="00CD3D28" w:rsidRDefault="00623AF8" w:rsidP="00623AF8">
      <w:pPr>
        <w:pStyle w:val="berschrift1"/>
        <w:rPr>
          <w:rFonts w:ascii="Aptos" w:hAnsi="Aptos"/>
        </w:rPr>
      </w:pPr>
      <w:bookmarkStart w:id="500" w:name="_Toc170142560"/>
      <w:bookmarkStart w:id="501" w:name="_Toc170983831"/>
      <w:r>
        <w:rPr>
          <w:rFonts w:ascii="Aptos" w:hAnsi="Aptos"/>
        </w:rPr>
        <w:t>Bekämpfung von Kinderarmut</w:t>
      </w:r>
      <w:bookmarkEnd w:id="500"/>
      <w:bookmarkEnd w:id="501"/>
    </w:p>
    <w:p w14:paraId="7749ECCA"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3443418E" w14:textId="77777777" w:rsidTr="00875DD0">
        <w:tc>
          <w:tcPr>
            <w:tcW w:w="9060" w:type="dxa"/>
            <w:shd w:val="clear" w:color="auto" w:fill="D9D9D9" w:themeFill="background1" w:themeFillShade="D9"/>
          </w:tcPr>
          <w:p w14:paraId="6A0DF37F"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328DF74D" w14:textId="77777777" w:rsidTr="00875DD0">
        <w:tc>
          <w:tcPr>
            <w:tcW w:w="9060" w:type="dxa"/>
          </w:tcPr>
          <w:p w14:paraId="1336A614" w14:textId="77777777" w:rsidR="00623AF8" w:rsidRPr="00CD3D28" w:rsidRDefault="00623AF8" w:rsidP="00875DD0">
            <w:pPr>
              <w:spacing w:before="120" w:after="120"/>
              <w:jc w:val="both"/>
              <w:rPr>
                <w:rFonts w:ascii="Aptos" w:hAnsi="Aptos"/>
                <w:sz w:val="22"/>
                <w:szCs w:val="22"/>
              </w:rPr>
            </w:pPr>
            <w:r>
              <w:rPr>
                <w:rFonts w:ascii="Aptos" w:hAnsi="Aptos"/>
                <w:sz w:val="22"/>
                <w:szCs w:val="22"/>
              </w:rPr>
              <w:t>Nach wie vor sind in der EU viele Kinder von Armut betroffen.</w:t>
            </w:r>
            <w:r w:rsidRPr="00CD3D28">
              <w:rPr>
                <w:rFonts w:ascii="Aptos" w:hAnsi="Aptos"/>
                <w:sz w:val="22"/>
                <w:szCs w:val="22"/>
              </w:rPr>
              <w:t xml:space="preserve"> </w:t>
            </w:r>
            <w:r w:rsidRPr="000A3910">
              <w:rPr>
                <w:rFonts w:ascii="Aptos" w:hAnsi="Aptos"/>
                <w:b/>
                <w:bCs/>
                <w:sz w:val="22"/>
                <w:szCs w:val="22"/>
              </w:rPr>
              <w:t>Welche Maßnahmen planen Sie, um Kinderarmut in Europa sukzessive zu beenden</w:t>
            </w:r>
            <w:r w:rsidRPr="008A6798">
              <w:rPr>
                <w:rFonts w:ascii="Aptos" w:hAnsi="Aptos"/>
                <w:b/>
                <w:bCs/>
                <w:sz w:val="22"/>
                <w:szCs w:val="22"/>
              </w:rPr>
              <w:t>?</w:t>
            </w:r>
            <w:r w:rsidRPr="00CD3D28">
              <w:rPr>
                <w:rFonts w:ascii="Aptos" w:hAnsi="Aptos"/>
                <w:sz w:val="22"/>
                <w:szCs w:val="22"/>
              </w:rPr>
              <w:t xml:space="preserve"> </w:t>
            </w:r>
          </w:p>
        </w:tc>
      </w:tr>
      <w:tr w:rsidR="00623AF8" w:rsidRPr="00CD3D28" w14:paraId="5AF949D4" w14:textId="77777777" w:rsidTr="00875DD0">
        <w:tc>
          <w:tcPr>
            <w:tcW w:w="9060" w:type="dxa"/>
            <w:shd w:val="clear" w:color="auto" w:fill="D9D9D9" w:themeFill="background1" w:themeFillShade="D9"/>
          </w:tcPr>
          <w:p w14:paraId="0B551AFE"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102D3EB2" w14:textId="77777777" w:rsidTr="00875DD0">
        <w:tc>
          <w:tcPr>
            <w:tcW w:w="9060" w:type="dxa"/>
          </w:tcPr>
          <w:p w14:paraId="289235C4" w14:textId="77777777" w:rsidR="00623AF8" w:rsidRPr="001A7D33" w:rsidRDefault="00623AF8" w:rsidP="00F63BE8">
            <w:pPr>
              <w:pStyle w:val="Listenabsatz"/>
              <w:numPr>
                <w:ilvl w:val="0"/>
                <w:numId w:val="71"/>
              </w:numPr>
              <w:spacing w:before="120" w:after="120"/>
              <w:jc w:val="both"/>
              <w:rPr>
                <w:rFonts w:ascii="Aptos" w:hAnsi="Aptos"/>
                <w:sz w:val="22"/>
                <w:szCs w:val="22"/>
              </w:rPr>
            </w:pPr>
            <w:r w:rsidRPr="001A7D33">
              <w:rPr>
                <w:rFonts w:ascii="Aptos" w:hAnsi="Aptos"/>
                <w:sz w:val="22"/>
                <w:szCs w:val="22"/>
              </w:rPr>
              <w:t>Welche konkreten Instrumente und Budgets sind dazu angedacht?</w:t>
            </w:r>
          </w:p>
          <w:p w14:paraId="0C255B53" w14:textId="77777777" w:rsidR="00623AF8" w:rsidRPr="001A7D33" w:rsidRDefault="00623AF8" w:rsidP="00F63BE8">
            <w:pPr>
              <w:pStyle w:val="Listenabsatz"/>
              <w:numPr>
                <w:ilvl w:val="0"/>
                <w:numId w:val="71"/>
              </w:numPr>
              <w:spacing w:before="120" w:after="120"/>
              <w:jc w:val="both"/>
              <w:rPr>
                <w:rFonts w:ascii="Aptos" w:hAnsi="Aptos"/>
                <w:sz w:val="22"/>
                <w:szCs w:val="22"/>
              </w:rPr>
            </w:pPr>
            <w:r w:rsidRPr="001A7D33">
              <w:rPr>
                <w:rFonts w:ascii="Aptos" w:hAnsi="Aptos"/>
                <w:sz w:val="22"/>
                <w:szCs w:val="22"/>
              </w:rPr>
              <w:t>Wie stellen Sie sicher, dass die Gelder auch bei den Kindern ankommen? Wären zweckgewidmete Sachleistungen eine Möglichkeit?</w:t>
            </w:r>
          </w:p>
        </w:tc>
      </w:tr>
    </w:tbl>
    <w:p w14:paraId="32CAE757"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504E7164" w14:textId="77777777" w:rsidTr="00875DD0">
        <w:tc>
          <w:tcPr>
            <w:tcW w:w="9060" w:type="dxa"/>
            <w:tcBorders>
              <w:top w:val="nil"/>
              <w:left w:val="nil"/>
              <w:bottom w:val="nil"/>
              <w:right w:val="nil"/>
            </w:tcBorders>
            <w:shd w:val="clear" w:color="auto" w:fill="D9D9D9" w:themeFill="background1" w:themeFillShade="D9"/>
          </w:tcPr>
          <w:p w14:paraId="2D19C2AF" w14:textId="77777777" w:rsidR="00623AF8" w:rsidRDefault="00623AF8" w:rsidP="00875DD0">
            <w:pPr>
              <w:pStyle w:val="StandardWeb"/>
              <w:jc w:val="both"/>
              <w:rPr>
                <w:rFonts w:ascii="Aptos" w:hAnsi="Aptos"/>
              </w:rPr>
            </w:pPr>
            <w:r w:rsidRPr="005A018F">
              <w:rPr>
                <w:rFonts w:ascii="Aptos" w:hAnsi="Aptos"/>
                <w:b/>
                <w:bCs/>
                <w:sz w:val="22"/>
                <w:szCs w:val="22"/>
              </w:rPr>
              <w:t>Hintergrund</w:t>
            </w:r>
          </w:p>
        </w:tc>
      </w:tr>
    </w:tbl>
    <w:p w14:paraId="6C60DD8C" w14:textId="77777777" w:rsidR="00623AF8" w:rsidRPr="0009127C" w:rsidRDefault="00623AF8" w:rsidP="00623AF8">
      <w:pPr>
        <w:pStyle w:val="StandardWeb"/>
        <w:spacing w:before="0" w:beforeAutospacing="0"/>
        <w:jc w:val="both"/>
        <w:rPr>
          <w:rFonts w:ascii="Aptos" w:hAnsi="Aptos"/>
        </w:rPr>
      </w:pPr>
      <w:r>
        <w:rPr>
          <w:rFonts w:ascii="Aptos" w:hAnsi="Aptos"/>
        </w:rPr>
        <w:t>Mit der Covid-19 Pandemie hat die Kinderarmut in Europa wieder zugenommen,</w:t>
      </w:r>
      <w:r>
        <w:rPr>
          <w:rStyle w:val="Funotenzeichen"/>
          <w:rFonts w:ascii="Aptos" w:hAnsi="Aptos"/>
        </w:rPr>
        <w:footnoteReference w:id="26"/>
      </w:r>
      <w:r>
        <w:rPr>
          <w:rFonts w:ascii="Aptos" w:hAnsi="Aptos"/>
        </w:rPr>
        <w:t xml:space="preserve"> eine Tatsache, die den dringenden Handlungsbedarf verdeutlicht. Die </w:t>
      </w:r>
      <w:r w:rsidRPr="0009127C">
        <w:rPr>
          <w:rFonts w:ascii="Aptos" w:hAnsi="Aptos"/>
        </w:rPr>
        <w:t>sukzessive Beendigung der Kinderarmut in Europa ist von entscheidender Bedeutung für die Zukunft der EU. Kinderarmut beeinträchtigt die Entwicklung und das Wohlbefinden von Kindern erheblich und führt zu langfristigen sozi</w:t>
      </w:r>
      <w:r>
        <w:rPr>
          <w:rFonts w:ascii="Aptos" w:hAnsi="Aptos"/>
        </w:rPr>
        <w:t>oökonomische</w:t>
      </w:r>
      <w:r w:rsidRPr="0009127C">
        <w:rPr>
          <w:rFonts w:ascii="Aptos" w:hAnsi="Aptos"/>
        </w:rPr>
        <w:t>n</w:t>
      </w:r>
      <w:r>
        <w:rPr>
          <w:rFonts w:ascii="Aptos" w:hAnsi="Aptos"/>
        </w:rPr>
        <w:t xml:space="preserve"> Verwerfungen</w:t>
      </w:r>
      <w:r w:rsidRPr="0009127C">
        <w:rPr>
          <w:rFonts w:ascii="Aptos" w:hAnsi="Aptos"/>
        </w:rPr>
        <w:t>. Daher müssen gezielte Maßnahmen und Budgets eingesetzt werden, um diese Problematik anzugehen und eine gerechte Zukunft für alle Kinder zu gewährleisten.</w:t>
      </w:r>
      <w:r>
        <w:rPr>
          <w:rFonts w:ascii="Aptos" w:hAnsi="Aptos"/>
        </w:rPr>
        <w:t xml:space="preserve"> In dem Zusammenhang hat die EU-Kommission die Strategie für die Rechte von Kindern und die Europäische Kindergarantie veröffentlicht.</w:t>
      </w:r>
      <w:r w:rsidRPr="0009127C">
        <w:rPr>
          <w:rFonts w:ascii="Aptos" w:hAnsi="Aptos"/>
        </w:rPr>
        <w:t xml:space="preserve"> </w:t>
      </w:r>
      <w:r>
        <w:rPr>
          <w:rFonts w:ascii="Aptos" w:hAnsi="Aptos"/>
        </w:rPr>
        <w:t>Letztere zielt darauf ab</w:t>
      </w:r>
      <w:r w:rsidRPr="0009127C">
        <w:rPr>
          <w:rFonts w:ascii="Aptos" w:hAnsi="Aptos"/>
        </w:rPr>
        <w:t xml:space="preserve">, allen Kindern Zugang zu grundlegenden Dienstleistungen zu gewährleisten. </w:t>
      </w:r>
      <w:r w:rsidRPr="00E01A69">
        <w:rPr>
          <w:rFonts w:ascii="Aptos" w:hAnsi="Aptos"/>
        </w:rPr>
        <w:t>Dies umfasst kostenlose Bildung, Gesundheitsversorgung, Mahlzeiten in Schulen und angemessenen Wohnrau</w:t>
      </w:r>
      <w:r>
        <w:rPr>
          <w:rFonts w:ascii="Aptos" w:hAnsi="Aptos"/>
        </w:rPr>
        <w:t>m.</w:t>
      </w:r>
      <w:r w:rsidRPr="00E01A69">
        <w:rPr>
          <w:rStyle w:val="Funotenzeichen"/>
          <w:rFonts w:ascii="Aptos" w:hAnsi="Aptos"/>
        </w:rPr>
        <w:t xml:space="preserve"> </w:t>
      </w:r>
      <w:r>
        <w:rPr>
          <w:rStyle w:val="Funotenzeichen"/>
          <w:rFonts w:ascii="Aptos" w:hAnsi="Aptos"/>
        </w:rPr>
        <w:footnoteReference w:id="27"/>
      </w:r>
    </w:p>
    <w:p w14:paraId="5B2023FE" w14:textId="77777777" w:rsidR="00623AF8" w:rsidRPr="00E01A69" w:rsidRDefault="00623AF8" w:rsidP="00623AF8">
      <w:pPr>
        <w:pStyle w:val="StandardWeb"/>
        <w:jc w:val="both"/>
        <w:rPr>
          <w:rFonts w:ascii="Aptos" w:hAnsi="Aptos"/>
        </w:rPr>
      </w:pPr>
      <w:r>
        <w:rPr>
          <w:rFonts w:ascii="Aptos" w:hAnsi="Aptos"/>
        </w:rPr>
        <w:t xml:space="preserve">Weitere </w:t>
      </w:r>
      <w:r w:rsidRPr="0009127C">
        <w:rPr>
          <w:rFonts w:ascii="Aptos" w:hAnsi="Aptos"/>
        </w:rPr>
        <w:t xml:space="preserve">Instrumente zur Bekämpfung der Kinderarmut </w:t>
      </w:r>
      <w:r>
        <w:rPr>
          <w:rFonts w:ascii="Aptos" w:hAnsi="Aptos"/>
        </w:rPr>
        <w:t>sind der</w:t>
      </w:r>
      <w:r w:rsidRPr="0009127C">
        <w:rPr>
          <w:rFonts w:ascii="Aptos" w:hAnsi="Aptos"/>
        </w:rPr>
        <w:t xml:space="preserve"> Europäische Sozialfonds Plus (ESF+) und </w:t>
      </w:r>
      <w:r>
        <w:rPr>
          <w:rFonts w:ascii="Aptos" w:hAnsi="Aptos"/>
        </w:rPr>
        <w:t>der</w:t>
      </w:r>
      <w:r w:rsidRPr="0009127C">
        <w:rPr>
          <w:rFonts w:ascii="Aptos" w:hAnsi="Aptos"/>
        </w:rPr>
        <w:t xml:space="preserve"> Europäischen Fonds für regionale Entwicklung (EFRE). Diese Fonds können Programme finanzieren, die den Zugang zu hochwertiger Bildung, Gesundheitsversorgung und sozialen Dienstleistungen verbessern. Auch direkte finanzielle Unterstützungen und zweckgewidmete Sachleistungen </w:t>
      </w:r>
      <w:r>
        <w:rPr>
          <w:rFonts w:ascii="Aptos" w:hAnsi="Aptos"/>
        </w:rPr>
        <w:t>könnten damit gefördert werden. F</w:t>
      </w:r>
      <w:r w:rsidRPr="0009127C">
        <w:rPr>
          <w:rFonts w:ascii="Aptos" w:hAnsi="Aptos"/>
        </w:rPr>
        <w:t xml:space="preserve">inanzielle </w:t>
      </w:r>
      <w:r>
        <w:rPr>
          <w:rFonts w:ascii="Aptos" w:hAnsi="Aptos"/>
        </w:rPr>
        <w:t>Zuwendungen</w:t>
      </w:r>
      <w:r w:rsidRPr="0009127C">
        <w:rPr>
          <w:rFonts w:ascii="Aptos" w:hAnsi="Aptos"/>
        </w:rPr>
        <w:t xml:space="preserve"> für einkommensschwache Familien</w:t>
      </w:r>
      <w:r>
        <w:rPr>
          <w:rFonts w:ascii="Aptos" w:hAnsi="Aptos"/>
        </w:rPr>
        <w:t xml:space="preserve"> und I</w:t>
      </w:r>
      <w:r w:rsidRPr="0009127C">
        <w:rPr>
          <w:rFonts w:ascii="Aptos" w:hAnsi="Aptos"/>
        </w:rPr>
        <w:t xml:space="preserve">nvestitionen in </w:t>
      </w:r>
      <w:r>
        <w:rPr>
          <w:rFonts w:ascii="Aptos" w:hAnsi="Aptos"/>
        </w:rPr>
        <w:t xml:space="preserve">die </w:t>
      </w:r>
      <w:r w:rsidRPr="0009127C">
        <w:rPr>
          <w:rFonts w:ascii="Aptos" w:hAnsi="Aptos"/>
        </w:rPr>
        <w:t>Bildung und frühkindliche Entwicklung sind entscheidend, um Chancengleichheit zu fördern und</w:t>
      </w:r>
      <w:r>
        <w:rPr>
          <w:rFonts w:ascii="Aptos" w:hAnsi="Aptos"/>
        </w:rPr>
        <w:t xml:space="preserve"> Kindera</w:t>
      </w:r>
      <w:r w:rsidRPr="0009127C">
        <w:rPr>
          <w:rFonts w:ascii="Aptos" w:hAnsi="Aptos"/>
        </w:rPr>
        <w:t>rmut zu bekämpfen.</w:t>
      </w:r>
    </w:p>
    <w:p w14:paraId="7B11A2E8" w14:textId="77777777" w:rsidR="00623AF8" w:rsidRPr="00CD3D28" w:rsidRDefault="00623AF8" w:rsidP="00623AF8">
      <w:pPr>
        <w:rPr>
          <w:rFonts w:ascii="Aptos" w:hAnsi="Aptos"/>
          <w:bCs/>
          <w:sz w:val="22"/>
          <w:szCs w:val="22"/>
        </w:rPr>
      </w:pPr>
      <w:r w:rsidRPr="00CD3D28">
        <w:rPr>
          <w:rFonts w:ascii="Aptos" w:hAnsi="Aptos"/>
          <w:bCs/>
          <w:sz w:val="22"/>
          <w:szCs w:val="22"/>
        </w:rPr>
        <w:br w:type="page"/>
      </w:r>
    </w:p>
    <w:p w14:paraId="6EA3A41A" w14:textId="77777777" w:rsidR="00623AF8" w:rsidRPr="00CD3D28" w:rsidRDefault="00623AF8" w:rsidP="00623AF8">
      <w:pPr>
        <w:spacing w:after="120"/>
        <w:jc w:val="both"/>
        <w:rPr>
          <w:rFonts w:ascii="Aptos" w:hAnsi="Aptos"/>
          <w:bCs/>
          <w:iCs/>
          <w:sz w:val="22"/>
          <w:szCs w:val="22"/>
        </w:rPr>
      </w:pPr>
    </w:p>
    <w:p w14:paraId="16DB632C" w14:textId="77777777" w:rsidR="00623AF8" w:rsidRPr="00CD3D28" w:rsidRDefault="00623AF8" w:rsidP="00623AF8">
      <w:pPr>
        <w:pStyle w:val="berschrift1"/>
        <w:ind w:left="720"/>
        <w:rPr>
          <w:rFonts w:ascii="Aptos" w:hAnsi="Aptos"/>
        </w:rPr>
      </w:pPr>
    </w:p>
    <w:p w14:paraId="79784DD9" w14:textId="77777777" w:rsidR="00623AF8" w:rsidRPr="00CD3D28" w:rsidRDefault="00623AF8" w:rsidP="00623AF8">
      <w:pPr>
        <w:pStyle w:val="berschrift1"/>
        <w:rPr>
          <w:rFonts w:ascii="Aptos" w:hAnsi="Aptos"/>
        </w:rPr>
      </w:pPr>
      <w:bookmarkStart w:id="502" w:name="_Toc170142561"/>
      <w:bookmarkStart w:id="503" w:name="_Toc170983832"/>
      <w:r>
        <w:rPr>
          <w:rFonts w:ascii="Aptos" w:hAnsi="Aptos"/>
        </w:rPr>
        <w:t>Ungleicher Zugang zu Digitaltechnologien</w:t>
      </w:r>
      <w:bookmarkEnd w:id="502"/>
      <w:bookmarkEnd w:id="503"/>
    </w:p>
    <w:p w14:paraId="174F66E2"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6E0A1677" w14:textId="77777777" w:rsidTr="00875DD0">
        <w:tc>
          <w:tcPr>
            <w:tcW w:w="9060" w:type="dxa"/>
            <w:shd w:val="clear" w:color="auto" w:fill="D9D9D9" w:themeFill="background1" w:themeFillShade="D9"/>
          </w:tcPr>
          <w:p w14:paraId="5C2AB90D"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48047E82" w14:textId="77777777" w:rsidTr="00875DD0">
        <w:tc>
          <w:tcPr>
            <w:tcW w:w="9060" w:type="dxa"/>
          </w:tcPr>
          <w:p w14:paraId="140CBEE8" w14:textId="77777777" w:rsidR="00623AF8" w:rsidRPr="00CD3D28" w:rsidRDefault="00623AF8" w:rsidP="00875DD0">
            <w:pPr>
              <w:spacing w:before="120" w:after="120"/>
              <w:jc w:val="both"/>
              <w:rPr>
                <w:rFonts w:ascii="Aptos" w:hAnsi="Aptos"/>
                <w:sz w:val="22"/>
                <w:szCs w:val="22"/>
              </w:rPr>
            </w:pPr>
            <w:r w:rsidRPr="002E48A6">
              <w:rPr>
                <w:rFonts w:ascii="Aptos" w:hAnsi="Aptos"/>
                <w:sz w:val="22"/>
                <w:szCs w:val="22"/>
              </w:rPr>
              <w:t xml:space="preserve">Während der Covid-19-Pandemie traten viele soziale Ungleichheiten deutlicher zutage. Auch beim Zugang zu digitalen Technologien, die für die Aufrechterhaltung des Unterrichts während der Pandemie notwendig waren, traten Ungleichheiten nach Geschlecht und sozialer Herkunft bei der Ausstattung mit und dem Zugang zu digitalen Technologien auf. </w:t>
            </w:r>
            <w:r w:rsidRPr="00513388">
              <w:rPr>
                <w:rFonts w:ascii="Aptos" w:hAnsi="Aptos"/>
                <w:b/>
                <w:bCs/>
                <w:sz w:val="22"/>
                <w:szCs w:val="22"/>
              </w:rPr>
              <w:t xml:space="preserve">Wie </w:t>
            </w:r>
            <w:r>
              <w:rPr>
                <w:rFonts w:ascii="Aptos" w:hAnsi="Aptos"/>
                <w:b/>
                <w:bCs/>
                <w:sz w:val="22"/>
                <w:szCs w:val="22"/>
              </w:rPr>
              <w:t>können</w:t>
            </w:r>
            <w:r w:rsidRPr="00513388">
              <w:rPr>
                <w:rFonts w:ascii="Aptos" w:hAnsi="Aptos"/>
                <w:b/>
                <w:bCs/>
                <w:sz w:val="22"/>
                <w:szCs w:val="22"/>
              </w:rPr>
              <w:t xml:space="preserve"> </w:t>
            </w:r>
            <w:r>
              <w:rPr>
                <w:rFonts w:ascii="Aptos" w:hAnsi="Aptos"/>
                <w:b/>
                <w:bCs/>
                <w:sz w:val="22"/>
                <w:szCs w:val="22"/>
              </w:rPr>
              <w:t>Sie</w:t>
            </w:r>
            <w:r w:rsidRPr="00513388">
              <w:rPr>
                <w:rFonts w:ascii="Aptos" w:hAnsi="Aptos"/>
                <w:b/>
                <w:bCs/>
                <w:sz w:val="22"/>
                <w:szCs w:val="22"/>
              </w:rPr>
              <w:t xml:space="preserve"> </w:t>
            </w:r>
            <w:r>
              <w:rPr>
                <w:rFonts w:ascii="Aptos" w:hAnsi="Aptos"/>
                <w:b/>
                <w:bCs/>
                <w:sz w:val="22"/>
                <w:szCs w:val="22"/>
              </w:rPr>
              <w:t>den gleichberechtigten Zugang zu Digitaltechnologien – unabhängig von Geschlecht und sozioökonomischem Status - unterstützen</w:t>
            </w:r>
            <w:r w:rsidRPr="008A6798">
              <w:rPr>
                <w:rFonts w:ascii="Aptos" w:hAnsi="Aptos"/>
                <w:b/>
                <w:bCs/>
                <w:sz w:val="22"/>
                <w:szCs w:val="22"/>
              </w:rPr>
              <w:t>?</w:t>
            </w:r>
          </w:p>
        </w:tc>
      </w:tr>
      <w:tr w:rsidR="00623AF8" w:rsidRPr="00CD3D28" w14:paraId="1EB1A71A" w14:textId="77777777" w:rsidTr="00875DD0">
        <w:tc>
          <w:tcPr>
            <w:tcW w:w="9060" w:type="dxa"/>
            <w:shd w:val="clear" w:color="auto" w:fill="D9D9D9" w:themeFill="background1" w:themeFillShade="D9"/>
          </w:tcPr>
          <w:p w14:paraId="6F760BDA"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462351A4" w14:textId="77777777" w:rsidTr="00875DD0">
        <w:tc>
          <w:tcPr>
            <w:tcW w:w="9060" w:type="dxa"/>
          </w:tcPr>
          <w:p w14:paraId="2064627E" w14:textId="77777777" w:rsidR="00623AF8" w:rsidRPr="00CD3D28" w:rsidRDefault="00623AF8" w:rsidP="00875DD0">
            <w:pPr>
              <w:spacing w:before="120" w:after="120"/>
              <w:jc w:val="both"/>
              <w:rPr>
                <w:rFonts w:ascii="Aptos" w:hAnsi="Aptos"/>
                <w:sz w:val="22"/>
                <w:szCs w:val="22"/>
              </w:rPr>
            </w:pPr>
            <w:r>
              <w:rPr>
                <w:rFonts w:ascii="Aptos" w:hAnsi="Aptos"/>
                <w:sz w:val="22"/>
                <w:szCs w:val="22"/>
              </w:rPr>
              <w:t>-</w:t>
            </w:r>
          </w:p>
        </w:tc>
      </w:tr>
    </w:tbl>
    <w:p w14:paraId="53FFE08F"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D5AF4EC" w14:textId="77777777" w:rsidTr="00875DD0">
        <w:tc>
          <w:tcPr>
            <w:tcW w:w="9060" w:type="dxa"/>
            <w:tcBorders>
              <w:top w:val="nil"/>
              <w:left w:val="nil"/>
              <w:bottom w:val="nil"/>
              <w:right w:val="nil"/>
            </w:tcBorders>
            <w:shd w:val="clear" w:color="auto" w:fill="D9D9D9" w:themeFill="background1" w:themeFillShade="D9"/>
          </w:tcPr>
          <w:p w14:paraId="1A56C1F1" w14:textId="77777777" w:rsidR="00623AF8" w:rsidRDefault="00623AF8" w:rsidP="00875DD0">
            <w:pPr>
              <w:pStyle w:val="StandardWeb"/>
              <w:jc w:val="both"/>
              <w:rPr>
                <w:rFonts w:ascii="Aptos" w:hAnsi="Aptos"/>
              </w:rPr>
            </w:pPr>
            <w:r w:rsidRPr="005A018F">
              <w:rPr>
                <w:rFonts w:ascii="Aptos" w:hAnsi="Aptos"/>
                <w:b/>
                <w:bCs/>
                <w:sz w:val="22"/>
                <w:szCs w:val="22"/>
              </w:rPr>
              <w:t>Hintergrund</w:t>
            </w:r>
          </w:p>
        </w:tc>
      </w:tr>
    </w:tbl>
    <w:p w14:paraId="7572C850" w14:textId="77777777" w:rsidR="00623AF8" w:rsidRPr="00B65862" w:rsidRDefault="00623AF8" w:rsidP="00623AF8">
      <w:pPr>
        <w:pStyle w:val="StandardWeb"/>
        <w:spacing w:before="0" w:beforeAutospacing="0"/>
        <w:jc w:val="both"/>
        <w:rPr>
          <w:rFonts w:ascii="Aptos" w:hAnsi="Aptos"/>
        </w:rPr>
      </w:pPr>
      <w:r w:rsidRPr="00B65862">
        <w:rPr>
          <w:rFonts w:ascii="Aptos" w:hAnsi="Aptos"/>
        </w:rPr>
        <w:t xml:space="preserve">Gerade während der Covid-19-Pandemie hat sich deutlich gezeigt, dass Digitalisierung nicht voraussetzungslos allen Menschen nutzt. </w:t>
      </w:r>
      <w:r>
        <w:rPr>
          <w:rFonts w:ascii="Aptos" w:hAnsi="Aptos"/>
        </w:rPr>
        <w:t>Weiterhin gibt es große Ungleichheiten im</w:t>
      </w:r>
      <w:r w:rsidRPr="00B65862">
        <w:rPr>
          <w:rFonts w:ascii="Aptos" w:hAnsi="Aptos"/>
        </w:rPr>
        <w:t xml:space="preserve"> Zugang zu Digitaltechnologien nach sozioökonomischen Status, Geschlecht und Alter.</w:t>
      </w:r>
      <w:r w:rsidRPr="00B65862">
        <w:rPr>
          <w:rStyle w:val="Funotenzeichen"/>
          <w:rFonts w:ascii="Aptos" w:hAnsi="Aptos"/>
        </w:rPr>
        <w:footnoteReference w:id="28"/>
      </w:r>
      <w:r w:rsidRPr="00B65862">
        <w:rPr>
          <w:rFonts w:ascii="Aptos" w:hAnsi="Aptos"/>
        </w:rPr>
        <w:t xml:space="preserve"> Der gleichberechtigte Zugang zu Digitaltechnologien ist entscheidend für die Schaffung einer inklusiven und gerechten Gesellschaft. Digitale Technologien sind heutzutage integraler Bestandteil des täglichen Lebens und der Arbeitswelt. Ein ungleicher Zugang </w:t>
      </w:r>
      <w:r>
        <w:rPr>
          <w:rFonts w:ascii="Aptos" w:hAnsi="Aptos"/>
        </w:rPr>
        <w:t>verstärkt</w:t>
      </w:r>
      <w:r w:rsidRPr="00B65862">
        <w:rPr>
          <w:rFonts w:ascii="Aptos" w:hAnsi="Aptos"/>
        </w:rPr>
        <w:t xml:space="preserve"> bestehende Ungleichheiten und </w:t>
      </w:r>
      <w:r>
        <w:rPr>
          <w:rFonts w:ascii="Aptos" w:hAnsi="Aptos"/>
        </w:rPr>
        <w:t xml:space="preserve">schafft </w:t>
      </w:r>
      <w:r w:rsidRPr="00B65862">
        <w:rPr>
          <w:rFonts w:ascii="Aptos" w:hAnsi="Aptos"/>
        </w:rPr>
        <w:t xml:space="preserve">neue Barrieren. </w:t>
      </w:r>
    </w:p>
    <w:p w14:paraId="4F7BA94F" w14:textId="77777777" w:rsidR="00623AF8" w:rsidRPr="00B65862" w:rsidRDefault="00623AF8" w:rsidP="00623AF8">
      <w:pPr>
        <w:pStyle w:val="StandardWeb"/>
        <w:jc w:val="both"/>
        <w:rPr>
          <w:rFonts w:ascii="Aptos" w:hAnsi="Aptos"/>
        </w:rPr>
      </w:pPr>
      <w:r>
        <w:rPr>
          <w:rFonts w:ascii="Aptos" w:hAnsi="Aptos"/>
        </w:rPr>
        <w:t>Schülerinnen haben</w:t>
      </w:r>
      <w:r w:rsidRPr="00B65862">
        <w:rPr>
          <w:rFonts w:ascii="Aptos" w:hAnsi="Aptos"/>
        </w:rPr>
        <w:t xml:space="preserve"> haben oft weniger Zugang zu digitalen Technologien </w:t>
      </w:r>
      <w:r>
        <w:rPr>
          <w:rFonts w:ascii="Aptos" w:hAnsi="Aptos"/>
        </w:rPr>
        <w:t xml:space="preserve">als ihre männlichen Mitschüler </w:t>
      </w:r>
      <w:r w:rsidRPr="00B65862">
        <w:rPr>
          <w:rFonts w:ascii="Aptos" w:hAnsi="Aptos"/>
        </w:rPr>
        <w:t xml:space="preserve">und den entsprechenden Bildungsressourcen. </w:t>
      </w:r>
      <w:r>
        <w:rPr>
          <w:rFonts w:ascii="Aptos" w:hAnsi="Aptos"/>
        </w:rPr>
        <w:t xml:space="preserve">Das trifft gerade für Familien mit geringerem sozioökonomischem Status zu. </w:t>
      </w:r>
      <w:r w:rsidRPr="00B65862">
        <w:rPr>
          <w:rFonts w:ascii="Aptos" w:hAnsi="Aptos"/>
        </w:rPr>
        <w:t xml:space="preserve">Durch gezielte Förderprogramme, die den Zugang zu Computern, Internet und digitaler Bildung verbessern, können diese Gruppen besser in den digitalen Wandel eingebunden werden. </w:t>
      </w:r>
      <w:r>
        <w:rPr>
          <w:rFonts w:ascii="Aptos" w:hAnsi="Aptos"/>
        </w:rPr>
        <w:t>Zu k</w:t>
      </w:r>
      <w:r w:rsidRPr="00B65862">
        <w:rPr>
          <w:rFonts w:ascii="Aptos" w:hAnsi="Aptos"/>
        </w:rPr>
        <w:t>onkrete</w:t>
      </w:r>
      <w:r>
        <w:rPr>
          <w:rFonts w:ascii="Aptos" w:hAnsi="Aptos"/>
        </w:rPr>
        <w:t>n</w:t>
      </w:r>
      <w:r w:rsidRPr="00B65862">
        <w:rPr>
          <w:rFonts w:ascii="Aptos" w:hAnsi="Aptos"/>
        </w:rPr>
        <w:t xml:space="preserve"> Maßnahmen </w:t>
      </w:r>
      <w:r>
        <w:rPr>
          <w:rFonts w:ascii="Aptos" w:hAnsi="Aptos"/>
        </w:rPr>
        <w:t>zählen</w:t>
      </w:r>
      <w:r w:rsidRPr="00B65862">
        <w:rPr>
          <w:rFonts w:ascii="Aptos" w:hAnsi="Aptos"/>
        </w:rPr>
        <w:t xml:space="preserve"> die Bereitstellung von kostenloser oder subventionierter Technologie und Internetzugang für einkommensschwache Haushalte, sowie spezielle Bildungs- und Weiterbildungsprogramme. Initiativen, die Mädchen und Frauen in den Bereichen MINT (Mathematik, Informatik, Naturwissenschaften und Technik) fördern, sind ebenfalls von großer Bedeutung, um geschlechtsspezifische Ungleichheiten </w:t>
      </w:r>
      <w:r>
        <w:rPr>
          <w:rFonts w:ascii="Aptos" w:hAnsi="Aptos"/>
        </w:rPr>
        <w:t xml:space="preserve">im Bereich der Digitalisierung </w:t>
      </w:r>
      <w:r w:rsidRPr="00B65862">
        <w:rPr>
          <w:rFonts w:ascii="Aptos" w:hAnsi="Aptos"/>
        </w:rPr>
        <w:t>zu verringern.</w:t>
      </w:r>
    </w:p>
    <w:p w14:paraId="561B2C77" w14:textId="77777777" w:rsidR="00623AF8" w:rsidRPr="00E61B2A" w:rsidRDefault="00623AF8" w:rsidP="00623AF8">
      <w:pPr>
        <w:rPr>
          <w:rFonts w:ascii="Aptos" w:hAnsi="Aptos"/>
          <w:bCs/>
          <w:sz w:val="22"/>
          <w:szCs w:val="22"/>
        </w:rPr>
      </w:pPr>
      <w:r w:rsidRPr="00E61B2A">
        <w:rPr>
          <w:rFonts w:ascii="Aptos" w:hAnsi="Aptos"/>
          <w:bCs/>
          <w:sz w:val="22"/>
          <w:szCs w:val="22"/>
        </w:rPr>
        <w:br w:type="page"/>
      </w:r>
    </w:p>
    <w:p w14:paraId="6B85B93B" w14:textId="77777777" w:rsidR="00623AF8" w:rsidRPr="00E61B2A" w:rsidRDefault="00623AF8" w:rsidP="00623AF8">
      <w:pPr>
        <w:spacing w:after="120"/>
        <w:jc w:val="both"/>
        <w:rPr>
          <w:rFonts w:ascii="Aptos" w:hAnsi="Aptos"/>
          <w:bCs/>
          <w:iCs/>
          <w:sz w:val="22"/>
          <w:szCs w:val="22"/>
        </w:rPr>
      </w:pPr>
    </w:p>
    <w:p w14:paraId="041FEAC6" w14:textId="77777777" w:rsidR="00623AF8" w:rsidRPr="00CD3D28" w:rsidRDefault="00623AF8" w:rsidP="00623AF8">
      <w:pPr>
        <w:pStyle w:val="berschrift1"/>
        <w:ind w:left="720"/>
        <w:rPr>
          <w:rFonts w:ascii="Aptos" w:hAnsi="Aptos"/>
        </w:rPr>
      </w:pPr>
    </w:p>
    <w:p w14:paraId="577E556A" w14:textId="77777777" w:rsidR="00623AF8" w:rsidRPr="00CD3D28" w:rsidRDefault="00623AF8" w:rsidP="00623AF8">
      <w:pPr>
        <w:pStyle w:val="berschrift1"/>
        <w:rPr>
          <w:rFonts w:ascii="Aptos" w:hAnsi="Aptos"/>
        </w:rPr>
      </w:pPr>
      <w:bookmarkStart w:id="504" w:name="_Toc170142562"/>
      <w:bookmarkStart w:id="505" w:name="_Toc170983833"/>
      <w:r>
        <w:rPr>
          <w:rFonts w:ascii="Aptos" w:hAnsi="Aptos"/>
        </w:rPr>
        <w:t>Senkung der Langzeitarbeitslosigkeit</w:t>
      </w:r>
      <w:bookmarkEnd w:id="504"/>
      <w:bookmarkEnd w:id="505"/>
    </w:p>
    <w:p w14:paraId="249FB926"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60C44230" w14:textId="77777777" w:rsidTr="00875DD0">
        <w:tc>
          <w:tcPr>
            <w:tcW w:w="9060" w:type="dxa"/>
            <w:shd w:val="clear" w:color="auto" w:fill="D9D9D9" w:themeFill="background1" w:themeFillShade="D9"/>
          </w:tcPr>
          <w:p w14:paraId="1E8EA107"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09AAB142" w14:textId="77777777" w:rsidTr="00875DD0">
        <w:tc>
          <w:tcPr>
            <w:tcW w:w="9060" w:type="dxa"/>
          </w:tcPr>
          <w:p w14:paraId="642C1190" w14:textId="77777777" w:rsidR="00623AF8" w:rsidRPr="00CD3D28" w:rsidRDefault="00623AF8" w:rsidP="00875DD0">
            <w:pPr>
              <w:spacing w:before="120" w:after="120"/>
              <w:jc w:val="both"/>
              <w:rPr>
                <w:rFonts w:ascii="Aptos" w:hAnsi="Aptos"/>
                <w:sz w:val="22"/>
                <w:szCs w:val="22"/>
              </w:rPr>
            </w:pPr>
            <w:r w:rsidRPr="00A63254">
              <w:rPr>
                <w:rFonts w:ascii="Aptos" w:hAnsi="Aptos"/>
                <w:sz w:val="22"/>
                <w:szCs w:val="22"/>
              </w:rPr>
              <w:t xml:space="preserve">Nach wie vor ist der EU-Binnenmarkt von struktureller Langzeitarbeitslosigkeit geprägt. </w:t>
            </w:r>
            <w:r>
              <w:rPr>
                <w:rFonts w:ascii="Aptos" w:hAnsi="Aptos"/>
                <w:b/>
                <w:bCs/>
                <w:sz w:val="22"/>
                <w:szCs w:val="22"/>
              </w:rPr>
              <w:t xml:space="preserve">Welche </w:t>
            </w:r>
            <w:r w:rsidRPr="004F33B8">
              <w:rPr>
                <w:rFonts w:ascii="Aptos" w:hAnsi="Aptos"/>
                <w:b/>
                <w:bCs/>
                <w:sz w:val="22"/>
                <w:szCs w:val="22"/>
              </w:rPr>
              <w:t xml:space="preserve">Maßnahmen </w:t>
            </w:r>
            <w:r>
              <w:rPr>
                <w:rFonts w:ascii="Aptos" w:hAnsi="Aptos"/>
                <w:b/>
                <w:bCs/>
                <w:sz w:val="22"/>
                <w:szCs w:val="22"/>
              </w:rPr>
              <w:t xml:space="preserve">gedenken Sie </w:t>
            </w:r>
            <w:r w:rsidRPr="004F33B8">
              <w:rPr>
                <w:rFonts w:ascii="Aptos" w:hAnsi="Aptos"/>
                <w:b/>
                <w:bCs/>
                <w:sz w:val="22"/>
                <w:szCs w:val="22"/>
              </w:rPr>
              <w:t xml:space="preserve">zu </w:t>
            </w:r>
            <w:r>
              <w:rPr>
                <w:rFonts w:ascii="Aptos" w:hAnsi="Aptos"/>
                <w:b/>
                <w:bCs/>
                <w:sz w:val="22"/>
                <w:szCs w:val="22"/>
              </w:rPr>
              <w:t>setzen</w:t>
            </w:r>
            <w:r w:rsidRPr="004F33B8">
              <w:rPr>
                <w:rFonts w:ascii="Aptos" w:hAnsi="Aptos"/>
                <w:b/>
                <w:bCs/>
                <w:sz w:val="22"/>
                <w:szCs w:val="22"/>
              </w:rPr>
              <w:t>, um Langzeitarbeitslosigkeit in der EU zu reduzieren</w:t>
            </w:r>
            <w:r w:rsidRPr="00383992">
              <w:rPr>
                <w:rFonts w:ascii="Aptos" w:hAnsi="Aptos"/>
                <w:b/>
                <w:bCs/>
                <w:sz w:val="22"/>
                <w:szCs w:val="22"/>
              </w:rPr>
              <w:t>?</w:t>
            </w:r>
          </w:p>
        </w:tc>
      </w:tr>
      <w:tr w:rsidR="00623AF8" w:rsidRPr="00CD3D28" w14:paraId="79912F3D" w14:textId="77777777" w:rsidTr="00875DD0">
        <w:tc>
          <w:tcPr>
            <w:tcW w:w="9060" w:type="dxa"/>
            <w:shd w:val="clear" w:color="auto" w:fill="D9D9D9" w:themeFill="background1" w:themeFillShade="D9"/>
          </w:tcPr>
          <w:p w14:paraId="745EF2B0"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6CC1D877" w14:textId="77777777" w:rsidTr="00875DD0">
        <w:tc>
          <w:tcPr>
            <w:tcW w:w="9060" w:type="dxa"/>
          </w:tcPr>
          <w:p w14:paraId="51CE272D" w14:textId="77777777" w:rsidR="00623AF8" w:rsidRPr="00CD3D28" w:rsidRDefault="00623AF8" w:rsidP="00875DD0">
            <w:pPr>
              <w:spacing w:before="120" w:after="120"/>
              <w:jc w:val="both"/>
              <w:rPr>
                <w:rFonts w:ascii="Aptos" w:hAnsi="Aptos"/>
                <w:sz w:val="22"/>
                <w:szCs w:val="22"/>
              </w:rPr>
            </w:pPr>
            <w:r>
              <w:rPr>
                <w:rFonts w:ascii="Aptos" w:hAnsi="Aptos"/>
                <w:sz w:val="22"/>
                <w:szCs w:val="22"/>
              </w:rPr>
              <w:t>-</w:t>
            </w:r>
          </w:p>
        </w:tc>
      </w:tr>
    </w:tbl>
    <w:p w14:paraId="639A3561"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1FB244DE" w14:textId="77777777" w:rsidTr="00875DD0">
        <w:tc>
          <w:tcPr>
            <w:tcW w:w="9060" w:type="dxa"/>
            <w:tcBorders>
              <w:top w:val="nil"/>
              <w:left w:val="nil"/>
              <w:bottom w:val="nil"/>
              <w:right w:val="nil"/>
            </w:tcBorders>
            <w:shd w:val="clear" w:color="auto" w:fill="D9D9D9" w:themeFill="background1" w:themeFillShade="D9"/>
          </w:tcPr>
          <w:p w14:paraId="2DFEB6A9" w14:textId="77777777" w:rsidR="00623AF8" w:rsidRDefault="00623AF8" w:rsidP="00875DD0">
            <w:pPr>
              <w:spacing w:after="120"/>
              <w:jc w:val="both"/>
              <w:rPr>
                <w:rFonts w:ascii="Aptos" w:hAnsi="Aptos"/>
                <w:b/>
                <w:iCs/>
                <w:sz w:val="22"/>
                <w:szCs w:val="22"/>
              </w:rPr>
            </w:pPr>
            <w:r w:rsidRPr="005A018F">
              <w:rPr>
                <w:rFonts w:ascii="Aptos" w:hAnsi="Aptos"/>
                <w:b/>
                <w:bCs/>
                <w:sz w:val="22"/>
                <w:szCs w:val="22"/>
              </w:rPr>
              <w:t>Hintergrund</w:t>
            </w:r>
          </w:p>
        </w:tc>
      </w:tr>
    </w:tbl>
    <w:p w14:paraId="1508B977" w14:textId="77777777" w:rsidR="00623AF8" w:rsidRPr="0019690E" w:rsidRDefault="00623AF8" w:rsidP="00623AF8">
      <w:pPr>
        <w:spacing w:after="120"/>
        <w:jc w:val="both"/>
        <w:rPr>
          <w:rFonts w:ascii="Aptos" w:hAnsi="Aptos"/>
          <w:sz w:val="22"/>
          <w:szCs w:val="22"/>
        </w:rPr>
      </w:pPr>
      <w:r w:rsidRPr="0019690E">
        <w:rPr>
          <w:rFonts w:ascii="Aptos" w:hAnsi="Aptos"/>
          <w:sz w:val="22"/>
          <w:szCs w:val="22"/>
        </w:rPr>
        <w:t>Langzeitarbeitslosigkeit</w:t>
      </w:r>
      <w:r>
        <w:rPr>
          <w:rFonts w:ascii="Aptos" w:hAnsi="Aptos"/>
          <w:sz w:val="22"/>
          <w:szCs w:val="22"/>
        </w:rPr>
        <w:t xml:space="preserve"> </w:t>
      </w:r>
      <w:r w:rsidRPr="0019690E">
        <w:rPr>
          <w:rFonts w:ascii="Aptos" w:hAnsi="Aptos"/>
          <w:sz w:val="22"/>
          <w:szCs w:val="22"/>
        </w:rPr>
        <w:t>hat weitreichende negative Auswirkungen auf die betroffenen Individuen und die Gesellschaft insgesamt.</w:t>
      </w:r>
      <w:r>
        <w:rPr>
          <w:rFonts w:ascii="Aptos" w:hAnsi="Aptos"/>
          <w:sz w:val="22"/>
          <w:szCs w:val="22"/>
        </w:rPr>
        <w:t xml:space="preserve"> </w:t>
      </w:r>
      <w:r w:rsidRPr="0019690E">
        <w:rPr>
          <w:rFonts w:ascii="Aptos" w:hAnsi="Aptos"/>
          <w:sz w:val="22"/>
          <w:szCs w:val="22"/>
        </w:rPr>
        <w:t>Für die betroffenen Personen führt Langzeitarbeitslosigkeit häufig zu einem Verlust von Qualifikationen, Selbstwertgefühl und sozialer Teilhabe</w:t>
      </w:r>
      <w:r>
        <w:rPr>
          <w:rFonts w:ascii="Aptos" w:hAnsi="Aptos"/>
          <w:sz w:val="22"/>
          <w:szCs w:val="22"/>
        </w:rPr>
        <w:t>, bis hin zu gesundheitlichen Verschlechterungen</w:t>
      </w:r>
      <w:r w:rsidRPr="0019690E">
        <w:rPr>
          <w:rFonts w:ascii="Aptos" w:hAnsi="Aptos"/>
          <w:sz w:val="22"/>
          <w:szCs w:val="22"/>
        </w:rPr>
        <w:t xml:space="preserve">. Dies erschwert </w:t>
      </w:r>
      <w:r>
        <w:rPr>
          <w:rFonts w:ascii="Aptos" w:hAnsi="Aptos"/>
          <w:sz w:val="22"/>
          <w:szCs w:val="22"/>
        </w:rPr>
        <w:t>die</w:t>
      </w:r>
      <w:r w:rsidRPr="0019690E">
        <w:rPr>
          <w:rFonts w:ascii="Aptos" w:hAnsi="Aptos"/>
          <w:sz w:val="22"/>
          <w:szCs w:val="22"/>
        </w:rPr>
        <w:t xml:space="preserve"> Rückkehr in den Arbeitsmarkt und erhöht das Risiko von Armut und sozialer Ausgrenzung</w:t>
      </w:r>
      <w:r>
        <w:rPr>
          <w:rFonts w:ascii="Aptos" w:hAnsi="Aptos"/>
          <w:sz w:val="22"/>
          <w:szCs w:val="22"/>
        </w:rPr>
        <w:t xml:space="preserve"> und </w:t>
      </w:r>
      <w:r w:rsidRPr="0019690E">
        <w:rPr>
          <w:rFonts w:ascii="Aptos" w:hAnsi="Aptos"/>
          <w:sz w:val="22"/>
          <w:szCs w:val="22"/>
        </w:rPr>
        <w:t xml:space="preserve">belastet </w:t>
      </w:r>
      <w:r>
        <w:rPr>
          <w:rFonts w:ascii="Aptos" w:hAnsi="Aptos"/>
          <w:sz w:val="22"/>
          <w:szCs w:val="22"/>
        </w:rPr>
        <w:t>dadurch</w:t>
      </w:r>
      <w:r w:rsidRPr="0019690E">
        <w:rPr>
          <w:rFonts w:ascii="Aptos" w:hAnsi="Aptos"/>
          <w:sz w:val="22"/>
          <w:szCs w:val="22"/>
        </w:rPr>
        <w:t xml:space="preserve"> die öffentlichen Sozialsysteme.</w:t>
      </w:r>
    </w:p>
    <w:p w14:paraId="0ABFC248" w14:textId="77777777" w:rsidR="00623AF8" w:rsidRPr="0019690E" w:rsidRDefault="00623AF8" w:rsidP="00623AF8">
      <w:pPr>
        <w:spacing w:after="120"/>
        <w:jc w:val="both"/>
        <w:rPr>
          <w:rFonts w:ascii="Aptos" w:hAnsi="Aptos"/>
          <w:sz w:val="22"/>
          <w:szCs w:val="22"/>
        </w:rPr>
      </w:pPr>
      <w:r w:rsidRPr="0019690E">
        <w:rPr>
          <w:rFonts w:ascii="Aptos" w:hAnsi="Aptos"/>
          <w:sz w:val="22"/>
          <w:szCs w:val="22"/>
        </w:rPr>
        <w:t xml:space="preserve">Um Langzeitarbeitslosigkeit effektiv zu bekämpfen, sind gezielte Maßnahmen und Programme erforderlich. </w:t>
      </w:r>
      <w:r>
        <w:rPr>
          <w:rFonts w:ascii="Aptos" w:hAnsi="Aptos"/>
          <w:sz w:val="22"/>
          <w:szCs w:val="22"/>
        </w:rPr>
        <w:t>Ein Vorschlag ist etwa das Modell einer</w:t>
      </w:r>
      <w:r w:rsidRPr="0019690E">
        <w:rPr>
          <w:rFonts w:ascii="Aptos" w:hAnsi="Aptos"/>
          <w:sz w:val="22"/>
          <w:szCs w:val="22"/>
        </w:rPr>
        <w:t xml:space="preserve"> Arbeitsplatz</w:t>
      </w:r>
      <w:r>
        <w:rPr>
          <w:rFonts w:ascii="Aptos" w:hAnsi="Aptos"/>
          <w:sz w:val="22"/>
          <w:szCs w:val="22"/>
        </w:rPr>
        <w:t xml:space="preserve">- oder </w:t>
      </w:r>
      <w:r w:rsidRPr="0019690E">
        <w:rPr>
          <w:rFonts w:ascii="Aptos" w:hAnsi="Aptos"/>
          <w:sz w:val="22"/>
          <w:szCs w:val="22"/>
        </w:rPr>
        <w:t xml:space="preserve">Beschäftigungsgarantie. </w:t>
      </w:r>
      <w:r>
        <w:rPr>
          <w:rFonts w:ascii="Aptos" w:hAnsi="Aptos"/>
          <w:sz w:val="22"/>
          <w:szCs w:val="22"/>
        </w:rPr>
        <w:t xml:space="preserve"> Teil davon können etwa </w:t>
      </w:r>
      <w:r w:rsidRPr="0019690E">
        <w:rPr>
          <w:rFonts w:ascii="Aptos" w:hAnsi="Aptos"/>
          <w:sz w:val="22"/>
          <w:szCs w:val="22"/>
        </w:rPr>
        <w:t>Einstiegskurse für Langzeitarbeitslose</w:t>
      </w:r>
      <w:r>
        <w:rPr>
          <w:rFonts w:ascii="Aptos" w:hAnsi="Aptos"/>
          <w:sz w:val="22"/>
          <w:szCs w:val="22"/>
        </w:rPr>
        <w:t xml:space="preserve"> sein, die </w:t>
      </w:r>
      <w:r w:rsidRPr="0019690E">
        <w:rPr>
          <w:rFonts w:ascii="Aptos" w:hAnsi="Aptos"/>
          <w:sz w:val="22"/>
          <w:szCs w:val="22"/>
        </w:rPr>
        <w:t>Einzelunterricht, Beratung und bei Bedarf Unterstützung durch erfahrene Sozialarbeiter:innen, Ärzt:innen und</w:t>
      </w:r>
      <w:r>
        <w:rPr>
          <w:rFonts w:ascii="Aptos" w:hAnsi="Aptos"/>
          <w:sz w:val="22"/>
          <w:szCs w:val="22"/>
        </w:rPr>
        <w:t xml:space="preserve"> </w:t>
      </w:r>
      <w:r w:rsidRPr="0019690E">
        <w:rPr>
          <w:rFonts w:ascii="Aptos" w:hAnsi="Aptos"/>
          <w:sz w:val="22"/>
          <w:szCs w:val="22"/>
        </w:rPr>
        <w:t>Psycholog:innen</w:t>
      </w:r>
      <w:r>
        <w:rPr>
          <w:rFonts w:ascii="Aptos" w:hAnsi="Aptos"/>
          <w:sz w:val="22"/>
          <w:szCs w:val="22"/>
        </w:rPr>
        <w:t xml:space="preserve"> miteinschließen. </w:t>
      </w:r>
      <w:r w:rsidRPr="0019690E">
        <w:rPr>
          <w:rFonts w:ascii="Aptos" w:hAnsi="Aptos"/>
          <w:sz w:val="22"/>
          <w:szCs w:val="22"/>
        </w:rPr>
        <w:t>Betriebe, die</w:t>
      </w:r>
      <w:r>
        <w:rPr>
          <w:rFonts w:ascii="Aptos" w:hAnsi="Aptos"/>
          <w:sz w:val="22"/>
          <w:szCs w:val="22"/>
        </w:rPr>
        <w:t xml:space="preserve"> </w:t>
      </w:r>
      <w:r w:rsidRPr="0019690E">
        <w:rPr>
          <w:rFonts w:ascii="Aptos" w:hAnsi="Aptos"/>
          <w:sz w:val="22"/>
          <w:szCs w:val="22"/>
        </w:rPr>
        <w:t xml:space="preserve">bereit </w:t>
      </w:r>
      <w:r>
        <w:rPr>
          <w:rFonts w:ascii="Aptos" w:hAnsi="Aptos"/>
          <w:sz w:val="22"/>
          <w:szCs w:val="22"/>
        </w:rPr>
        <w:t>sind</w:t>
      </w:r>
      <w:r w:rsidRPr="0019690E">
        <w:rPr>
          <w:rFonts w:ascii="Aptos" w:hAnsi="Aptos"/>
          <w:sz w:val="22"/>
          <w:szCs w:val="22"/>
        </w:rPr>
        <w:t xml:space="preserve">, neue Arbeitsplätze für Langzeitarbeitslose zu schaffen, </w:t>
      </w:r>
      <w:r>
        <w:rPr>
          <w:rFonts w:ascii="Aptos" w:hAnsi="Aptos"/>
          <w:sz w:val="22"/>
          <w:szCs w:val="22"/>
        </w:rPr>
        <w:t>könnten durch Steuererleichterungen und finanzielle Zuschüsse unterstützt werden</w:t>
      </w:r>
      <w:r w:rsidRPr="0019690E">
        <w:rPr>
          <w:rFonts w:ascii="Aptos" w:hAnsi="Aptos"/>
          <w:sz w:val="22"/>
          <w:szCs w:val="22"/>
        </w:rPr>
        <w:t>.</w:t>
      </w:r>
      <w:r>
        <w:rPr>
          <w:rFonts w:ascii="Aptos" w:hAnsi="Aptos"/>
          <w:sz w:val="22"/>
          <w:szCs w:val="22"/>
        </w:rPr>
        <w:t xml:space="preserve"> Das Modell der Arbeitsplatzgarantie beinhaltet auch die </w:t>
      </w:r>
      <w:r w:rsidRPr="0019690E">
        <w:rPr>
          <w:rFonts w:ascii="Aptos" w:hAnsi="Aptos"/>
          <w:sz w:val="22"/>
          <w:szCs w:val="22"/>
        </w:rPr>
        <w:t>Schaffung und Finanzierung zusätzlicher Dienstverhältnisse im gemeinnützigen</w:t>
      </w:r>
      <w:r>
        <w:rPr>
          <w:rFonts w:ascii="Aptos" w:hAnsi="Aptos"/>
          <w:sz w:val="22"/>
          <w:szCs w:val="22"/>
        </w:rPr>
        <w:t xml:space="preserve"> </w:t>
      </w:r>
      <w:r w:rsidRPr="0019690E">
        <w:rPr>
          <w:rFonts w:ascii="Aptos" w:hAnsi="Aptos"/>
          <w:sz w:val="22"/>
          <w:szCs w:val="22"/>
        </w:rPr>
        <w:t xml:space="preserve">Bereich für alle Langzeitarbeitslosen, für die sich </w:t>
      </w:r>
      <w:r>
        <w:rPr>
          <w:rFonts w:ascii="Aptos" w:hAnsi="Aptos"/>
          <w:sz w:val="22"/>
          <w:szCs w:val="22"/>
        </w:rPr>
        <w:t xml:space="preserve">aus schwerwiegenden Gründen </w:t>
      </w:r>
      <w:r w:rsidRPr="0019690E">
        <w:rPr>
          <w:rFonts w:ascii="Aptos" w:hAnsi="Aptos"/>
          <w:sz w:val="22"/>
          <w:szCs w:val="22"/>
        </w:rPr>
        <w:t>kein Betrieb findet, der</w:t>
      </w:r>
      <w:r>
        <w:rPr>
          <w:rFonts w:ascii="Aptos" w:hAnsi="Aptos"/>
          <w:sz w:val="22"/>
          <w:szCs w:val="22"/>
        </w:rPr>
        <w:t xml:space="preserve"> </w:t>
      </w:r>
      <w:r w:rsidRPr="0019690E">
        <w:rPr>
          <w:rFonts w:ascii="Aptos" w:hAnsi="Aptos"/>
          <w:sz w:val="22"/>
          <w:szCs w:val="22"/>
        </w:rPr>
        <w:t>ihnen ein Dienstverhältnis anbietet</w:t>
      </w:r>
      <w:r>
        <w:rPr>
          <w:rFonts w:ascii="Aptos" w:hAnsi="Aptos"/>
          <w:sz w:val="22"/>
          <w:szCs w:val="22"/>
        </w:rPr>
        <w:t>.</w:t>
      </w:r>
      <w:r w:rsidRPr="0019690E">
        <w:rPr>
          <w:rFonts w:ascii="Aptos" w:hAnsi="Aptos"/>
          <w:sz w:val="22"/>
          <w:szCs w:val="22"/>
        </w:rPr>
        <w:t xml:space="preserve"> </w:t>
      </w:r>
      <w:r>
        <w:rPr>
          <w:rFonts w:ascii="Aptos" w:hAnsi="Aptos"/>
          <w:sz w:val="22"/>
          <w:szCs w:val="22"/>
        </w:rPr>
        <w:t xml:space="preserve">Dazu ist es notwendig </w:t>
      </w:r>
      <w:r w:rsidRPr="002004C2">
        <w:rPr>
          <w:rFonts w:ascii="Aptos" w:hAnsi="Aptos"/>
          <w:sz w:val="22"/>
          <w:szCs w:val="22"/>
        </w:rPr>
        <w:t xml:space="preserve">geeignete Arbeitsplätze zu identifizieren, die </w:t>
      </w:r>
      <w:r>
        <w:rPr>
          <w:rFonts w:ascii="Aptos" w:hAnsi="Aptos"/>
          <w:sz w:val="22"/>
          <w:szCs w:val="22"/>
        </w:rPr>
        <w:t>den</w:t>
      </w:r>
      <w:r w:rsidRPr="002004C2">
        <w:rPr>
          <w:rFonts w:ascii="Aptos" w:hAnsi="Aptos"/>
          <w:sz w:val="22"/>
          <w:szCs w:val="22"/>
        </w:rPr>
        <w:t xml:space="preserve"> Qualifikationen </w:t>
      </w:r>
      <w:r>
        <w:rPr>
          <w:rFonts w:ascii="Aptos" w:hAnsi="Aptos"/>
          <w:sz w:val="22"/>
          <w:szCs w:val="22"/>
        </w:rPr>
        <w:t xml:space="preserve">der Arbeitssuchenden </w:t>
      </w:r>
      <w:r w:rsidRPr="002004C2">
        <w:rPr>
          <w:rFonts w:ascii="Aptos" w:hAnsi="Aptos"/>
          <w:sz w:val="22"/>
          <w:szCs w:val="22"/>
        </w:rPr>
        <w:t>entsprachen und</w:t>
      </w:r>
      <w:r>
        <w:rPr>
          <w:rFonts w:ascii="Aptos" w:hAnsi="Aptos"/>
          <w:sz w:val="22"/>
          <w:szCs w:val="22"/>
        </w:rPr>
        <w:t xml:space="preserve"> </w:t>
      </w:r>
      <w:r w:rsidRPr="002004C2">
        <w:rPr>
          <w:rFonts w:ascii="Aptos" w:hAnsi="Aptos"/>
          <w:sz w:val="22"/>
          <w:szCs w:val="22"/>
        </w:rPr>
        <w:t xml:space="preserve">zugleich Weiterentwicklungsmöglichkeiten </w:t>
      </w:r>
      <w:r>
        <w:rPr>
          <w:rFonts w:ascii="Aptos" w:hAnsi="Aptos"/>
          <w:sz w:val="22"/>
          <w:szCs w:val="22"/>
        </w:rPr>
        <w:t>bieten</w:t>
      </w:r>
      <w:r w:rsidRPr="002004C2">
        <w:rPr>
          <w:rFonts w:ascii="Aptos" w:hAnsi="Aptos"/>
          <w:sz w:val="22"/>
          <w:szCs w:val="22"/>
        </w:rPr>
        <w:t xml:space="preserve">. </w:t>
      </w:r>
      <w:r>
        <w:rPr>
          <w:rFonts w:ascii="Aptos" w:hAnsi="Aptos"/>
          <w:sz w:val="22"/>
          <w:szCs w:val="22"/>
        </w:rPr>
        <w:t>Ein solches Modell muss aber auch längerfristig gefördert werden, um nachhaltige Effekte zu erzielen.</w:t>
      </w:r>
      <w:r>
        <w:rPr>
          <w:rStyle w:val="Funotenzeichen"/>
          <w:rFonts w:ascii="Aptos" w:hAnsi="Aptos"/>
          <w:sz w:val="22"/>
          <w:szCs w:val="22"/>
        </w:rPr>
        <w:footnoteReference w:id="29"/>
      </w:r>
    </w:p>
    <w:p w14:paraId="798CF289" w14:textId="77777777" w:rsidR="00623AF8" w:rsidRPr="00BE6074" w:rsidRDefault="00623AF8" w:rsidP="00623AF8">
      <w:pPr>
        <w:spacing w:after="120"/>
        <w:jc w:val="both"/>
        <w:rPr>
          <w:rFonts w:ascii="Aptos" w:hAnsi="Aptos"/>
          <w:sz w:val="22"/>
          <w:szCs w:val="22"/>
        </w:rPr>
      </w:pPr>
      <w:r w:rsidRPr="0019690E">
        <w:rPr>
          <w:rFonts w:ascii="Aptos" w:hAnsi="Aptos"/>
          <w:sz w:val="22"/>
          <w:szCs w:val="22"/>
        </w:rPr>
        <w:t xml:space="preserve">Durch die Reduktion der Langzeitarbeitslosigkeit wird nicht nur die Lebensqualität der Betroffenen verbessert, sondern auch die soziale und wirtschaftliche Resilienz der EU gestärkt. Eine geringere Arbeitslosigkeit führt zu höheren Steuereinnahmen, einer besseren Auslastung der </w:t>
      </w:r>
      <w:r>
        <w:rPr>
          <w:rFonts w:ascii="Aptos" w:hAnsi="Aptos"/>
          <w:sz w:val="22"/>
          <w:szCs w:val="22"/>
        </w:rPr>
        <w:t>Erwerbsbevölkerung</w:t>
      </w:r>
      <w:r w:rsidRPr="0019690E">
        <w:rPr>
          <w:rFonts w:ascii="Aptos" w:hAnsi="Aptos"/>
          <w:sz w:val="22"/>
          <w:szCs w:val="22"/>
        </w:rPr>
        <w:t xml:space="preserve"> und eine</w:t>
      </w:r>
      <w:r>
        <w:rPr>
          <w:rFonts w:ascii="Aptos" w:hAnsi="Aptos"/>
          <w:sz w:val="22"/>
          <w:szCs w:val="22"/>
        </w:rPr>
        <w:t>m</w:t>
      </w:r>
      <w:r w:rsidRPr="0019690E">
        <w:rPr>
          <w:rFonts w:ascii="Aptos" w:hAnsi="Aptos"/>
          <w:sz w:val="22"/>
          <w:szCs w:val="22"/>
        </w:rPr>
        <w:t xml:space="preserve"> stärkeren sozialen </w:t>
      </w:r>
      <w:r>
        <w:rPr>
          <w:rFonts w:ascii="Aptos" w:hAnsi="Aptos"/>
          <w:sz w:val="22"/>
          <w:szCs w:val="22"/>
        </w:rPr>
        <w:t>Zusammenhalt</w:t>
      </w:r>
      <w:r w:rsidRPr="0019690E">
        <w:rPr>
          <w:rFonts w:ascii="Aptos" w:hAnsi="Aptos"/>
          <w:sz w:val="22"/>
          <w:szCs w:val="22"/>
        </w:rPr>
        <w:t>.</w:t>
      </w:r>
      <w:r w:rsidRPr="00627FE4">
        <w:rPr>
          <w:rFonts w:ascii="Aptos" w:hAnsi="Aptos"/>
          <w:bCs/>
          <w:sz w:val="22"/>
          <w:szCs w:val="22"/>
        </w:rPr>
        <w:br w:type="page"/>
      </w:r>
    </w:p>
    <w:p w14:paraId="2F415C52" w14:textId="77777777" w:rsidR="00623AF8" w:rsidRPr="00627FE4" w:rsidRDefault="00623AF8" w:rsidP="00623AF8">
      <w:pPr>
        <w:spacing w:after="120"/>
        <w:jc w:val="both"/>
        <w:rPr>
          <w:rFonts w:ascii="Aptos" w:hAnsi="Aptos"/>
          <w:bCs/>
          <w:iCs/>
          <w:sz w:val="22"/>
          <w:szCs w:val="22"/>
        </w:rPr>
      </w:pPr>
    </w:p>
    <w:p w14:paraId="797F74A7" w14:textId="77777777" w:rsidR="00623AF8" w:rsidRPr="00627FE4" w:rsidRDefault="00623AF8" w:rsidP="00623AF8">
      <w:pPr>
        <w:spacing w:after="120"/>
        <w:jc w:val="both"/>
        <w:rPr>
          <w:rFonts w:ascii="Aptos" w:hAnsi="Aptos"/>
          <w:bCs/>
          <w:iCs/>
          <w:sz w:val="22"/>
          <w:szCs w:val="22"/>
        </w:rPr>
      </w:pPr>
    </w:p>
    <w:p w14:paraId="29AB13B8" w14:textId="77777777" w:rsidR="00623AF8" w:rsidRPr="00CD3D28" w:rsidRDefault="00623AF8" w:rsidP="00623AF8">
      <w:pPr>
        <w:pStyle w:val="berschrift1"/>
        <w:rPr>
          <w:rFonts w:ascii="Aptos" w:hAnsi="Aptos"/>
        </w:rPr>
      </w:pPr>
      <w:bookmarkStart w:id="506" w:name="_Toc170142563"/>
      <w:bookmarkStart w:id="507" w:name="_Toc170983834"/>
      <w:r>
        <w:rPr>
          <w:rFonts w:ascii="Aptos" w:hAnsi="Aptos"/>
        </w:rPr>
        <w:t>Arbeitsbesteuerung</w:t>
      </w:r>
      <w:bookmarkEnd w:id="506"/>
      <w:bookmarkEnd w:id="507"/>
    </w:p>
    <w:p w14:paraId="232046CC"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0B404F16" w14:textId="77777777" w:rsidTr="00875DD0">
        <w:tc>
          <w:tcPr>
            <w:tcW w:w="9060" w:type="dxa"/>
            <w:shd w:val="clear" w:color="auto" w:fill="D9D9D9" w:themeFill="background1" w:themeFillShade="D9"/>
          </w:tcPr>
          <w:p w14:paraId="2848C87E"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10B3561B" w14:textId="77777777" w:rsidTr="00875DD0">
        <w:tc>
          <w:tcPr>
            <w:tcW w:w="9060" w:type="dxa"/>
          </w:tcPr>
          <w:p w14:paraId="3D26B325" w14:textId="77777777" w:rsidR="00623AF8" w:rsidRPr="00CD3D28" w:rsidRDefault="00623AF8" w:rsidP="00875DD0">
            <w:pPr>
              <w:spacing w:before="120" w:after="120"/>
              <w:jc w:val="both"/>
              <w:rPr>
                <w:rFonts w:ascii="Aptos" w:hAnsi="Aptos"/>
                <w:sz w:val="22"/>
                <w:szCs w:val="22"/>
              </w:rPr>
            </w:pPr>
            <w:r>
              <w:rPr>
                <w:rFonts w:ascii="Aptos" w:hAnsi="Aptos"/>
                <w:sz w:val="22"/>
                <w:szCs w:val="22"/>
              </w:rPr>
              <w:t>Durch den Steuerwettbewerb innerhalb der EU und dem damit verbundenen Wettlauf nach unten in den Kapitalsteuern, verlagern viele Mitgliedstaaten die Steuerlast auf den Faktor Arbeit, zu Lasten der Wettbewerbsfähigkeit und der Attraktivität des europäischen Arbeitsmarktes</w:t>
            </w:r>
            <w:r w:rsidRPr="00CD3D28">
              <w:rPr>
                <w:rFonts w:ascii="Aptos" w:hAnsi="Aptos"/>
                <w:sz w:val="22"/>
                <w:szCs w:val="22"/>
              </w:rPr>
              <w:t>.</w:t>
            </w:r>
            <w:r w:rsidRPr="00383992">
              <w:rPr>
                <w:rFonts w:ascii="Aptos" w:hAnsi="Aptos"/>
                <w:b/>
                <w:bCs/>
                <w:sz w:val="22"/>
                <w:szCs w:val="22"/>
              </w:rPr>
              <w:t xml:space="preserve"> Wie </w:t>
            </w:r>
            <w:r>
              <w:rPr>
                <w:rFonts w:ascii="Aptos" w:hAnsi="Aptos"/>
                <w:b/>
                <w:bCs/>
                <w:sz w:val="22"/>
                <w:szCs w:val="22"/>
              </w:rPr>
              <w:t>gedenkt die EU, Anreize für die Mitgliedstaaten auszuarbeiten, um den Faktor Arbeit zu entlasten</w:t>
            </w:r>
            <w:r w:rsidRPr="00383992">
              <w:rPr>
                <w:rFonts w:ascii="Aptos" w:hAnsi="Aptos"/>
                <w:b/>
                <w:bCs/>
                <w:sz w:val="22"/>
                <w:szCs w:val="22"/>
              </w:rPr>
              <w:t>?</w:t>
            </w:r>
          </w:p>
        </w:tc>
      </w:tr>
      <w:tr w:rsidR="00623AF8" w:rsidRPr="00CD3D28" w14:paraId="19F349C5" w14:textId="77777777" w:rsidTr="00875DD0">
        <w:tc>
          <w:tcPr>
            <w:tcW w:w="9060" w:type="dxa"/>
            <w:shd w:val="clear" w:color="auto" w:fill="D9D9D9" w:themeFill="background1" w:themeFillShade="D9"/>
          </w:tcPr>
          <w:p w14:paraId="4AFAFE1C"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3667A842" w14:textId="77777777" w:rsidTr="00875DD0">
        <w:tc>
          <w:tcPr>
            <w:tcW w:w="9060" w:type="dxa"/>
          </w:tcPr>
          <w:p w14:paraId="2561DCFD" w14:textId="77777777" w:rsidR="00623AF8" w:rsidRPr="00CD3D28" w:rsidRDefault="00623AF8" w:rsidP="00875DD0">
            <w:pPr>
              <w:spacing w:before="120" w:after="120"/>
              <w:jc w:val="both"/>
              <w:rPr>
                <w:rFonts w:ascii="Aptos" w:hAnsi="Aptos"/>
                <w:sz w:val="22"/>
                <w:szCs w:val="22"/>
              </w:rPr>
            </w:pPr>
            <w:r>
              <w:rPr>
                <w:rFonts w:ascii="Aptos" w:hAnsi="Aptos"/>
                <w:sz w:val="22"/>
                <w:szCs w:val="22"/>
              </w:rPr>
              <w:t>-</w:t>
            </w:r>
          </w:p>
        </w:tc>
      </w:tr>
    </w:tbl>
    <w:p w14:paraId="41AEB75B"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78F25612" w14:textId="77777777" w:rsidTr="00875DD0">
        <w:tc>
          <w:tcPr>
            <w:tcW w:w="9060" w:type="dxa"/>
            <w:tcBorders>
              <w:top w:val="nil"/>
              <w:left w:val="nil"/>
              <w:bottom w:val="nil"/>
              <w:right w:val="nil"/>
            </w:tcBorders>
            <w:shd w:val="clear" w:color="auto" w:fill="D9D9D9" w:themeFill="background1" w:themeFillShade="D9"/>
          </w:tcPr>
          <w:p w14:paraId="66BCED8E" w14:textId="77777777" w:rsidR="00623AF8" w:rsidRDefault="00623AF8" w:rsidP="00875DD0">
            <w:pPr>
              <w:pStyle w:val="StandardWeb"/>
              <w:jc w:val="both"/>
              <w:rPr>
                <w:rFonts w:ascii="Aptos" w:hAnsi="Aptos"/>
              </w:rPr>
            </w:pPr>
            <w:r w:rsidRPr="005A018F">
              <w:rPr>
                <w:rFonts w:ascii="Aptos" w:hAnsi="Aptos"/>
                <w:b/>
                <w:bCs/>
                <w:sz w:val="22"/>
                <w:szCs w:val="22"/>
              </w:rPr>
              <w:t>Hintergrund</w:t>
            </w:r>
          </w:p>
        </w:tc>
      </w:tr>
    </w:tbl>
    <w:p w14:paraId="03DCE98D" w14:textId="77777777" w:rsidR="00623AF8" w:rsidRPr="003D792A" w:rsidRDefault="00623AF8" w:rsidP="00623AF8">
      <w:pPr>
        <w:pStyle w:val="StandardWeb"/>
        <w:spacing w:before="0" w:beforeAutospacing="0"/>
        <w:jc w:val="both"/>
        <w:rPr>
          <w:rFonts w:ascii="Aptos" w:hAnsi="Aptos"/>
        </w:rPr>
      </w:pPr>
      <w:r w:rsidRPr="003D792A">
        <w:rPr>
          <w:rFonts w:ascii="Aptos" w:hAnsi="Aptos"/>
        </w:rPr>
        <w:t>Die EU gehört zu den Wirtschaftsregionen der Welt mit der höchsten Besteuerung des Faktors Arbeit im Verhältnis zur Besteuerung von Kapital. Die Steuerlast auf Arbeit bezieht sich auf den Unterschied zwischen den Gesamtkosten eines Arbeitgebers für einen Mitarbeiter und dem verfügbaren Nettoeinkommen des Mitarbeiters. Sie umfasst Lohnsteuern, aber auch Sozialabgaben. Die EU könnte Anreize für Mitgliedstaaten ausarbeiten, um den Faktor Arbeit zu entlasten, indem sie beispielsweise die Einkommenssteuersysteme anpasst oder die Sozialabgaben senkt. Es ist jedoch wichtig, die Auswirkungen solcher Maßnahmen sorgfältig zu prüfen und sicherzustellen, dass die Reduktion der Abgabenlast nicht wiederum neue Kosten für Arbeitnehmer:innen hervorruft und den sozialen Schutz nicht gefährden.</w:t>
      </w:r>
      <w:r w:rsidRPr="003D792A">
        <w:rPr>
          <w:rStyle w:val="Funotenzeichen"/>
          <w:rFonts w:ascii="Aptos" w:hAnsi="Aptos"/>
        </w:rPr>
        <w:footnoteReference w:id="30"/>
      </w:r>
      <w:r w:rsidRPr="003D792A">
        <w:rPr>
          <w:rFonts w:ascii="Aptos" w:hAnsi="Aptos"/>
        </w:rPr>
        <w:t xml:space="preserve"> Gezielte</w:t>
      </w:r>
      <w:r w:rsidRPr="003D792A">
        <w:rPr>
          <w:rFonts w:ascii="Aptos" w:hAnsi="Aptos" w:cs="Arial"/>
        </w:rPr>
        <w:t xml:space="preserve"> Steuersenkungen, vor allem der Einkommenssteuern, können zielgruppenspezifisch die Beschäftigung erhöhen. Dazu zählt etwa die Abschaffung der gemeinsamen Einkommensbesteuerung von Paaren, da diese die Beschäftigung im Schnitt senkt.</w:t>
      </w:r>
    </w:p>
    <w:p w14:paraId="4CF8872F" w14:textId="77777777" w:rsidR="00623AF8" w:rsidRPr="00CD3D28" w:rsidRDefault="00623AF8" w:rsidP="00623AF8">
      <w:pPr>
        <w:rPr>
          <w:rFonts w:ascii="Aptos" w:hAnsi="Aptos"/>
          <w:sz w:val="22"/>
          <w:szCs w:val="22"/>
        </w:rPr>
      </w:pPr>
      <w:r w:rsidRPr="00CD3D28">
        <w:rPr>
          <w:rFonts w:ascii="Aptos" w:hAnsi="Aptos"/>
          <w:b/>
          <w:sz w:val="22"/>
          <w:szCs w:val="22"/>
        </w:rPr>
        <w:br w:type="page"/>
      </w:r>
    </w:p>
    <w:p w14:paraId="7567026B" w14:textId="77777777" w:rsidR="00623AF8" w:rsidRDefault="00623AF8" w:rsidP="00623AF8">
      <w:pPr>
        <w:pStyle w:val="berschrift1"/>
        <w:rPr>
          <w:rFonts w:ascii="Aptos" w:hAnsi="Aptos"/>
        </w:rPr>
      </w:pPr>
      <w:bookmarkStart w:id="508" w:name="_Toc170142564"/>
      <w:bookmarkStart w:id="509" w:name="_Toc170983835"/>
      <w:r>
        <w:rPr>
          <w:rFonts w:ascii="Aptos" w:hAnsi="Aptos"/>
        </w:rPr>
        <w:lastRenderedPageBreak/>
        <w:t>Europäische Mindestlöhne</w:t>
      </w:r>
      <w:bookmarkEnd w:id="508"/>
      <w:bookmarkEnd w:id="509"/>
    </w:p>
    <w:p w14:paraId="0BD4B5BD" w14:textId="77777777" w:rsidR="00623AF8" w:rsidRPr="0088196D" w:rsidRDefault="00623AF8" w:rsidP="00623AF8"/>
    <w:tbl>
      <w:tblPr>
        <w:tblStyle w:val="Tabellenraster"/>
        <w:tblW w:w="0" w:type="auto"/>
        <w:tblLook w:val="04A0" w:firstRow="1" w:lastRow="0" w:firstColumn="1" w:lastColumn="0" w:noHBand="0" w:noVBand="1"/>
      </w:tblPr>
      <w:tblGrid>
        <w:gridCol w:w="9060"/>
      </w:tblGrid>
      <w:tr w:rsidR="00623AF8" w:rsidRPr="00CD3D28" w14:paraId="7120FD1F" w14:textId="77777777" w:rsidTr="00875DD0">
        <w:tc>
          <w:tcPr>
            <w:tcW w:w="9060" w:type="dxa"/>
            <w:shd w:val="clear" w:color="auto" w:fill="D9D9D9" w:themeFill="background1" w:themeFillShade="D9"/>
          </w:tcPr>
          <w:p w14:paraId="7A4CD8AA"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7EDAC6CD" w14:textId="77777777" w:rsidTr="00875DD0">
        <w:tc>
          <w:tcPr>
            <w:tcW w:w="9060" w:type="dxa"/>
          </w:tcPr>
          <w:p w14:paraId="199B88C6" w14:textId="77777777" w:rsidR="00623AF8" w:rsidRPr="00CD3D28" w:rsidRDefault="00623AF8" w:rsidP="00875DD0">
            <w:pPr>
              <w:spacing w:before="120" w:after="120"/>
              <w:jc w:val="both"/>
              <w:rPr>
                <w:rFonts w:ascii="Aptos" w:hAnsi="Aptos"/>
                <w:sz w:val="22"/>
                <w:szCs w:val="22"/>
              </w:rPr>
            </w:pPr>
            <w:r>
              <w:rPr>
                <w:rFonts w:ascii="Aptos" w:hAnsi="Aptos"/>
                <w:sz w:val="22"/>
                <w:szCs w:val="22"/>
              </w:rPr>
              <w:t>Die bestehende Mindestlohnrichtlinie stellt einen Schritt in Richtung Harmonisierung der Mindeststandards in der EU dar. Auch weiterhin sollten bestehende hohe Standards aufgrund spezifischer institutioneller Gegebenheiten in den Mitgliedstaaten durch EU-Vorgaben im Bereich der Mindestlöhne nicht untergraben werden</w:t>
            </w:r>
            <w:r w:rsidRPr="00CD3D28">
              <w:rPr>
                <w:rFonts w:ascii="Aptos" w:hAnsi="Aptos"/>
                <w:sz w:val="22"/>
                <w:szCs w:val="22"/>
              </w:rPr>
              <w:t xml:space="preserve">. </w:t>
            </w:r>
            <w:r>
              <w:rPr>
                <w:rFonts w:ascii="Aptos" w:hAnsi="Aptos"/>
                <w:b/>
                <w:bCs/>
                <w:sz w:val="22"/>
                <w:szCs w:val="22"/>
              </w:rPr>
              <w:t>Sind weitere legislative Schritte hinsichtlich europäischer Mindestlohnvorgaben geplant?</w:t>
            </w:r>
          </w:p>
        </w:tc>
      </w:tr>
      <w:tr w:rsidR="00623AF8" w:rsidRPr="00CD3D28" w14:paraId="5137968E" w14:textId="77777777" w:rsidTr="00875DD0">
        <w:tc>
          <w:tcPr>
            <w:tcW w:w="9060" w:type="dxa"/>
            <w:shd w:val="clear" w:color="auto" w:fill="D9D9D9" w:themeFill="background1" w:themeFillShade="D9"/>
          </w:tcPr>
          <w:p w14:paraId="2A09B37D"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3FB20B6F" w14:textId="77777777" w:rsidTr="00875DD0">
        <w:tc>
          <w:tcPr>
            <w:tcW w:w="9060" w:type="dxa"/>
          </w:tcPr>
          <w:p w14:paraId="5C979EC0" w14:textId="77777777" w:rsidR="00623AF8" w:rsidRPr="0067128E" w:rsidRDefault="00623AF8" w:rsidP="00F63BE8">
            <w:pPr>
              <w:pStyle w:val="Listenabsatz"/>
              <w:numPr>
                <w:ilvl w:val="0"/>
                <w:numId w:val="71"/>
              </w:numPr>
              <w:spacing w:before="120" w:after="120"/>
              <w:jc w:val="both"/>
              <w:rPr>
                <w:rFonts w:ascii="Aptos" w:hAnsi="Aptos"/>
                <w:sz w:val="22"/>
                <w:szCs w:val="22"/>
              </w:rPr>
            </w:pPr>
            <w:r w:rsidRPr="0067128E">
              <w:rPr>
                <w:rFonts w:ascii="Aptos" w:hAnsi="Aptos"/>
                <w:sz w:val="22"/>
                <w:szCs w:val="22"/>
              </w:rPr>
              <w:t>Falls ja, wie stellen Sie sicher, dass europäische Mindestlohnvorgaben keine Senkung der Lohnstandards in Mitgliedstaaten mit höheren Löhnen verursachen, diese also eine Lohnkonvergenz nach oben bewirken?</w:t>
            </w:r>
          </w:p>
        </w:tc>
      </w:tr>
    </w:tbl>
    <w:p w14:paraId="2C6D7971"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59BABF5D" w14:textId="77777777" w:rsidTr="00875DD0">
        <w:tc>
          <w:tcPr>
            <w:tcW w:w="9060" w:type="dxa"/>
            <w:tcBorders>
              <w:top w:val="nil"/>
              <w:left w:val="nil"/>
              <w:bottom w:val="nil"/>
              <w:right w:val="nil"/>
            </w:tcBorders>
            <w:shd w:val="clear" w:color="auto" w:fill="D9D9D9" w:themeFill="background1" w:themeFillShade="D9"/>
          </w:tcPr>
          <w:p w14:paraId="7ED8AEE7" w14:textId="77777777" w:rsidR="00623AF8" w:rsidRDefault="00623AF8" w:rsidP="00875DD0">
            <w:pPr>
              <w:spacing w:after="120"/>
              <w:jc w:val="both"/>
              <w:rPr>
                <w:rFonts w:ascii="Aptos" w:hAnsi="Aptos"/>
                <w:b/>
                <w:iCs/>
                <w:sz w:val="22"/>
                <w:szCs w:val="22"/>
              </w:rPr>
            </w:pPr>
            <w:r w:rsidRPr="005A018F">
              <w:rPr>
                <w:rFonts w:ascii="Aptos" w:hAnsi="Aptos"/>
                <w:b/>
                <w:bCs/>
                <w:sz w:val="22"/>
                <w:szCs w:val="22"/>
              </w:rPr>
              <w:t>Hintergrund</w:t>
            </w:r>
          </w:p>
        </w:tc>
      </w:tr>
    </w:tbl>
    <w:p w14:paraId="6C4C3EE8" w14:textId="77777777" w:rsidR="00623AF8" w:rsidRPr="00CD5FFD" w:rsidRDefault="00623AF8" w:rsidP="00623AF8">
      <w:pPr>
        <w:spacing w:after="120"/>
        <w:jc w:val="both"/>
        <w:rPr>
          <w:rFonts w:ascii="Aptos" w:hAnsi="Aptos"/>
          <w:sz w:val="22"/>
          <w:szCs w:val="22"/>
        </w:rPr>
      </w:pPr>
      <w:r w:rsidRPr="00CD5FFD">
        <w:rPr>
          <w:rFonts w:ascii="Aptos" w:hAnsi="Aptos"/>
          <w:sz w:val="22"/>
          <w:szCs w:val="22"/>
        </w:rPr>
        <w:t xml:space="preserve">In </w:t>
      </w:r>
      <w:r>
        <w:rPr>
          <w:rFonts w:ascii="Aptos" w:hAnsi="Aptos"/>
          <w:sz w:val="22"/>
          <w:szCs w:val="22"/>
        </w:rPr>
        <w:t>einer Analyse</w:t>
      </w:r>
      <w:r w:rsidRPr="00CD5FFD">
        <w:rPr>
          <w:rFonts w:ascii="Aptos" w:hAnsi="Aptos"/>
          <w:sz w:val="22"/>
          <w:szCs w:val="22"/>
        </w:rPr>
        <w:t xml:space="preserve"> zur Richtlinie über angemessene Mindestlöhne stellt das Europäische Gewerkschaftsinstitut (ETUI) fest, dass die Rechtsvorschriften bereits Auswirkungen haben, noch bevor sie in allen Mitgliedstaaten vollständig umgesetzt sind. Dem ETUI zufolge </w:t>
      </w:r>
      <w:r>
        <w:rPr>
          <w:rFonts w:ascii="Aptos" w:hAnsi="Aptos"/>
          <w:sz w:val="22"/>
          <w:szCs w:val="22"/>
        </w:rPr>
        <w:t>haben</w:t>
      </w:r>
      <w:r w:rsidRPr="00CD5FFD">
        <w:rPr>
          <w:rFonts w:ascii="Aptos" w:hAnsi="Aptos"/>
          <w:sz w:val="22"/>
          <w:szCs w:val="22"/>
        </w:rPr>
        <w:t xml:space="preserve"> die in der Richtlinie festgelegte</w:t>
      </w:r>
      <w:r>
        <w:rPr>
          <w:rFonts w:ascii="Aptos" w:hAnsi="Aptos"/>
          <w:sz w:val="22"/>
          <w:szCs w:val="22"/>
        </w:rPr>
        <w:t>n</w:t>
      </w:r>
      <w:r w:rsidRPr="00CD5FFD">
        <w:rPr>
          <w:rFonts w:ascii="Aptos" w:hAnsi="Aptos"/>
          <w:sz w:val="22"/>
          <w:szCs w:val="22"/>
        </w:rPr>
        <w:t xml:space="preserve"> </w:t>
      </w:r>
      <w:r>
        <w:rPr>
          <w:rFonts w:ascii="Aptos" w:hAnsi="Aptos"/>
          <w:sz w:val="22"/>
          <w:szCs w:val="22"/>
        </w:rPr>
        <w:t>Referenzwert</w:t>
      </w:r>
      <w:r w:rsidRPr="00CD5FFD">
        <w:rPr>
          <w:rFonts w:ascii="Aptos" w:hAnsi="Aptos"/>
          <w:sz w:val="22"/>
          <w:szCs w:val="22"/>
        </w:rPr>
        <w:t xml:space="preserve"> für angemessene Mindestlöhne von 60 % des Bruttomedianlohns und 50 % des Bruttodurchschnittslohns die Entwicklungen auf nationaler Ebene bereits beeinflusst. Das Briefing nennt Beispiele aus Bulgarien, Kroatien, Deutschland, Ungarn, Rumänien und den Niederlanden, wo die </w:t>
      </w:r>
      <w:r>
        <w:rPr>
          <w:rFonts w:ascii="Aptos" w:hAnsi="Aptos"/>
          <w:sz w:val="22"/>
          <w:szCs w:val="22"/>
        </w:rPr>
        <w:t>Referenzwerte</w:t>
      </w:r>
      <w:r w:rsidRPr="00CD5FFD">
        <w:rPr>
          <w:rFonts w:ascii="Aptos" w:hAnsi="Aptos"/>
          <w:sz w:val="22"/>
          <w:szCs w:val="22"/>
        </w:rPr>
        <w:t xml:space="preserve"> oder zumindest ein</w:t>
      </w:r>
      <w:r>
        <w:rPr>
          <w:rFonts w:ascii="Aptos" w:hAnsi="Aptos"/>
          <w:sz w:val="22"/>
          <w:szCs w:val="22"/>
        </w:rPr>
        <w:t>er</w:t>
      </w:r>
      <w:r w:rsidRPr="00CD5FFD">
        <w:rPr>
          <w:rFonts w:ascii="Aptos" w:hAnsi="Aptos"/>
          <w:sz w:val="22"/>
          <w:szCs w:val="22"/>
        </w:rPr>
        <w:t xml:space="preserve"> </w:t>
      </w:r>
      <w:r>
        <w:rPr>
          <w:rFonts w:ascii="Aptos" w:hAnsi="Aptos"/>
          <w:sz w:val="22"/>
          <w:szCs w:val="22"/>
        </w:rPr>
        <w:t>der beiden</w:t>
      </w:r>
      <w:r w:rsidRPr="00CD5FFD">
        <w:rPr>
          <w:rFonts w:ascii="Aptos" w:hAnsi="Aptos"/>
          <w:sz w:val="22"/>
          <w:szCs w:val="22"/>
        </w:rPr>
        <w:t xml:space="preserve"> bei der Festsetzung von Mindestlöhnen berücksichtigt oder bei gewerkschaftlichen Forderungen nach einer Erhöhung des gesetzlichen Mindestlohns verwendet wird.</w:t>
      </w:r>
      <w:r>
        <w:rPr>
          <w:rStyle w:val="Funotenzeichen"/>
          <w:rFonts w:ascii="Aptos" w:hAnsi="Aptos"/>
          <w:sz w:val="22"/>
          <w:szCs w:val="22"/>
        </w:rPr>
        <w:footnoteReference w:id="31"/>
      </w:r>
    </w:p>
    <w:p w14:paraId="4416283E" w14:textId="77777777" w:rsidR="00623AF8" w:rsidRPr="000427BE" w:rsidRDefault="00623AF8" w:rsidP="00623AF8">
      <w:pPr>
        <w:spacing w:after="120"/>
        <w:jc w:val="both"/>
        <w:rPr>
          <w:rFonts w:ascii="Aptos" w:hAnsi="Aptos"/>
          <w:sz w:val="22"/>
          <w:szCs w:val="22"/>
        </w:rPr>
      </w:pPr>
      <w:r w:rsidRPr="000427BE">
        <w:rPr>
          <w:rFonts w:ascii="Aptos" w:hAnsi="Aptos"/>
          <w:sz w:val="22"/>
          <w:szCs w:val="22"/>
        </w:rPr>
        <w:t xml:space="preserve">Die Einführung weiterer legislative Schritte im Bereich europäischer Mindestlohnvorgaben </w:t>
      </w:r>
      <w:r>
        <w:rPr>
          <w:rFonts w:ascii="Aptos" w:hAnsi="Aptos"/>
          <w:sz w:val="22"/>
          <w:szCs w:val="22"/>
        </w:rPr>
        <w:t>kann dazu beitragen</w:t>
      </w:r>
      <w:r w:rsidRPr="000427BE">
        <w:rPr>
          <w:rFonts w:ascii="Aptos" w:hAnsi="Aptos"/>
          <w:sz w:val="22"/>
          <w:szCs w:val="22"/>
        </w:rPr>
        <w:t xml:space="preserve"> faire Arbeitsbedingungen und sozialen Schutz in der gesamten EU zu gewährleisten</w:t>
      </w:r>
      <w:r>
        <w:rPr>
          <w:rFonts w:ascii="Aptos" w:hAnsi="Aptos"/>
          <w:sz w:val="22"/>
          <w:szCs w:val="22"/>
        </w:rPr>
        <w:t>, es kann aber auch eine Senkung der sehr hohen Standards, etwa in Österreich oder skandinavischen Ländern, hervorrufen</w:t>
      </w:r>
      <w:r w:rsidRPr="000427BE">
        <w:rPr>
          <w:rFonts w:ascii="Aptos" w:hAnsi="Aptos"/>
          <w:sz w:val="22"/>
          <w:szCs w:val="22"/>
        </w:rPr>
        <w:t xml:space="preserve">. </w:t>
      </w:r>
      <w:r w:rsidRPr="004E5111">
        <w:rPr>
          <w:rFonts w:ascii="Aptos" w:hAnsi="Aptos"/>
          <w:sz w:val="22"/>
          <w:szCs w:val="22"/>
        </w:rPr>
        <w:t xml:space="preserve">Bei der Mindestlohnrichtlinie, die bereits 2022 verabschiedet wurde, wurde darauf geachtet, dass die Richtlinie eine Konvergenz der Standards nach oben bewirkt und Staaten mit </w:t>
      </w:r>
      <w:r>
        <w:rPr>
          <w:rFonts w:ascii="Aptos" w:hAnsi="Aptos"/>
          <w:sz w:val="22"/>
          <w:szCs w:val="22"/>
        </w:rPr>
        <w:t xml:space="preserve">einem </w:t>
      </w:r>
      <w:r w:rsidRPr="004E5111">
        <w:rPr>
          <w:rFonts w:ascii="Aptos" w:hAnsi="Aptos"/>
          <w:sz w:val="22"/>
          <w:szCs w:val="22"/>
        </w:rPr>
        <w:t>stärker</w:t>
      </w:r>
      <w:r>
        <w:rPr>
          <w:rFonts w:ascii="Aptos" w:hAnsi="Aptos"/>
          <w:sz w:val="22"/>
          <w:szCs w:val="22"/>
        </w:rPr>
        <w:t xml:space="preserve">en </w:t>
      </w:r>
      <w:r w:rsidRPr="004E5111">
        <w:rPr>
          <w:rFonts w:ascii="Aptos" w:hAnsi="Aptos"/>
          <w:sz w:val="22"/>
          <w:szCs w:val="22"/>
        </w:rPr>
        <w:t xml:space="preserve">sozialen Dialog, </w:t>
      </w:r>
      <w:r>
        <w:rPr>
          <w:rFonts w:ascii="Aptos" w:hAnsi="Aptos"/>
          <w:sz w:val="22"/>
          <w:szCs w:val="22"/>
        </w:rPr>
        <w:t>v.a.</w:t>
      </w:r>
      <w:r w:rsidRPr="004E5111">
        <w:rPr>
          <w:rFonts w:ascii="Aptos" w:hAnsi="Aptos"/>
          <w:sz w:val="22"/>
          <w:szCs w:val="22"/>
        </w:rPr>
        <w:t xml:space="preserve"> Tarif</w:t>
      </w:r>
      <w:r>
        <w:rPr>
          <w:rFonts w:ascii="Aptos" w:hAnsi="Aptos"/>
          <w:sz w:val="22"/>
          <w:szCs w:val="22"/>
        </w:rPr>
        <w:t>lohn</w:t>
      </w:r>
      <w:r w:rsidRPr="004E5111">
        <w:rPr>
          <w:rFonts w:ascii="Aptos" w:hAnsi="Aptos"/>
          <w:sz w:val="22"/>
          <w:szCs w:val="22"/>
        </w:rPr>
        <w:t xml:space="preserve">verhandlungen, </w:t>
      </w:r>
      <w:r>
        <w:rPr>
          <w:rFonts w:ascii="Aptos" w:hAnsi="Aptos"/>
          <w:sz w:val="22"/>
          <w:szCs w:val="22"/>
        </w:rPr>
        <w:t xml:space="preserve">von der Richtlinie </w:t>
      </w:r>
      <w:r w:rsidRPr="004E5111">
        <w:rPr>
          <w:rFonts w:ascii="Aptos" w:hAnsi="Aptos"/>
          <w:sz w:val="22"/>
          <w:szCs w:val="22"/>
        </w:rPr>
        <w:t>nicht betroffen sind.</w:t>
      </w:r>
      <w:r>
        <w:rPr>
          <w:rStyle w:val="Funotenzeichen"/>
          <w:rFonts w:ascii="Aptos" w:hAnsi="Aptos"/>
          <w:sz w:val="22"/>
          <w:szCs w:val="22"/>
        </w:rPr>
        <w:footnoteReference w:id="32"/>
      </w:r>
    </w:p>
    <w:p w14:paraId="2112A3F9" w14:textId="77777777" w:rsidR="00623AF8" w:rsidRPr="0088196D" w:rsidRDefault="00623AF8" w:rsidP="00623AF8">
      <w:pPr>
        <w:spacing w:after="120"/>
        <w:jc w:val="both"/>
        <w:rPr>
          <w:rFonts w:ascii="Aptos" w:hAnsi="Aptos"/>
          <w:sz w:val="22"/>
          <w:szCs w:val="22"/>
        </w:rPr>
      </w:pPr>
      <w:r w:rsidRPr="000427BE">
        <w:rPr>
          <w:rFonts w:ascii="Aptos" w:hAnsi="Aptos"/>
          <w:sz w:val="22"/>
          <w:szCs w:val="22"/>
        </w:rPr>
        <w:t xml:space="preserve">EU-weite Mindestlohnvorgaben </w:t>
      </w:r>
      <w:r>
        <w:rPr>
          <w:rFonts w:ascii="Aptos" w:hAnsi="Aptos"/>
          <w:sz w:val="22"/>
          <w:szCs w:val="22"/>
        </w:rPr>
        <w:t xml:space="preserve">können auch </w:t>
      </w:r>
      <w:r w:rsidRPr="000427BE">
        <w:rPr>
          <w:rFonts w:ascii="Aptos" w:hAnsi="Aptos"/>
          <w:sz w:val="22"/>
          <w:szCs w:val="22"/>
        </w:rPr>
        <w:t xml:space="preserve">dazu beitragen, unfaire Wettbewerbsbedingungen zu reduzieren. </w:t>
      </w:r>
      <w:r>
        <w:rPr>
          <w:rFonts w:ascii="Aptos" w:hAnsi="Aptos"/>
          <w:sz w:val="22"/>
          <w:szCs w:val="22"/>
        </w:rPr>
        <w:t>D</w:t>
      </w:r>
      <w:r w:rsidRPr="000427BE">
        <w:rPr>
          <w:rFonts w:ascii="Aptos" w:hAnsi="Aptos"/>
          <w:sz w:val="22"/>
          <w:szCs w:val="22"/>
        </w:rPr>
        <w:t xml:space="preserve">urch die Einführung eines europäischen Mindestlohns können auch die Kaufkraft und die wirtschaftliche Stabilität gestärkt werden. Höhere Löhne </w:t>
      </w:r>
      <w:r>
        <w:rPr>
          <w:rFonts w:ascii="Aptos" w:hAnsi="Aptos"/>
          <w:sz w:val="22"/>
          <w:szCs w:val="22"/>
        </w:rPr>
        <w:t>stärken</w:t>
      </w:r>
      <w:r w:rsidRPr="000427BE">
        <w:rPr>
          <w:rFonts w:ascii="Aptos" w:hAnsi="Aptos"/>
          <w:sz w:val="22"/>
          <w:szCs w:val="22"/>
        </w:rPr>
        <w:t xml:space="preserve"> Konsum und Investitionen, was wiederum </w:t>
      </w:r>
      <w:r>
        <w:rPr>
          <w:rFonts w:ascii="Aptos" w:hAnsi="Aptos"/>
          <w:sz w:val="22"/>
          <w:szCs w:val="22"/>
        </w:rPr>
        <w:t>positiv auf die Konjunkturlage wirkt.</w:t>
      </w:r>
      <w:r>
        <w:rPr>
          <w:rStyle w:val="Funotenzeichen"/>
          <w:rFonts w:ascii="Aptos" w:hAnsi="Aptos"/>
          <w:sz w:val="22"/>
          <w:szCs w:val="22"/>
        </w:rPr>
        <w:footnoteReference w:id="33"/>
      </w:r>
      <w:r w:rsidRPr="000427BE">
        <w:rPr>
          <w:rFonts w:ascii="Aptos" w:hAnsi="Aptos"/>
          <w:sz w:val="22"/>
          <w:szCs w:val="22"/>
        </w:rPr>
        <w:t xml:space="preserve"> </w:t>
      </w:r>
      <w:r w:rsidRPr="006B51A8">
        <w:rPr>
          <w:rFonts w:ascii="Aptos" w:hAnsi="Aptos"/>
          <w:bCs/>
          <w:sz w:val="22"/>
          <w:szCs w:val="22"/>
        </w:rPr>
        <w:br w:type="page"/>
      </w:r>
    </w:p>
    <w:p w14:paraId="63294BF1" w14:textId="77777777" w:rsidR="00623AF8" w:rsidRPr="006B51A8" w:rsidRDefault="00623AF8" w:rsidP="00623AF8">
      <w:pPr>
        <w:spacing w:after="120"/>
        <w:jc w:val="both"/>
        <w:rPr>
          <w:rFonts w:ascii="Aptos" w:hAnsi="Aptos"/>
          <w:bCs/>
          <w:iCs/>
          <w:sz w:val="22"/>
          <w:szCs w:val="22"/>
        </w:rPr>
      </w:pPr>
    </w:p>
    <w:p w14:paraId="42533724" w14:textId="77777777" w:rsidR="00623AF8" w:rsidRPr="00CD3D28" w:rsidRDefault="00623AF8" w:rsidP="00623AF8">
      <w:pPr>
        <w:pStyle w:val="berschrift1"/>
        <w:ind w:left="720"/>
        <w:rPr>
          <w:rFonts w:ascii="Aptos" w:hAnsi="Aptos"/>
        </w:rPr>
      </w:pPr>
    </w:p>
    <w:p w14:paraId="0D772AB6" w14:textId="77777777" w:rsidR="00623AF8" w:rsidRPr="00CD3D28" w:rsidRDefault="00623AF8" w:rsidP="00623AF8">
      <w:pPr>
        <w:pStyle w:val="berschrift1"/>
        <w:rPr>
          <w:rFonts w:ascii="Aptos" w:hAnsi="Aptos"/>
        </w:rPr>
      </w:pPr>
      <w:bookmarkStart w:id="510" w:name="_Toc170142565"/>
      <w:bookmarkStart w:id="511" w:name="_Toc170983836"/>
      <w:r>
        <w:rPr>
          <w:rFonts w:ascii="Aptos" w:hAnsi="Aptos"/>
        </w:rPr>
        <w:t>Soziale Brennpunkte in Städten</w:t>
      </w:r>
      <w:bookmarkEnd w:id="510"/>
      <w:bookmarkEnd w:id="511"/>
      <w:r w:rsidRPr="00CD3D28">
        <w:rPr>
          <w:rFonts w:ascii="Aptos" w:hAnsi="Aptos"/>
        </w:rPr>
        <w:t xml:space="preserve"> </w:t>
      </w:r>
    </w:p>
    <w:p w14:paraId="2FAE384C"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61EE5C07" w14:textId="77777777" w:rsidTr="00875DD0">
        <w:tc>
          <w:tcPr>
            <w:tcW w:w="9060" w:type="dxa"/>
            <w:shd w:val="clear" w:color="auto" w:fill="D9D9D9" w:themeFill="background1" w:themeFillShade="D9"/>
          </w:tcPr>
          <w:p w14:paraId="49B28D95"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02E8198F" w14:textId="77777777" w:rsidTr="00875DD0">
        <w:tc>
          <w:tcPr>
            <w:tcW w:w="9060" w:type="dxa"/>
          </w:tcPr>
          <w:p w14:paraId="104D5CA7" w14:textId="77777777" w:rsidR="00623AF8" w:rsidRPr="00CD3D28" w:rsidRDefault="00623AF8" w:rsidP="00875DD0">
            <w:pPr>
              <w:spacing w:before="120" w:after="120"/>
              <w:jc w:val="both"/>
              <w:rPr>
                <w:rFonts w:ascii="Aptos" w:hAnsi="Aptos"/>
                <w:sz w:val="22"/>
                <w:szCs w:val="22"/>
              </w:rPr>
            </w:pPr>
            <w:r w:rsidRPr="00CD3D28">
              <w:rPr>
                <w:rFonts w:ascii="Aptos" w:hAnsi="Aptos"/>
                <w:sz w:val="22"/>
                <w:szCs w:val="22"/>
              </w:rPr>
              <w:t>D</w:t>
            </w:r>
            <w:r>
              <w:rPr>
                <w:rFonts w:ascii="Aptos" w:hAnsi="Aptos"/>
                <w:sz w:val="22"/>
                <w:szCs w:val="22"/>
              </w:rPr>
              <w:t>erzeit sind viele EU-Städte von zunehmenden sozioökonomischen Ungleichheiten und Segregation betroffen</w:t>
            </w:r>
            <w:r w:rsidRPr="00CD3D28">
              <w:rPr>
                <w:rFonts w:ascii="Aptos" w:hAnsi="Aptos"/>
                <w:sz w:val="22"/>
                <w:szCs w:val="22"/>
              </w:rPr>
              <w:t>.</w:t>
            </w:r>
            <w:r>
              <w:rPr>
                <w:rFonts w:ascii="Aptos" w:hAnsi="Aptos"/>
                <w:sz w:val="22"/>
                <w:szCs w:val="22"/>
              </w:rPr>
              <w:t xml:space="preserve"> Verbunden mit anderen Faktoren haben sich diese sozialen Brennpunkte auch teils in offenen Konflikten entladen. </w:t>
            </w:r>
            <w:r w:rsidRPr="00CD3D28">
              <w:rPr>
                <w:rFonts w:ascii="Aptos" w:hAnsi="Aptos"/>
                <w:sz w:val="22"/>
                <w:szCs w:val="22"/>
              </w:rPr>
              <w:t xml:space="preserve"> </w:t>
            </w:r>
            <w:r w:rsidRPr="00EC71B6">
              <w:rPr>
                <w:rFonts w:ascii="Aptos" w:hAnsi="Aptos"/>
                <w:b/>
                <w:bCs/>
                <w:sz w:val="22"/>
                <w:szCs w:val="22"/>
              </w:rPr>
              <w:t>Wie wollen Sie sicherstellen, dass soziale Brennpunkte in europäischen Städten reduziert werden?</w:t>
            </w:r>
          </w:p>
        </w:tc>
      </w:tr>
      <w:tr w:rsidR="00623AF8" w:rsidRPr="00CD3D28" w14:paraId="52A9534B" w14:textId="77777777" w:rsidTr="00875DD0">
        <w:tc>
          <w:tcPr>
            <w:tcW w:w="9060" w:type="dxa"/>
            <w:shd w:val="clear" w:color="auto" w:fill="D9D9D9" w:themeFill="background1" w:themeFillShade="D9"/>
          </w:tcPr>
          <w:p w14:paraId="1D2940D8"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60397835" w14:textId="77777777" w:rsidTr="00875DD0">
        <w:tc>
          <w:tcPr>
            <w:tcW w:w="9060" w:type="dxa"/>
          </w:tcPr>
          <w:p w14:paraId="44ED5743" w14:textId="77777777" w:rsidR="00623AF8" w:rsidRPr="00B7648A" w:rsidRDefault="00623AF8" w:rsidP="00F63BE8">
            <w:pPr>
              <w:pStyle w:val="Listenabsatz"/>
              <w:numPr>
                <w:ilvl w:val="0"/>
                <w:numId w:val="71"/>
              </w:numPr>
              <w:spacing w:before="120" w:after="120"/>
              <w:jc w:val="both"/>
              <w:rPr>
                <w:rFonts w:ascii="Aptos" w:hAnsi="Aptos"/>
                <w:sz w:val="22"/>
                <w:szCs w:val="22"/>
              </w:rPr>
            </w:pPr>
            <w:r w:rsidRPr="00B7648A">
              <w:rPr>
                <w:rFonts w:ascii="Aptos" w:hAnsi="Aptos"/>
                <w:sz w:val="22"/>
                <w:szCs w:val="22"/>
              </w:rPr>
              <w:t>Welche konkreten Instrumente und Budgets sind dazu angedacht?</w:t>
            </w:r>
          </w:p>
        </w:tc>
      </w:tr>
    </w:tbl>
    <w:p w14:paraId="17C5856A"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AD984A4" w14:textId="77777777" w:rsidTr="00875DD0">
        <w:tc>
          <w:tcPr>
            <w:tcW w:w="9060" w:type="dxa"/>
            <w:tcBorders>
              <w:top w:val="nil"/>
              <w:left w:val="nil"/>
              <w:bottom w:val="nil"/>
              <w:right w:val="nil"/>
            </w:tcBorders>
            <w:shd w:val="clear" w:color="auto" w:fill="D9D9D9" w:themeFill="background1" w:themeFillShade="D9"/>
          </w:tcPr>
          <w:p w14:paraId="0F9BE62A" w14:textId="77777777" w:rsidR="00623AF8" w:rsidRDefault="00623AF8" w:rsidP="00875DD0">
            <w:pPr>
              <w:spacing w:after="120"/>
              <w:jc w:val="both"/>
              <w:rPr>
                <w:rFonts w:ascii="Aptos" w:hAnsi="Aptos"/>
                <w:b/>
                <w:iCs/>
                <w:sz w:val="22"/>
                <w:szCs w:val="22"/>
              </w:rPr>
            </w:pPr>
            <w:r w:rsidRPr="005A018F">
              <w:rPr>
                <w:rFonts w:ascii="Aptos" w:hAnsi="Aptos"/>
                <w:b/>
                <w:bCs/>
                <w:sz w:val="22"/>
                <w:szCs w:val="22"/>
              </w:rPr>
              <w:t>Hintergrund</w:t>
            </w:r>
          </w:p>
        </w:tc>
      </w:tr>
    </w:tbl>
    <w:p w14:paraId="35C267F0" w14:textId="77777777" w:rsidR="00623AF8" w:rsidRPr="00627FE4" w:rsidRDefault="00623AF8" w:rsidP="00623AF8">
      <w:pPr>
        <w:spacing w:after="120"/>
        <w:jc w:val="both"/>
        <w:rPr>
          <w:rFonts w:ascii="Aptos" w:hAnsi="Aptos"/>
          <w:bCs/>
          <w:iCs/>
          <w:sz w:val="22"/>
          <w:szCs w:val="22"/>
        </w:rPr>
      </w:pPr>
      <w:r w:rsidRPr="0092517B">
        <w:rPr>
          <w:rFonts w:ascii="Aptos" w:hAnsi="Aptos"/>
          <w:sz w:val="22"/>
          <w:szCs w:val="22"/>
        </w:rPr>
        <w:t>Zahlreiche Studien deuten auf einen Anstieg der Segregation in europäischen Städten</w:t>
      </w:r>
      <w:r>
        <w:rPr>
          <w:rFonts w:ascii="Aptos" w:hAnsi="Aptos"/>
          <w:sz w:val="22"/>
          <w:szCs w:val="22"/>
        </w:rPr>
        <w:t xml:space="preserve"> hin</w:t>
      </w:r>
      <w:r w:rsidRPr="0092517B">
        <w:rPr>
          <w:rFonts w:ascii="Aptos" w:hAnsi="Aptos"/>
          <w:sz w:val="22"/>
          <w:szCs w:val="22"/>
        </w:rPr>
        <w:t>.</w:t>
      </w:r>
      <w:r>
        <w:rPr>
          <w:rStyle w:val="Funotenzeichen"/>
          <w:rFonts w:ascii="Aptos" w:hAnsi="Aptos"/>
          <w:sz w:val="22"/>
          <w:szCs w:val="22"/>
        </w:rPr>
        <w:footnoteReference w:id="34"/>
      </w:r>
      <w:r w:rsidRPr="0092517B">
        <w:rPr>
          <w:rFonts w:ascii="Aptos" w:hAnsi="Aptos"/>
          <w:sz w:val="22"/>
          <w:szCs w:val="22"/>
        </w:rPr>
        <w:t xml:space="preserve"> In Zuge dessen </w:t>
      </w:r>
      <w:r>
        <w:rPr>
          <w:rFonts w:ascii="Aptos" w:hAnsi="Aptos"/>
          <w:sz w:val="22"/>
          <w:szCs w:val="22"/>
        </w:rPr>
        <w:t>nehmen</w:t>
      </w:r>
      <w:r w:rsidRPr="0092517B">
        <w:rPr>
          <w:rFonts w:ascii="Aptos" w:hAnsi="Aptos"/>
          <w:sz w:val="22"/>
          <w:szCs w:val="22"/>
        </w:rPr>
        <w:t xml:space="preserve"> auch soziale Konflikte und Brennpunkte </w:t>
      </w:r>
      <w:r>
        <w:rPr>
          <w:rFonts w:ascii="Aptos" w:hAnsi="Aptos"/>
          <w:sz w:val="22"/>
          <w:szCs w:val="22"/>
        </w:rPr>
        <w:t>zu</w:t>
      </w:r>
      <w:r w:rsidRPr="0092517B">
        <w:rPr>
          <w:rFonts w:ascii="Aptos" w:hAnsi="Aptos"/>
          <w:sz w:val="22"/>
          <w:szCs w:val="22"/>
        </w:rPr>
        <w:t xml:space="preserve">. </w:t>
      </w:r>
      <w:r>
        <w:rPr>
          <w:rFonts w:ascii="Aptos" w:hAnsi="Aptos"/>
          <w:sz w:val="22"/>
          <w:szCs w:val="22"/>
        </w:rPr>
        <w:t>Dies äußert sich auch in einem Anstieg an Kriminalität, physischer Gewalt und politisch-religiöser Radikalisierung.</w:t>
      </w:r>
      <w:r>
        <w:rPr>
          <w:rStyle w:val="Funotenzeichen"/>
          <w:rFonts w:ascii="Aptos" w:hAnsi="Aptos"/>
          <w:sz w:val="22"/>
          <w:szCs w:val="22"/>
        </w:rPr>
        <w:footnoteReference w:id="35"/>
      </w:r>
      <w:r>
        <w:rPr>
          <w:rFonts w:ascii="Aptos" w:hAnsi="Aptos"/>
          <w:sz w:val="22"/>
          <w:szCs w:val="22"/>
        </w:rPr>
        <w:t xml:space="preserve"> </w:t>
      </w:r>
      <w:r w:rsidRPr="0092517B">
        <w:rPr>
          <w:rFonts w:ascii="Aptos" w:hAnsi="Aptos"/>
          <w:sz w:val="22"/>
          <w:szCs w:val="22"/>
        </w:rPr>
        <w:t>Um den Teufelskreis der Gewalt und Armut zu durchbrechen sind dringend Maßnahmen gefordert, die eine soziale Durchmischung im Wohnbereich fördern und das Entstehen sozialer Brennpunkte einschränken.</w:t>
      </w:r>
      <w:r>
        <w:rPr>
          <w:rFonts w:ascii="Aptos" w:hAnsi="Aptos"/>
          <w:sz w:val="22"/>
          <w:szCs w:val="22"/>
        </w:rPr>
        <w:t xml:space="preserve"> Auch die EU verfügt über ein politisches Instrumentarium im Bereich der Förderbudgets, der Reformvorschläge im Zuge des Europäischen Semesters, oder auch in der EU-weiten interkommunalen Zusammenarbeit bis hin zur grenzüberschreitenden polizeilichen Zusammenarbeit durch Europol. Eine gezielte und umfassende Strategie, die all diese politischen und finanziellen Instrumente verknüpft kann jedenfalls zur Reduktion sozialer Brennpunkte in Städten beitragen.</w:t>
      </w:r>
    </w:p>
    <w:p w14:paraId="7E1A2C70" w14:textId="77777777" w:rsidR="00623AF8" w:rsidRDefault="00623AF8" w:rsidP="00623AF8">
      <w:pPr>
        <w:rPr>
          <w:rFonts w:ascii="Aptos" w:eastAsiaTheme="majorEastAsia" w:hAnsi="Aptos" w:cstheme="majorBidi"/>
          <w:b/>
          <w:color w:val="E4342D"/>
          <w:szCs w:val="32"/>
        </w:rPr>
      </w:pPr>
      <w:r>
        <w:rPr>
          <w:rFonts w:ascii="Aptos" w:hAnsi="Aptos"/>
        </w:rPr>
        <w:br w:type="page"/>
      </w:r>
    </w:p>
    <w:p w14:paraId="4D27C51D" w14:textId="77777777" w:rsidR="00623AF8" w:rsidRDefault="00623AF8" w:rsidP="00623AF8">
      <w:pPr>
        <w:pStyle w:val="berschrift1"/>
        <w:ind w:left="720"/>
        <w:rPr>
          <w:rFonts w:ascii="Aptos" w:hAnsi="Aptos"/>
        </w:rPr>
      </w:pPr>
    </w:p>
    <w:p w14:paraId="09C1D044" w14:textId="77777777" w:rsidR="00623AF8" w:rsidRPr="00CD3D28" w:rsidRDefault="00623AF8" w:rsidP="00623AF8">
      <w:pPr>
        <w:pStyle w:val="berschrift1"/>
        <w:rPr>
          <w:rFonts w:ascii="Aptos" w:hAnsi="Aptos"/>
        </w:rPr>
      </w:pPr>
      <w:bookmarkStart w:id="512" w:name="_Toc170142566"/>
      <w:bookmarkStart w:id="513" w:name="_Toc170983837"/>
      <w:r>
        <w:rPr>
          <w:rFonts w:ascii="Aptos" w:hAnsi="Aptos"/>
        </w:rPr>
        <w:t>Nachhaltigkeit auch für sozial benachteiligte Gruppen</w:t>
      </w:r>
      <w:bookmarkEnd w:id="512"/>
      <w:bookmarkEnd w:id="513"/>
    </w:p>
    <w:p w14:paraId="6B5F754D"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26FEEF6E" w14:textId="77777777" w:rsidTr="00875DD0">
        <w:tc>
          <w:tcPr>
            <w:tcW w:w="9060" w:type="dxa"/>
            <w:shd w:val="clear" w:color="auto" w:fill="D9D9D9" w:themeFill="background1" w:themeFillShade="D9"/>
          </w:tcPr>
          <w:p w14:paraId="4823F871"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6F73B2AD" w14:textId="77777777" w:rsidTr="00875DD0">
        <w:tc>
          <w:tcPr>
            <w:tcW w:w="9060" w:type="dxa"/>
          </w:tcPr>
          <w:p w14:paraId="1D34036A" w14:textId="77777777" w:rsidR="00623AF8" w:rsidRPr="00CD3D28" w:rsidRDefault="00623AF8" w:rsidP="00875DD0">
            <w:pPr>
              <w:spacing w:before="120" w:after="120"/>
              <w:jc w:val="both"/>
              <w:rPr>
                <w:rFonts w:ascii="Aptos" w:hAnsi="Aptos"/>
                <w:sz w:val="22"/>
                <w:szCs w:val="22"/>
              </w:rPr>
            </w:pPr>
            <w:r>
              <w:rPr>
                <w:rFonts w:ascii="Aptos" w:hAnsi="Aptos"/>
                <w:sz w:val="22"/>
                <w:szCs w:val="22"/>
              </w:rPr>
              <w:t xml:space="preserve">Klimaschonende </w:t>
            </w:r>
            <w:r w:rsidRPr="00D350BC">
              <w:rPr>
                <w:rFonts w:ascii="Aptos" w:hAnsi="Aptos"/>
                <w:sz w:val="22"/>
                <w:szCs w:val="22"/>
              </w:rPr>
              <w:t xml:space="preserve">Entscheidungen </w:t>
            </w:r>
            <w:r>
              <w:rPr>
                <w:rFonts w:ascii="Aptos" w:hAnsi="Aptos"/>
                <w:sz w:val="22"/>
                <w:szCs w:val="22"/>
              </w:rPr>
              <w:t xml:space="preserve">bzw. klimaschonendes Verhalten </w:t>
            </w:r>
            <w:r w:rsidRPr="00D350BC">
              <w:rPr>
                <w:rFonts w:ascii="Aptos" w:hAnsi="Aptos"/>
                <w:sz w:val="22"/>
                <w:szCs w:val="22"/>
              </w:rPr>
              <w:t xml:space="preserve">ist für viele </w:t>
            </w:r>
            <w:r>
              <w:rPr>
                <w:rFonts w:ascii="Aptos" w:hAnsi="Aptos"/>
                <w:sz w:val="22"/>
                <w:szCs w:val="22"/>
              </w:rPr>
              <w:t xml:space="preserve">Menschen nur schwer </w:t>
            </w:r>
            <w:r w:rsidRPr="00D350BC">
              <w:rPr>
                <w:rFonts w:ascii="Aptos" w:hAnsi="Aptos"/>
                <w:sz w:val="22"/>
                <w:szCs w:val="22"/>
              </w:rPr>
              <w:t xml:space="preserve">leistbar oder </w:t>
            </w:r>
            <w:r>
              <w:rPr>
                <w:rFonts w:ascii="Aptos" w:hAnsi="Aptos"/>
                <w:sz w:val="22"/>
                <w:szCs w:val="22"/>
              </w:rPr>
              <w:t xml:space="preserve">aufgrund äußerer Umstände nicht möglich. </w:t>
            </w:r>
            <w:r>
              <w:rPr>
                <w:rFonts w:ascii="Aptos" w:hAnsi="Aptos"/>
                <w:b/>
                <w:bCs/>
                <w:sz w:val="22"/>
                <w:szCs w:val="22"/>
              </w:rPr>
              <w:t>Wie stellen Sie sicher, dass nachhaltige und klimaschonende Güter und Dienstleistungen auch für sozial benachteiligte Gruppen leistbar und zugänglich werden</w:t>
            </w:r>
            <w:r w:rsidRPr="008A6798">
              <w:rPr>
                <w:rFonts w:ascii="Aptos" w:hAnsi="Aptos"/>
                <w:b/>
                <w:bCs/>
                <w:sz w:val="22"/>
                <w:szCs w:val="22"/>
              </w:rPr>
              <w:t>?</w:t>
            </w:r>
          </w:p>
        </w:tc>
      </w:tr>
      <w:tr w:rsidR="00623AF8" w:rsidRPr="00CD3D28" w14:paraId="7748DA92" w14:textId="77777777" w:rsidTr="00875DD0">
        <w:tc>
          <w:tcPr>
            <w:tcW w:w="9060" w:type="dxa"/>
            <w:shd w:val="clear" w:color="auto" w:fill="D9D9D9" w:themeFill="background1" w:themeFillShade="D9"/>
          </w:tcPr>
          <w:p w14:paraId="449A8764"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12BE6757" w14:textId="77777777" w:rsidTr="00875DD0">
        <w:tc>
          <w:tcPr>
            <w:tcW w:w="9060" w:type="dxa"/>
          </w:tcPr>
          <w:p w14:paraId="40F60BAD" w14:textId="77777777" w:rsidR="00623AF8" w:rsidRPr="00E44F1B" w:rsidRDefault="00623AF8" w:rsidP="00F63BE8">
            <w:pPr>
              <w:pStyle w:val="Listenabsatz"/>
              <w:numPr>
                <w:ilvl w:val="0"/>
                <w:numId w:val="71"/>
              </w:numPr>
              <w:spacing w:before="120" w:after="120"/>
              <w:jc w:val="both"/>
              <w:rPr>
                <w:rFonts w:ascii="Aptos" w:hAnsi="Aptos"/>
                <w:sz w:val="22"/>
                <w:szCs w:val="22"/>
              </w:rPr>
            </w:pPr>
            <w:r w:rsidRPr="00E44F1B">
              <w:rPr>
                <w:rFonts w:ascii="Aptos" w:hAnsi="Aptos"/>
                <w:sz w:val="22"/>
                <w:szCs w:val="22"/>
              </w:rPr>
              <w:t>Wie stellen sie sicher, dass es zielgerichtete Programme auf Ebene der Mietgliedstaaten für sozial benachteiligte Gruppen gibt, damit Klimaschutz nicht ein gesellschaftlicher Konflikt zwischen arm und reich wird?</w:t>
            </w:r>
          </w:p>
          <w:p w14:paraId="3A2AB068" w14:textId="77777777" w:rsidR="00623AF8" w:rsidRPr="00E44F1B" w:rsidRDefault="00623AF8" w:rsidP="00F63BE8">
            <w:pPr>
              <w:pStyle w:val="Listenabsatz"/>
              <w:numPr>
                <w:ilvl w:val="0"/>
                <w:numId w:val="71"/>
              </w:numPr>
              <w:spacing w:before="120" w:after="120"/>
              <w:jc w:val="both"/>
              <w:rPr>
                <w:rFonts w:ascii="Aptos" w:hAnsi="Aptos"/>
                <w:sz w:val="22"/>
                <w:szCs w:val="22"/>
              </w:rPr>
            </w:pPr>
            <w:r w:rsidRPr="00E44F1B">
              <w:rPr>
                <w:rFonts w:ascii="Aptos" w:hAnsi="Aptos"/>
                <w:sz w:val="22"/>
                <w:szCs w:val="22"/>
              </w:rPr>
              <w:t xml:space="preserve">Wie können breite Bevölkerungsschichten, die derzeit nur über Werbung und reißerische Medienberichterstattung auf negative Art mit Nachhaltigkeit in Berührung kommen, erreicht und für das Thema Nachhaltigkeit auf positive Weise sensibilisiert werden? </w:t>
            </w:r>
          </w:p>
        </w:tc>
      </w:tr>
    </w:tbl>
    <w:p w14:paraId="2D8F3B1D"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623AF8" w14:paraId="065A9698" w14:textId="77777777" w:rsidTr="00875DD0">
        <w:tc>
          <w:tcPr>
            <w:tcW w:w="9060" w:type="dxa"/>
            <w:shd w:val="clear" w:color="auto" w:fill="D9D9D9" w:themeFill="background1" w:themeFillShade="D9"/>
          </w:tcPr>
          <w:p w14:paraId="6ADB9E73" w14:textId="77777777" w:rsidR="00623AF8" w:rsidRDefault="00623AF8" w:rsidP="00875DD0">
            <w:pPr>
              <w:spacing w:after="120"/>
              <w:jc w:val="both"/>
              <w:rPr>
                <w:rFonts w:ascii="Aptos" w:hAnsi="Aptos"/>
                <w:b/>
                <w:iCs/>
                <w:sz w:val="22"/>
                <w:szCs w:val="22"/>
              </w:rPr>
            </w:pPr>
            <w:r w:rsidRPr="005A018F">
              <w:rPr>
                <w:rFonts w:ascii="Aptos" w:hAnsi="Aptos"/>
                <w:b/>
                <w:bCs/>
                <w:sz w:val="22"/>
                <w:szCs w:val="22"/>
              </w:rPr>
              <w:t>Hintergrund</w:t>
            </w:r>
          </w:p>
        </w:tc>
      </w:tr>
    </w:tbl>
    <w:p w14:paraId="5C4FFF96" w14:textId="77777777" w:rsidR="00623AF8" w:rsidRPr="009D5D16" w:rsidRDefault="00623AF8" w:rsidP="00623AF8">
      <w:pPr>
        <w:spacing w:after="120"/>
        <w:jc w:val="both"/>
        <w:rPr>
          <w:rFonts w:ascii="Aptos" w:hAnsi="Aptos"/>
          <w:bCs/>
          <w:iCs/>
          <w:sz w:val="22"/>
          <w:szCs w:val="22"/>
        </w:rPr>
      </w:pPr>
      <w:r w:rsidRPr="0092517B">
        <w:rPr>
          <w:rFonts w:ascii="Aptos" w:hAnsi="Aptos"/>
          <w:bCs/>
          <w:iCs/>
          <w:sz w:val="22"/>
          <w:szCs w:val="22"/>
        </w:rPr>
        <w:t xml:space="preserve">Klimaschonende und nachhaltige Güter und Dienstleistungen sind nach wie vor teurer als konventionelle Alternativen, obwohl diese negative Folgen auf Umwelt und Gesundheit der Menschen haben. Damit wird Nachhaltigkeit zu einer Frage der </w:t>
      </w:r>
      <w:r>
        <w:rPr>
          <w:rFonts w:ascii="Aptos" w:hAnsi="Aptos"/>
          <w:bCs/>
          <w:iCs/>
          <w:sz w:val="22"/>
          <w:szCs w:val="22"/>
        </w:rPr>
        <w:t>L</w:t>
      </w:r>
      <w:r w:rsidRPr="0092517B">
        <w:rPr>
          <w:rFonts w:ascii="Aptos" w:hAnsi="Aptos"/>
          <w:bCs/>
          <w:iCs/>
          <w:sz w:val="22"/>
          <w:szCs w:val="22"/>
        </w:rPr>
        <w:t xml:space="preserve">eistbarkeit und des sozioökonomischen Status. </w:t>
      </w:r>
      <w:r w:rsidRPr="009D5D16">
        <w:rPr>
          <w:rFonts w:ascii="Aptos" w:hAnsi="Aptos"/>
          <w:bCs/>
          <w:iCs/>
          <w:sz w:val="22"/>
          <w:szCs w:val="22"/>
        </w:rPr>
        <w:t xml:space="preserve">Hier sind Maßnahmen gefragt, die nachhaltige und klimafreundliche Güter und Dienstleistungen auch für sozial benachteiligte Gruppen erschwinglich und zugänglich machen und umgekehrt schädliche Güter verteuern und den Zugang erschweren, um die wahren Kosten zu internalisieren. </w:t>
      </w:r>
      <w:r w:rsidRPr="0092517B">
        <w:rPr>
          <w:rFonts w:ascii="Aptos" w:hAnsi="Aptos"/>
          <w:bCs/>
          <w:sz w:val="22"/>
          <w:szCs w:val="22"/>
        </w:rPr>
        <w:t xml:space="preserve">Nur wenn Nachhaltigkeit auch leistbar ist und Menschen einen positiven Zugang dazu haben, kann sich diese auch breiter durchsetzen. </w:t>
      </w:r>
    </w:p>
    <w:p w14:paraId="040D0A71" w14:textId="77777777" w:rsidR="00623AF8" w:rsidRPr="009D5D16" w:rsidRDefault="00623AF8" w:rsidP="00623AF8">
      <w:pPr>
        <w:jc w:val="both"/>
        <w:rPr>
          <w:rFonts w:ascii="Aptos" w:hAnsi="Aptos"/>
          <w:sz w:val="22"/>
          <w:szCs w:val="22"/>
        </w:rPr>
      </w:pPr>
      <w:r w:rsidRPr="009D5D16">
        <w:rPr>
          <w:rFonts w:ascii="Aptos" w:hAnsi="Aptos"/>
          <w:sz w:val="22"/>
          <w:szCs w:val="22"/>
        </w:rPr>
        <w:t xml:space="preserve">Breite Bevölkerungsschichten, insbesondere sozial benachteiligte Gruppen, die derzeit nur über Werbung und reißerische Medienberichterstattung negativ mit dem Thema Nachhaltigkeit in Berührung kommen, </w:t>
      </w:r>
      <w:r>
        <w:rPr>
          <w:rFonts w:ascii="Aptos" w:hAnsi="Aptos"/>
          <w:sz w:val="22"/>
          <w:szCs w:val="22"/>
        </w:rPr>
        <w:t>sollten</w:t>
      </w:r>
      <w:r w:rsidRPr="009D5D16">
        <w:rPr>
          <w:rFonts w:ascii="Aptos" w:hAnsi="Aptos"/>
          <w:sz w:val="22"/>
          <w:szCs w:val="22"/>
        </w:rPr>
        <w:t xml:space="preserve"> auf positive Weise </w:t>
      </w:r>
      <w:r>
        <w:rPr>
          <w:rFonts w:ascii="Aptos" w:hAnsi="Aptos"/>
          <w:sz w:val="22"/>
          <w:szCs w:val="22"/>
        </w:rPr>
        <w:t xml:space="preserve">für das Thema </w:t>
      </w:r>
      <w:r w:rsidRPr="009D5D16">
        <w:rPr>
          <w:rFonts w:ascii="Aptos" w:hAnsi="Aptos"/>
          <w:sz w:val="22"/>
          <w:szCs w:val="22"/>
        </w:rPr>
        <w:t>sensibilisiert werden. Dies kann durch umfassende Bildungs- und Aufklärungskampagnen geschehen, die die Vorteile von Klimaschutzmaßnahmen für alle Bürger hervorheben. Finanzielle Anreize, wie Subventionen für energieeffiziente Haushaltsgeräte oder steuerliche Vergünstigungen für umweltfreundliches Verhalten, könnten ebenfalls helfen, das Interesse und die Teilnahme an nachhaltigen Praktiken zu fördern. Darüber hinaus sollten kommunale Projekte gefördert werden, die direkt in benachteiligten Gemeinschaften stattfinden, wie etwa Gemeinschaftsgärten oder Solarenergie-Initiativen, die sowohl ökologische als auch soziale Vorteile bieten.</w:t>
      </w:r>
      <w:r w:rsidRPr="003307D2">
        <w:rPr>
          <w:rFonts w:ascii="Aptos" w:hAnsi="Aptos"/>
          <w:bCs/>
          <w:sz w:val="22"/>
          <w:szCs w:val="22"/>
        </w:rPr>
        <w:br w:type="page"/>
      </w:r>
    </w:p>
    <w:p w14:paraId="03564894" w14:textId="77777777" w:rsidR="00623AF8" w:rsidRPr="003307D2" w:rsidRDefault="00623AF8" w:rsidP="00623AF8">
      <w:pPr>
        <w:spacing w:after="120"/>
        <w:jc w:val="both"/>
        <w:rPr>
          <w:rFonts w:ascii="Aptos" w:hAnsi="Aptos"/>
          <w:bCs/>
          <w:iCs/>
          <w:sz w:val="22"/>
          <w:szCs w:val="22"/>
        </w:rPr>
      </w:pPr>
    </w:p>
    <w:p w14:paraId="202AF9BC" w14:textId="77777777" w:rsidR="00623AF8" w:rsidRPr="00CD3D28" w:rsidRDefault="00623AF8" w:rsidP="00623AF8">
      <w:pPr>
        <w:pStyle w:val="berschrift1"/>
        <w:ind w:left="720"/>
        <w:rPr>
          <w:rFonts w:ascii="Aptos" w:hAnsi="Aptos"/>
        </w:rPr>
      </w:pPr>
    </w:p>
    <w:p w14:paraId="2BBB5BF8" w14:textId="77777777" w:rsidR="00623AF8" w:rsidRPr="00CD3D28" w:rsidRDefault="00623AF8" w:rsidP="00623AF8">
      <w:pPr>
        <w:pStyle w:val="berschrift1"/>
        <w:rPr>
          <w:rFonts w:ascii="Aptos" w:hAnsi="Aptos"/>
        </w:rPr>
      </w:pPr>
      <w:bookmarkStart w:id="514" w:name="_Toc170142567"/>
      <w:bookmarkStart w:id="515" w:name="_Toc170983838"/>
      <w:r>
        <w:rPr>
          <w:rFonts w:ascii="Aptos" w:hAnsi="Aptos"/>
        </w:rPr>
        <w:t>Klimawandelanpassung für sozial benachteiligte Gruppen</w:t>
      </w:r>
      <w:bookmarkEnd w:id="514"/>
      <w:bookmarkEnd w:id="515"/>
    </w:p>
    <w:p w14:paraId="4DC3F530"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6EE0A6EE" w14:textId="77777777" w:rsidTr="00875DD0">
        <w:tc>
          <w:tcPr>
            <w:tcW w:w="9060" w:type="dxa"/>
            <w:shd w:val="clear" w:color="auto" w:fill="D9D9D9" w:themeFill="background1" w:themeFillShade="D9"/>
          </w:tcPr>
          <w:p w14:paraId="71A1FFD6"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76F7EF66" w14:textId="77777777" w:rsidTr="00875DD0">
        <w:tc>
          <w:tcPr>
            <w:tcW w:w="9060" w:type="dxa"/>
          </w:tcPr>
          <w:p w14:paraId="3B70F1C5" w14:textId="77777777" w:rsidR="00623AF8" w:rsidRPr="00CD3D28" w:rsidRDefault="00623AF8" w:rsidP="00875DD0">
            <w:pPr>
              <w:spacing w:before="120" w:after="120"/>
              <w:jc w:val="both"/>
              <w:rPr>
                <w:rFonts w:ascii="Aptos" w:hAnsi="Aptos"/>
                <w:sz w:val="22"/>
                <w:szCs w:val="22"/>
              </w:rPr>
            </w:pPr>
            <w:r w:rsidRPr="0085385A">
              <w:rPr>
                <w:rFonts w:ascii="Aptos" w:hAnsi="Aptos"/>
                <w:sz w:val="22"/>
                <w:szCs w:val="22"/>
              </w:rPr>
              <w:t>Der Klimawandel hat vor allem für niedrigere Einkommensschichten und vulnerable Personengruppe</w:t>
            </w:r>
            <w:r>
              <w:rPr>
                <w:rFonts w:ascii="Aptos" w:hAnsi="Aptos"/>
                <w:sz w:val="22"/>
                <w:szCs w:val="22"/>
              </w:rPr>
              <w:t>n, darunter ä</w:t>
            </w:r>
            <w:r w:rsidRPr="0085385A">
              <w:rPr>
                <w:rFonts w:ascii="Aptos" w:hAnsi="Aptos"/>
                <w:sz w:val="22"/>
                <w:szCs w:val="22"/>
              </w:rPr>
              <w:t>ltere</w:t>
            </w:r>
            <w:r>
              <w:rPr>
                <w:rFonts w:ascii="Aptos" w:hAnsi="Aptos"/>
                <w:sz w:val="22"/>
                <w:szCs w:val="22"/>
              </w:rPr>
              <w:t xml:space="preserve"> Menschen</w:t>
            </w:r>
            <w:r w:rsidRPr="0085385A">
              <w:rPr>
                <w:rFonts w:ascii="Aptos" w:hAnsi="Aptos"/>
                <w:sz w:val="22"/>
                <w:szCs w:val="22"/>
              </w:rPr>
              <w:t xml:space="preserve">, </w:t>
            </w:r>
            <w:r>
              <w:rPr>
                <w:rFonts w:ascii="Aptos" w:hAnsi="Aptos"/>
                <w:sz w:val="22"/>
                <w:szCs w:val="22"/>
              </w:rPr>
              <w:t>gesundheitlich eingeschränkte Menschen</w:t>
            </w:r>
            <w:r w:rsidRPr="0085385A">
              <w:rPr>
                <w:rFonts w:ascii="Aptos" w:hAnsi="Aptos"/>
                <w:sz w:val="22"/>
                <w:szCs w:val="22"/>
              </w:rPr>
              <w:t>, Berufsgruppen</w:t>
            </w:r>
            <w:r>
              <w:rPr>
                <w:rFonts w:ascii="Aptos" w:hAnsi="Aptos"/>
                <w:sz w:val="22"/>
                <w:szCs w:val="22"/>
              </w:rPr>
              <w:t>, die</w:t>
            </w:r>
            <w:r w:rsidRPr="0085385A">
              <w:rPr>
                <w:rFonts w:ascii="Aptos" w:hAnsi="Aptos"/>
                <w:sz w:val="22"/>
                <w:szCs w:val="22"/>
              </w:rPr>
              <w:t xml:space="preserve"> im Freien</w:t>
            </w:r>
            <w:r>
              <w:rPr>
                <w:rFonts w:ascii="Aptos" w:hAnsi="Aptos"/>
                <w:sz w:val="22"/>
                <w:szCs w:val="22"/>
              </w:rPr>
              <w:t xml:space="preserve"> arbeiten, etc.,</w:t>
            </w:r>
            <w:r w:rsidRPr="0085385A">
              <w:rPr>
                <w:rFonts w:ascii="Aptos" w:hAnsi="Aptos"/>
                <w:sz w:val="22"/>
                <w:szCs w:val="22"/>
              </w:rPr>
              <w:t xml:space="preserve"> unangenehme </w:t>
            </w:r>
            <w:r>
              <w:rPr>
                <w:rFonts w:ascii="Aptos" w:hAnsi="Aptos"/>
                <w:sz w:val="22"/>
                <w:szCs w:val="22"/>
              </w:rPr>
              <w:t>bis</w:t>
            </w:r>
            <w:r w:rsidRPr="0085385A">
              <w:rPr>
                <w:rFonts w:ascii="Aptos" w:hAnsi="Aptos"/>
                <w:sz w:val="22"/>
                <w:szCs w:val="22"/>
              </w:rPr>
              <w:t xml:space="preserve"> </w:t>
            </w:r>
            <w:r>
              <w:rPr>
                <w:rFonts w:ascii="Aptos" w:hAnsi="Aptos"/>
                <w:sz w:val="22"/>
                <w:szCs w:val="22"/>
              </w:rPr>
              <w:t>gesundheitsgefährdende</w:t>
            </w:r>
            <w:r w:rsidRPr="0085385A">
              <w:rPr>
                <w:rFonts w:ascii="Aptos" w:hAnsi="Aptos"/>
                <w:sz w:val="22"/>
                <w:szCs w:val="22"/>
              </w:rPr>
              <w:t xml:space="preserve"> Auswirkungen.</w:t>
            </w:r>
            <w:r>
              <w:rPr>
                <w:rFonts w:ascii="Aptos" w:hAnsi="Aptos"/>
                <w:sz w:val="22"/>
                <w:szCs w:val="22"/>
              </w:rPr>
              <w:t xml:space="preserve"> </w:t>
            </w:r>
            <w:r w:rsidRPr="00B463F3">
              <w:rPr>
                <w:rFonts w:ascii="Aptos" w:hAnsi="Aptos"/>
                <w:b/>
                <w:bCs/>
                <w:sz w:val="22"/>
                <w:szCs w:val="22"/>
              </w:rPr>
              <w:t>Wie stellen Sie sicher, dass vulnerable Gruppen von den Auswirkungen des Klimawandels geschützt werden – insbesondere in urbanen Zentren</w:t>
            </w:r>
            <w:r w:rsidRPr="008A6798">
              <w:rPr>
                <w:rFonts w:ascii="Aptos" w:hAnsi="Aptos"/>
                <w:b/>
                <w:bCs/>
                <w:sz w:val="22"/>
                <w:szCs w:val="22"/>
              </w:rPr>
              <w:t>?</w:t>
            </w:r>
            <w:r w:rsidRPr="00CD3D28">
              <w:rPr>
                <w:rFonts w:ascii="Aptos" w:hAnsi="Aptos"/>
                <w:sz w:val="22"/>
                <w:szCs w:val="22"/>
              </w:rPr>
              <w:t xml:space="preserve"> </w:t>
            </w:r>
          </w:p>
        </w:tc>
      </w:tr>
      <w:tr w:rsidR="00623AF8" w:rsidRPr="00CD3D28" w14:paraId="6C9E7E4E" w14:textId="77777777" w:rsidTr="00875DD0">
        <w:tc>
          <w:tcPr>
            <w:tcW w:w="9060" w:type="dxa"/>
            <w:shd w:val="clear" w:color="auto" w:fill="D9D9D9" w:themeFill="background1" w:themeFillShade="D9"/>
          </w:tcPr>
          <w:p w14:paraId="20A81E48"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6788A24B" w14:textId="77777777" w:rsidTr="00875DD0">
        <w:tc>
          <w:tcPr>
            <w:tcW w:w="9060" w:type="dxa"/>
          </w:tcPr>
          <w:p w14:paraId="1760617C" w14:textId="77777777" w:rsidR="00623AF8" w:rsidRPr="00E44F1B" w:rsidRDefault="00623AF8" w:rsidP="00F63BE8">
            <w:pPr>
              <w:pStyle w:val="Listenabsatz"/>
              <w:numPr>
                <w:ilvl w:val="0"/>
                <w:numId w:val="71"/>
              </w:numPr>
              <w:spacing w:before="120" w:after="120"/>
              <w:jc w:val="both"/>
              <w:rPr>
                <w:rFonts w:ascii="Aptos" w:hAnsi="Aptos"/>
                <w:sz w:val="22"/>
                <w:szCs w:val="22"/>
              </w:rPr>
            </w:pPr>
            <w:r w:rsidRPr="00E44F1B">
              <w:rPr>
                <w:rFonts w:ascii="Aptos" w:hAnsi="Aptos"/>
                <w:sz w:val="22"/>
                <w:szCs w:val="22"/>
              </w:rPr>
              <w:t>Gibt es Pläne finanzielle Mittel dafür bereitzustellen?</w:t>
            </w:r>
          </w:p>
        </w:tc>
      </w:tr>
    </w:tbl>
    <w:p w14:paraId="7FC705B0"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4C12D527" w14:textId="77777777" w:rsidTr="00875DD0">
        <w:tc>
          <w:tcPr>
            <w:tcW w:w="9060" w:type="dxa"/>
            <w:tcBorders>
              <w:top w:val="nil"/>
              <w:left w:val="nil"/>
              <w:bottom w:val="nil"/>
              <w:right w:val="nil"/>
            </w:tcBorders>
            <w:shd w:val="clear" w:color="auto" w:fill="D9D9D9" w:themeFill="background1" w:themeFillShade="D9"/>
          </w:tcPr>
          <w:p w14:paraId="1132271A"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098828AA" w14:textId="77777777" w:rsidR="00623AF8" w:rsidRDefault="00623AF8" w:rsidP="00623AF8">
      <w:pPr>
        <w:jc w:val="both"/>
        <w:rPr>
          <w:rFonts w:ascii="Aptos" w:hAnsi="Aptos"/>
          <w:sz w:val="22"/>
          <w:szCs w:val="22"/>
        </w:rPr>
      </w:pPr>
      <w:r w:rsidRPr="004B6174">
        <w:rPr>
          <w:rFonts w:ascii="Aptos" w:hAnsi="Aptos"/>
          <w:sz w:val="22"/>
          <w:szCs w:val="22"/>
        </w:rPr>
        <w:t>Der Klimawandel fordert Jahr für Jahr mit zunehmenden Extremwetterereignissen Hitzetote, Überschwemmungsopfer, und andere Wetterbedingte Gesundheitsgefährdungen. Vulnerable Gruppen sind davon noch stärker betroffen, auch wenn diese weniger dazu beigetragen haben. In den nächsten Jahren ist keine Entspannung zu erwarten. Daher werden von Forschenden zielgruppenadequate Maßnahmen der Klimawandelanpassung gefordert.</w:t>
      </w:r>
    </w:p>
    <w:p w14:paraId="478CC006" w14:textId="77777777" w:rsidR="00623AF8" w:rsidRDefault="00623AF8" w:rsidP="00623AF8">
      <w:pPr>
        <w:jc w:val="both"/>
        <w:rPr>
          <w:rFonts w:ascii="Aptos" w:hAnsi="Aptos"/>
          <w:sz w:val="22"/>
          <w:szCs w:val="22"/>
        </w:rPr>
      </w:pPr>
    </w:p>
    <w:p w14:paraId="7DAF7DD8" w14:textId="77777777" w:rsidR="00623AF8" w:rsidRPr="002C4BE6" w:rsidRDefault="00623AF8" w:rsidP="00623AF8">
      <w:pPr>
        <w:jc w:val="both"/>
        <w:rPr>
          <w:rFonts w:ascii="Aptos" w:hAnsi="Aptos"/>
          <w:sz w:val="22"/>
          <w:szCs w:val="22"/>
        </w:rPr>
      </w:pPr>
      <w:r w:rsidRPr="002C4BE6">
        <w:rPr>
          <w:rFonts w:ascii="Aptos" w:hAnsi="Aptos"/>
          <w:sz w:val="22"/>
          <w:szCs w:val="22"/>
        </w:rPr>
        <w:t>Diese Gruppen, darunter ältere Menschen, Kinder, Menschen mit geringem Einkommen und gesundheitlich beeinträchtigte Personen, sind besonders anfällig für extreme Wetterereignisse.</w:t>
      </w:r>
      <w:r>
        <w:rPr>
          <w:rFonts w:ascii="Aptos" w:hAnsi="Aptos"/>
          <w:sz w:val="22"/>
          <w:szCs w:val="22"/>
        </w:rPr>
        <w:t xml:space="preserve"> </w:t>
      </w:r>
      <w:r w:rsidRPr="002C4BE6">
        <w:rPr>
          <w:rFonts w:ascii="Aptos" w:hAnsi="Aptos"/>
          <w:sz w:val="22"/>
          <w:szCs w:val="22"/>
        </w:rPr>
        <w:t>Städte sind oft Hotspots für den Klimawandel, da die städtische Infrastruktur die Auswirkungen verstärkt. Hitzewellen können in urbanen Gebieten aufgrund des „urbanen Wärmeinseleffekts“ besonders intensiv sein, was zu gesundheitlichen Problemen und höheren Sterblichkeitsraten führen kann. Überschwemmungen können die Lebensgrundlage und die Sicherheit vieler Menschen bedrohen, insbesondere jener, die in prekären Wohnverhältnissen leben.</w:t>
      </w:r>
      <w:r>
        <w:rPr>
          <w:rFonts w:ascii="Aptos" w:hAnsi="Aptos"/>
          <w:sz w:val="22"/>
          <w:szCs w:val="22"/>
        </w:rPr>
        <w:t xml:space="preserve"> </w:t>
      </w:r>
      <w:r w:rsidRPr="002C4BE6">
        <w:rPr>
          <w:rFonts w:ascii="Aptos" w:hAnsi="Aptos"/>
          <w:sz w:val="22"/>
          <w:szCs w:val="22"/>
        </w:rPr>
        <w:t xml:space="preserve">Es ist daher wichtig, finanzielle Mittel bereitzustellen, um präventive Maßnahmen und Anpassungsstrategien zu entwickeln und umzusetzen. Diese Mittel </w:t>
      </w:r>
      <w:r>
        <w:rPr>
          <w:rFonts w:ascii="Aptos" w:hAnsi="Aptos"/>
          <w:sz w:val="22"/>
          <w:szCs w:val="22"/>
        </w:rPr>
        <w:t>könnten etwa</w:t>
      </w:r>
      <w:r w:rsidRPr="002C4BE6">
        <w:rPr>
          <w:rFonts w:ascii="Aptos" w:hAnsi="Aptos"/>
          <w:sz w:val="22"/>
          <w:szCs w:val="22"/>
        </w:rPr>
        <w:t xml:space="preserve"> in die Verbesserung der städtischen Infrastruktur, die Schaffung von Grünflächen, den Bau von kühlenden Gemeinschaftseinrichtungen und die Modernisierung von Gebäuden investiert werden, um sie klimafest zu machen.</w:t>
      </w:r>
      <w:r>
        <w:rPr>
          <w:rFonts w:ascii="Aptos" w:hAnsi="Aptos"/>
          <w:sz w:val="22"/>
          <w:szCs w:val="22"/>
        </w:rPr>
        <w:t xml:space="preserve"> </w:t>
      </w:r>
      <w:r w:rsidRPr="002C4BE6">
        <w:rPr>
          <w:rFonts w:ascii="Aptos" w:hAnsi="Aptos"/>
          <w:sz w:val="22"/>
          <w:szCs w:val="22"/>
        </w:rPr>
        <w:t xml:space="preserve">Zudem sollten spezifische Programme entwickelt werden, um den Zugang zu Ressourcen und Unterstützung für </w:t>
      </w:r>
      <w:r>
        <w:rPr>
          <w:rFonts w:ascii="Aptos" w:hAnsi="Aptos"/>
          <w:sz w:val="22"/>
          <w:szCs w:val="22"/>
        </w:rPr>
        <w:t>besonders</w:t>
      </w:r>
      <w:r w:rsidRPr="002C4BE6">
        <w:rPr>
          <w:rFonts w:ascii="Aptos" w:hAnsi="Aptos"/>
          <w:sz w:val="22"/>
          <w:szCs w:val="22"/>
        </w:rPr>
        <w:t xml:space="preserve"> gefährdete Gruppen zu gewährleisten. </w:t>
      </w:r>
      <w:r>
        <w:rPr>
          <w:rFonts w:ascii="Aptos" w:hAnsi="Aptos"/>
          <w:sz w:val="22"/>
          <w:szCs w:val="22"/>
        </w:rPr>
        <w:t>Dazu zählt auch</w:t>
      </w:r>
      <w:r w:rsidRPr="002C4BE6">
        <w:rPr>
          <w:rFonts w:ascii="Aptos" w:hAnsi="Aptos"/>
          <w:sz w:val="22"/>
          <w:szCs w:val="22"/>
        </w:rPr>
        <w:t xml:space="preserve"> die Bereitstellung von </w:t>
      </w:r>
      <w:r>
        <w:rPr>
          <w:rFonts w:ascii="Aptos" w:hAnsi="Aptos"/>
          <w:sz w:val="22"/>
          <w:szCs w:val="22"/>
        </w:rPr>
        <w:t>klimaanpassungsfähigem</w:t>
      </w:r>
      <w:r w:rsidRPr="002C4BE6">
        <w:rPr>
          <w:rFonts w:ascii="Aptos" w:hAnsi="Aptos"/>
          <w:sz w:val="22"/>
          <w:szCs w:val="22"/>
        </w:rPr>
        <w:t xml:space="preserve"> Wohnraum, Notfallplänen und </w:t>
      </w:r>
      <w:r>
        <w:rPr>
          <w:rFonts w:ascii="Aptos" w:hAnsi="Aptos"/>
          <w:sz w:val="22"/>
          <w:szCs w:val="22"/>
        </w:rPr>
        <w:t xml:space="preserve">klimabezogenen </w:t>
      </w:r>
      <w:r w:rsidRPr="002C4BE6">
        <w:rPr>
          <w:rFonts w:ascii="Aptos" w:hAnsi="Aptos"/>
          <w:sz w:val="22"/>
          <w:szCs w:val="22"/>
        </w:rPr>
        <w:t xml:space="preserve">Gesundheitsdiensten. </w:t>
      </w:r>
    </w:p>
    <w:p w14:paraId="507BB53D" w14:textId="77777777" w:rsidR="00623AF8" w:rsidRPr="00CD3D28" w:rsidRDefault="00623AF8" w:rsidP="00623AF8">
      <w:pPr>
        <w:rPr>
          <w:rFonts w:ascii="Aptos" w:hAnsi="Aptos"/>
          <w:bCs/>
          <w:sz w:val="22"/>
          <w:szCs w:val="22"/>
        </w:rPr>
      </w:pPr>
      <w:r w:rsidRPr="00CD3D28">
        <w:rPr>
          <w:rFonts w:ascii="Aptos" w:hAnsi="Aptos"/>
          <w:bCs/>
          <w:sz w:val="22"/>
          <w:szCs w:val="22"/>
        </w:rPr>
        <w:br w:type="page"/>
      </w:r>
    </w:p>
    <w:p w14:paraId="34E4C30C" w14:textId="77777777" w:rsidR="00623AF8" w:rsidRPr="00CD3D28" w:rsidRDefault="00623AF8" w:rsidP="00623AF8">
      <w:pPr>
        <w:spacing w:after="120"/>
        <w:jc w:val="both"/>
        <w:rPr>
          <w:rFonts w:ascii="Aptos" w:hAnsi="Aptos"/>
          <w:bCs/>
          <w:iCs/>
          <w:sz w:val="22"/>
          <w:szCs w:val="22"/>
        </w:rPr>
      </w:pPr>
    </w:p>
    <w:p w14:paraId="471B6DB0" w14:textId="77777777" w:rsidR="00623AF8" w:rsidRPr="00CD3D28" w:rsidRDefault="00623AF8" w:rsidP="00623AF8">
      <w:pPr>
        <w:pStyle w:val="berschrift1"/>
        <w:ind w:left="720"/>
        <w:rPr>
          <w:rFonts w:ascii="Aptos" w:hAnsi="Aptos"/>
        </w:rPr>
      </w:pPr>
    </w:p>
    <w:p w14:paraId="024BD9F9" w14:textId="77777777" w:rsidR="00623AF8" w:rsidRPr="00CD3D28" w:rsidRDefault="00623AF8" w:rsidP="00623AF8">
      <w:pPr>
        <w:pStyle w:val="berschrift1"/>
        <w:rPr>
          <w:rFonts w:ascii="Aptos" w:hAnsi="Aptos"/>
        </w:rPr>
      </w:pPr>
      <w:bookmarkStart w:id="516" w:name="_Toc170142568"/>
      <w:bookmarkStart w:id="517" w:name="_Toc170983839"/>
      <w:r>
        <w:rPr>
          <w:rFonts w:ascii="Aptos" w:hAnsi="Aptos"/>
        </w:rPr>
        <w:t>Versorgung mit Pflegediensten in kleineren Gemeinden</w:t>
      </w:r>
      <w:bookmarkEnd w:id="516"/>
      <w:bookmarkEnd w:id="517"/>
      <w:r w:rsidRPr="00CD3D28">
        <w:rPr>
          <w:rFonts w:ascii="Aptos" w:hAnsi="Aptos"/>
        </w:rPr>
        <w:t xml:space="preserve"> </w:t>
      </w:r>
    </w:p>
    <w:p w14:paraId="32F5E18D"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68F6FBF4" w14:textId="77777777" w:rsidTr="00875DD0">
        <w:tc>
          <w:tcPr>
            <w:tcW w:w="9060" w:type="dxa"/>
            <w:shd w:val="clear" w:color="auto" w:fill="D9D9D9" w:themeFill="background1" w:themeFillShade="D9"/>
          </w:tcPr>
          <w:p w14:paraId="1DDAABA1"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5B644EB0" w14:textId="77777777" w:rsidTr="00875DD0">
        <w:tc>
          <w:tcPr>
            <w:tcW w:w="9060" w:type="dxa"/>
          </w:tcPr>
          <w:p w14:paraId="662CAFE2" w14:textId="77777777" w:rsidR="00623AF8" w:rsidRPr="00CD3D28" w:rsidRDefault="00623AF8" w:rsidP="00875DD0">
            <w:pPr>
              <w:spacing w:before="120" w:after="120"/>
              <w:jc w:val="both"/>
              <w:rPr>
                <w:rFonts w:ascii="Aptos" w:hAnsi="Aptos"/>
                <w:sz w:val="22"/>
                <w:szCs w:val="22"/>
              </w:rPr>
            </w:pPr>
            <w:r>
              <w:rPr>
                <w:rFonts w:ascii="Aptos" w:hAnsi="Aptos"/>
                <w:sz w:val="22"/>
                <w:szCs w:val="22"/>
              </w:rPr>
              <w:t>Gerade am Land ist die Pflegekrise noch stärker zu spüren. Arbeitskräfte fehlen und damit auch das Angebot.</w:t>
            </w:r>
            <w:r w:rsidRPr="00CD3D28">
              <w:rPr>
                <w:rFonts w:ascii="Aptos" w:hAnsi="Aptos"/>
                <w:sz w:val="22"/>
                <w:szCs w:val="22"/>
              </w:rPr>
              <w:t xml:space="preserve"> </w:t>
            </w:r>
            <w:r>
              <w:rPr>
                <w:rFonts w:ascii="Aptos" w:hAnsi="Aptos"/>
                <w:sz w:val="22"/>
                <w:szCs w:val="22"/>
              </w:rPr>
              <w:t>„Community Nursing“-Projekte versuchen dem Problem der Unterversorgung mit Pflegediensten in kleineren Gemeinden entgegenzuwirken. Allerdings ist bei vielen derartigen Projekten die weitere Finanzierung nach Ende des Zuflusses an EU-Fördergeldern oftmals ungeklärt.</w:t>
            </w:r>
            <w:r w:rsidRPr="00CD3D28">
              <w:rPr>
                <w:rFonts w:ascii="Aptos" w:hAnsi="Aptos"/>
                <w:sz w:val="22"/>
                <w:szCs w:val="22"/>
              </w:rPr>
              <w:t xml:space="preserve"> </w:t>
            </w:r>
            <w:r w:rsidRPr="00A43BDE">
              <w:rPr>
                <w:rFonts w:ascii="Aptos" w:hAnsi="Aptos"/>
                <w:b/>
                <w:bCs/>
                <w:sz w:val="22"/>
                <w:szCs w:val="22"/>
              </w:rPr>
              <w:t xml:space="preserve">Wie kann die Versorgung mit Pflegediensten </w:t>
            </w:r>
            <w:r>
              <w:rPr>
                <w:rFonts w:ascii="Aptos" w:hAnsi="Aptos"/>
                <w:b/>
                <w:bCs/>
                <w:sz w:val="22"/>
                <w:szCs w:val="22"/>
              </w:rPr>
              <w:t>in ländlichen Regionen</w:t>
            </w:r>
            <w:r w:rsidRPr="00A43BDE">
              <w:rPr>
                <w:rFonts w:ascii="Aptos" w:hAnsi="Aptos"/>
                <w:b/>
                <w:bCs/>
                <w:sz w:val="22"/>
                <w:szCs w:val="22"/>
              </w:rPr>
              <w:t xml:space="preserve"> und kleineren Gemeinden verbessert werden?</w:t>
            </w:r>
          </w:p>
        </w:tc>
      </w:tr>
      <w:tr w:rsidR="00623AF8" w:rsidRPr="00CD3D28" w14:paraId="4B76FFA1" w14:textId="77777777" w:rsidTr="00875DD0">
        <w:tc>
          <w:tcPr>
            <w:tcW w:w="9060" w:type="dxa"/>
            <w:shd w:val="clear" w:color="auto" w:fill="D9D9D9" w:themeFill="background1" w:themeFillShade="D9"/>
          </w:tcPr>
          <w:p w14:paraId="322B8AC2"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A43BDE" w14:paraId="1AC4B182" w14:textId="77777777" w:rsidTr="00875DD0">
        <w:tc>
          <w:tcPr>
            <w:tcW w:w="9060" w:type="dxa"/>
          </w:tcPr>
          <w:p w14:paraId="2F39A472" w14:textId="77777777" w:rsidR="00623AF8" w:rsidRPr="00E66619" w:rsidRDefault="00623AF8" w:rsidP="00F63BE8">
            <w:pPr>
              <w:pStyle w:val="Listenabsatz"/>
              <w:numPr>
                <w:ilvl w:val="0"/>
                <w:numId w:val="71"/>
              </w:numPr>
              <w:spacing w:before="120" w:after="120"/>
              <w:jc w:val="both"/>
              <w:rPr>
                <w:rFonts w:ascii="Aptos" w:hAnsi="Aptos"/>
                <w:sz w:val="22"/>
                <w:szCs w:val="22"/>
              </w:rPr>
            </w:pPr>
            <w:r w:rsidRPr="00E66619">
              <w:rPr>
                <w:rFonts w:ascii="Aptos" w:hAnsi="Aptos"/>
                <w:sz w:val="22"/>
                <w:szCs w:val="22"/>
              </w:rPr>
              <w:t xml:space="preserve">Welche Rolle kann hier „Community Nursing“ spielen? </w:t>
            </w:r>
          </w:p>
          <w:p w14:paraId="516684E7" w14:textId="77777777" w:rsidR="00623AF8" w:rsidRPr="00E66619" w:rsidRDefault="00623AF8" w:rsidP="00F63BE8">
            <w:pPr>
              <w:pStyle w:val="Listenabsatz"/>
              <w:numPr>
                <w:ilvl w:val="0"/>
                <w:numId w:val="71"/>
              </w:numPr>
              <w:spacing w:before="120" w:after="120"/>
              <w:jc w:val="both"/>
              <w:rPr>
                <w:rFonts w:ascii="Aptos" w:hAnsi="Aptos"/>
                <w:sz w:val="22"/>
                <w:szCs w:val="22"/>
              </w:rPr>
            </w:pPr>
            <w:r w:rsidRPr="00E66619">
              <w:rPr>
                <w:rFonts w:ascii="Aptos" w:hAnsi="Aptos"/>
                <w:sz w:val="22"/>
                <w:szCs w:val="22"/>
              </w:rPr>
              <w:t xml:space="preserve">Sollte „Community Nursing“ weiter ausgebaut werden? </w:t>
            </w:r>
          </w:p>
          <w:p w14:paraId="65056370" w14:textId="77777777" w:rsidR="00623AF8" w:rsidRPr="00E66619" w:rsidRDefault="00623AF8" w:rsidP="00F63BE8">
            <w:pPr>
              <w:pStyle w:val="Listenabsatz"/>
              <w:numPr>
                <w:ilvl w:val="0"/>
                <w:numId w:val="71"/>
              </w:numPr>
              <w:spacing w:before="120" w:after="120"/>
              <w:jc w:val="both"/>
              <w:rPr>
                <w:rFonts w:ascii="Aptos" w:hAnsi="Aptos"/>
                <w:sz w:val="22"/>
                <w:szCs w:val="22"/>
              </w:rPr>
            </w:pPr>
            <w:r w:rsidRPr="00E66619">
              <w:rPr>
                <w:rFonts w:ascii="Aptos" w:hAnsi="Aptos"/>
                <w:sz w:val="22"/>
                <w:szCs w:val="22"/>
              </w:rPr>
              <w:t>Wie können Sie sicherstellen, dass „Community Nursing“ in kleineren Gemeinden auch längerfristig weiterbesteht?</w:t>
            </w:r>
          </w:p>
        </w:tc>
      </w:tr>
    </w:tbl>
    <w:p w14:paraId="06DA7856" w14:textId="77777777" w:rsidR="00623AF8" w:rsidRPr="00A43BDE"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719EF41F" w14:textId="77777777" w:rsidTr="00875DD0">
        <w:tc>
          <w:tcPr>
            <w:tcW w:w="9060" w:type="dxa"/>
            <w:tcBorders>
              <w:top w:val="nil"/>
              <w:left w:val="nil"/>
              <w:bottom w:val="nil"/>
              <w:right w:val="nil"/>
            </w:tcBorders>
            <w:shd w:val="clear" w:color="auto" w:fill="D9D9D9" w:themeFill="background1" w:themeFillShade="D9"/>
          </w:tcPr>
          <w:p w14:paraId="06471FE3"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7A082CFD" w14:textId="77777777" w:rsidR="00623AF8" w:rsidRDefault="00623AF8" w:rsidP="00623AF8">
      <w:pPr>
        <w:jc w:val="both"/>
        <w:rPr>
          <w:rFonts w:ascii="Aptos" w:hAnsi="Aptos"/>
          <w:sz w:val="22"/>
          <w:szCs w:val="22"/>
        </w:rPr>
      </w:pPr>
      <w:r w:rsidRPr="00E103E2">
        <w:rPr>
          <w:rFonts w:ascii="Aptos" w:hAnsi="Aptos"/>
          <w:sz w:val="22"/>
          <w:szCs w:val="22"/>
        </w:rPr>
        <w:t xml:space="preserve">Gerade in ländlichen </w:t>
      </w:r>
      <w:r>
        <w:rPr>
          <w:rFonts w:ascii="Aptos" w:hAnsi="Aptos"/>
          <w:sz w:val="22"/>
          <w:szCs w:val="22"/>
        </w:rPr>
        <w:t>Regionen</w:t>
      </w:r>
      <w:r w:rsidRPr="00E103E2">
        <w:rPr>
          <w:rFonts w:ascii="Aptos" w:hAnsi="Aptos"/>
          <w:sz w:val="22"/>
          <w:szCs w:val="22"/>
        </w:rPr>
        <w:t xml:space="preserve"> ist die Pflegekrise besonders akut spürbar. Es fehlt an Arbeitskräften und damit auch an Angeboten, was die Unterversorgung in kleineren Gemeinden weiter verschärft. "Community Nursing"-Projekte versuchen, diesem Problem entgegenzuwirken, indem sie Pflegedienste direkt in den Gemeinden anbieten und so die Lücke in der Versorgung schließen. Allerdings ist die Finanzierung solcher Projekte nach dem Ende der EU-Fördergelder oft ungewiss, was ihre langfristige Fortführung gefährdet.</w:t>
      </w:r>
      <w:r>
        <w:rPr>
          <w:rFonts w:ascii="Aptos" w:hAnsi="Aptos"/>
          <w:sz w:val="22"/>
          <w:szCs w:val="22"/>
        </w:rPr>
        <w:t xml:space="preserve"> In Österreich sind bereits „community nursing“-Projekte erfolgreich mit EU-Geldern gefördert und durchgeführt worden.</w:t>
      </w:r>
      <w:r>
        <w:rPr>
          <w:rStyle w:val="Funotenzeichen"/>
          <w:rFonts w:ascii="Aptos" w:hAnsi="Aptos"/>
          <w:sz w:val="22"/>
          <w:szCs w:val="22"/>
        </w:rPr>
        <w:footnoteReference w:id="36"/>
      </w:r>
    </w:p>
    <w:p w14:paraId="26B2DD1F" w14:textId="77777777" w:rsidR="00623AF8" w:rsidRDefault="00623AF8" w:rsidP="00623AF8">
      <w:pPr>
        <w:jc w:val="both"/>
        <w:rPr>
          <w:rFonts w:ascii="Aptos" w:hAnsi="Aptos"/>
          <w:sz w:val="22"/>
          <w:szCs w:val="22"/>
        </w:rPr>
      </w:pPr>
    </w:p>
    <w:p w14:paraId="36D9C7CD" w14:textId="77777777" w:rsidR="00623AF8" w:rsidRPr="00CD3D28" w:rsidRDefault="00623AF8" w:rsidP="00623AF8">
      <w:pPr>
        <w:jc w:val="both"/>
        <w:rPr>
          <w:rFonts w:ascii="Aptos" w:hAnsi="Aptos"/>
          <w:bCs/>
          <w:sz w:val="22"/>
          <w:szCs w:val="22"/>
        </w:rPr>
      </w:pPr>
      <w:r>
        <w:rPr>
          <w:rFonts w:ascii="Aptos" w:hAnsi="Aptos"/>
          <w:sz w:val="22"/>
          <w:szCs w:val="22"/>
        </w:rPr>
        <w:t xml:space="preserve">Die Unterversorgung am Land ist kein neues Phänomen, der Fachkräftemangel hat allerdings die Pflegekrise nochmals zugespitzt. Damit „community nursing“-Projekte hier langfristig der Pflegekrise entgegenwirken können, braucht es eine nachhaltige Finanzierung, aber auch den politischen Willen zur breiten Umsetzung dieser Form der sozialen Infrastruktur. </w:t>
      </w:r>
      <w:r w:rsidRPr="00E103E2">
        <w:rPr>
          <w:rFonts w:ascii="Aptos" w:hAnsi="Aptos"/>
          <w:sz w:val="22"/>
          <w:szCs w:val="22"/>
        </w:rPr>
        <w:t xml:space="preserve">Eine langfristige Finanzierung kann durch eine Kombination aus staatlicher Unterstützung, regionalen Förderprogrammen und der Einbindung von gemeinnützigen Organisationen sowie privaten Partnern sichergestellt werden. Zudem können lokale Netzwerke und Selbsthilfegruppen zur Stärkung der Community Nursing-Initiativen beitragen, indem sie zusätzliche Ressourcen und Unterstützung bereitstellen. </w:t>
      </w:r>
    </w:p>
    <w:p w14:paraId="5BD2DFA2" w14:textId="77777777" w:rsidR="00623AF8" w:rsidRPr="00CD3D28" w:rsidRDefault="00623AF8" w:rsidP="00623AF8">
      <w:pPr>
        <w:spacing w:after="120"/>
        <w:jc w:val="both"/>
        <w:rPr>
          <w:rFonts w:ascii="Aptos" w:hAnsi="Aptos"/>
          <w:bCs/>
          <w:iCs/>
          <w:sz w:val="22"/>
          <w:szCs w:val="22"/>
        </w:rPr>
      </w:pPr>
    </w:p>
    <w:p w14:paraId="43DA33BA" w14:textId="77777777" w:rsidR="00623AF8" w:rsidRPr="00CD3D28" w:rsidRDefault="00623AF8" w:rsidP="00623AF8">
      <w:pPr>
        <w:pStyle w:val="berschrift1"/>
        <w:ind w:left="720"/>
        <w:rPr>
          <w:rFonts w:ascii="Aptos" w:hAnsi="Aptos"/>
        </w:rPr>
      </w:pPr>
    </w:p>
    <w:p w14:paraId="24FF334D" w14:textId="77777777" w:rsidR="00623AF8" w:rsidRPr="00CD3D28" w:rsidRDefault="00623AF8" w:rsidP="00623AF8">
      <w:pPr>
        <w:pStyle w:val="berschrift1"/>
        <w:rPr>
          <w:rFonts w:ascii="Aptos" w:hAnsi="Aptos"/>
        </w:rPr>
      </w:pPr>
      <w:bookmarkStart w:id="518" w:name="_Toc170142569"/>
      <w:bookmarkStart w:id="519" w:name="_Toc170983840"/>
      <w:r>
        <w:rPr>
          <w:rFonts w:ascii="Aptos" w:hAnsi="Aptos"/>
        </w:rPr>
        <w:t>Soziale Teilhabe von älteren Menschen</w:t>
      </w:r>
      <w:bookmarkEnd w:id="518"/>
      <w:bookmarkEnd w:id="519"/>
    </w:p>
    <w:p w14:paraId="6D5FC472"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3ADBB251" w14:textId="77777777" w:rsidTr="00875DD0">
        <w:tc>
          <w:tcPr>
            <w:tcW w:w="9060" w:type="dxa"/>
            <w:shd w:val="clear" w:color="auto" w:fill="D9D9D9" w:themeFill="background1" w:themeFillShade="D9"/>
          </w:tcPr>
          <w:p w14:paraId="0E004174"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5FFAC95D" w14:textId="77777777" w:rsidTr="00875DD0">
        <w:tc>
          <w:tcPr>
            <w:tcW w:w="9060" w:type="dxa"/>
          </w:tcPr>
          <w:p w14:paraId="1954A997" w14:textId="77777777" w:rsidR="00623AF8" w:rsidRPr="00CD3D28" w:rsidRDefault="00623AF8" w:rsidP="00875DD0">
            <w:pPr>
              <w:spacing w:before="120" w:after="120"/>
              <w:jc w:val="both"/>
              <w:rPr>
                <w:rFonts w:ascii="Aptos" w:hAnsi="Aptos"/>
                <w:sz w:val="22"/>
                <w:szCs w:val="22"/>
              </w:rPr>
            </w:pPr>
            <w:r>
              <w:rPr>
                <w:rFonts w:ascii="Aptos" w:hAnsi="Aptos"/>
                <w:sz w:val="22"/>
                <w:szCs w:val="22"/>
              </w:rPr>
              <w:t>Die europäischen Gesellschaften altern. Die wachsende demographische Gruppe älterer Menschen prägt so immer mehr das gesellschaftliche Leben und ebenso den Arbeitsmarkt. Soziale Teilhabe ist für ein gutes Leben zentral. Dabei ist auch wichtig, dass nicht große Teile der Bevölkerung vom sozialen Leben ausgeschlossen werden</w:t>
            </w:r>
            <w:r w:rsidRPr="00CD3D28">
              <w:rPr>
                <w:rFonts w:ascii="Aptos" w:hAnsi="Aptos"/>
                <w:sz w:val="22"/>
                <w:szCs w:val="22"/>
              </w:rPr>
              <w:t>.</w:t>
            </w:r>
            <w:r>
              <w:rPr>
                <w:rFonts w:ascii="Aptos" w:hAnsi="Aptos"/>
                <w:sz w:val="22"/>
                <w:szCs w:val="22"/>
              </w:rPr>
              <w:t xml:space="preserve"> Das schließt viele Bereiche mit ein, darunter kulturelle Teilhabe, digitale Partizipation, Teilhabe am Arbeitsmarkt, politische Partizipation und viele weitere Bereiche.</w:t>
            </w:r>
            <w:r w:rsidRPr="00CD3D28">
              <w:rPr>
                <w:rFonts w:ascii="Aptos" w:hAnsi="Aptos"/>
                <w:sz w:val="22"/>
                <w:szCs w:val="22"/>
              </w:rPr>
              <w:t xml:space="preserve"> </w:t>
            </w:r>
            <w:r w:rsidRPr="004A59F8">
              <w:rPr>
                <w:rFonts w:ascii="Aptos" w:hAnsi="Aptos"/>
                <w:b/>
                <w:bCs/>
                <w:sz w:val="22"/>
                <w:szCs w:val="22"/>
              </w:rPr>
              <w:t xml:space="preserve">Wie können Sie </w:t>
            </w:r>
            <w:r>
              <w:rPr>
                <w:rFonts w:ascii="Aptos" w:hAnsi="Aptos"/>
                <w:b/>
                <w:bCs/>
                <w:sz w:val="22"/>
                <w:szCs w:val="22"/>
              </w:rPr>
              <w:t>dazu beitragen</w:t>
            </w:r>
            <w:r w:rsidRPr="004A59F8">
              <w:rPr>
                <w:rFonts w:ascii="Aptos" w:hAnsi="Aptos"/>
                <w:b/>
                <w:bCs/>
                <w:sz w:val="22"/>
                <w:szCs w:val="22"/>
              </w:rPr>
              <w:t xml:space="preserve">, </w:t>
            </w:r>
            <w:r>
              <w:rPr>
                <w:rFonts w:ascii="Aptos" w:hAnsi="Aptos"/>
                <w:b/>
                <w:bCs/>
                <w:sz w:val="22"/>
                <w:szCs w:val="22"/>
              </w:rPr>
              <w:t>die soziale Teilhabe von</w:t>
            </w:r>
            <w:r w:rsidRPr="004A59F8">
              <w:rPr>
                <w:rFonts w:ascii="Aptos" w:hAnsi="Aptos"/>
                <w:b/>
                <w:bCs/>
                <w:sz w:val="22"/>
                <w:szCs w:val="22"/>
              </w:rPr>
              <w:t xml:space="preserve"> </w:t>
            </w:r>
            <w:r>
              <w:rPr>
                <w:rFonts w:ascii="Aptos" w:hAnsi="Aptos"/>
                <w:b/>
                <w:bCs/>
                <w:sz w:val="22"/>
                <w:szCs w:val="22"/>
              </w:rPr>
              <w:t>älteren Menschen</w:t>
            </w:r>
            <w:r w:rsidRPr="004A59F8">
              <w:rPr>
                <w:rFonts w:ascii="Aptos" w:hAnsi="Aptos"/>
                <w:b/>
                <w:bCs/>
                <w:sz w:val="22"/>
                <w:szCs w:val="22"/>
              </w:rPr>
              <w:t xml:space="preserve"> </w:t>
            </w:r>
            <w:r>
              <w:rPr>
                <w:rFonts w:ascii="Aptos" w:hAnsi="Aptos"/>
                <w:b/>
                <w:bCs/>
                <w:sz w:val="22"/>
                <w:szCs w:val="22"/>
              </w:rPr>
              <w:t>zu erhöhen und zu fördern</w:t>
            </w:r>
            <w:r w:rsidRPr="008A6798">
              <w:rPr>
                <w:rFonts w:ascii="Aptos" w:hAnsi="Aptos"/>
                <w:b/>
                <w:bCs/>
                <w:sz w:val="22"/>
                <w:szCs w:val="22"/>
              </w:rPr>
              <w:t>?</w:t>
            </w:r>
          </w:p>
        </w:tc>
      </w:tr>
      <w:tr w:rsidR="00623AF8" w:rsidRPr="00CD3D28" w14:paraId="6ACB5636" w14:textId="77777777" w:rsidTr="00875DD0">
        <w:tc>
          <w:tcPr>
            <w:tcW w:w="9060" w:type="dxa"/>
            <w:shd w:val="clear" w:color="auto" w:fill="D9D9D9" w:themeFill="background1" w:themeFillShade="D9"/>
          </w:tcPr>
          <w:p w14:paraId="330BE7E0"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342AD935" w14:textId="77777777" w:rsidTr="00875DD0">
        <w:tc>
          <w:tcPr>
            <w:tcW w:w="9060" w:type="dxa"/>
          </w:tcPr>
          <w:p w14:paraId="15B74DA8" w14:textId="77777777" w:rsidR="00623AF8" w:rsidRPr="00ED082E" w:rsidRDefault="00623AF8" w:rsidP="00F63BE8">
            <w:pPr>
              <w:pStyle w:val="Listenabsatz"/>
              <w:numPr>
                <w:ilvl w:val="0"/>
                <w:numId w:val="71"/>
              </w:numPr>
              <w:spacing w:before="120" w:after="120"/>
              <w:jc w:val="both"/>
              <w:rPr>
                <w:rFonts w:ascii="Aptos" w:hAnsi="Aptos"/>
                <w:sz w:val="22"/>
                <w:szCs w:val="22"/>
              </w:rPr>
            </w:pPr>
            <w:r w:rsidRPr="00ED082E">
              <w:rPr>
                <w:rFonts w:ascii="Aptos" w:hAnsi="Aptos"/>
                <w:sz w:val="22"/>
                <w:szCs w:val="22"/>
              </w:rPr>
              <w:t xml:space="preserve">Wie können sie sicherstellen, dass ältere Menschen möglichst lange und gesund am Arbeitsmarkt aktiv teilhaben können? </w:t>
            </w:r>
          </w:p>
        </w:tc>
      </w:tr>
    </w:tbl>
    <w:p w14:paraId="6ADBA26A"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25E5CA68" w14:textId="77777777" w:rsidTr="00875DD0">
        <w:tc>
          <w:tcPr>
            <w:tcW w:w="9060" w:type="dxa"/>
            <w:tcBorders>
              <w:top w:val="nil"/>
              <w:left w:val="nil"/>
              <w:bottom w:val="nil"/>
              <w:right w:val="nil"/>
            </w:tcBorders>
            <w:shd w:val="clear" w:color="auto" w:fill="D9D9D9" w:themeFill="background1" w:themeFillShade="D9"/>
          </w:tcPr>
          <w:p w14:paraId="06F2A663"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7B92B239" w14:textId="77777777" w:rsidR="00623AF8" w:rsidRPr="00EA244F" w:rsidRDefault="00623AF8" w:rsidP="00623AF8">
      <w:pPr>
        <w:jc w:val="both"/>
        <w:rPr>
          <w:rFonts w:ascii="Aptos" w:hAnsi="Aptos"/>
          <w:sz w:val="22"/>
          <w:szCs w:val="22"/>
        </w:rPr>
      </w:pPr>
      <w:r w:rsidRPr="00EA244F">
        <w:rPr>
          <w:rFonts w:ascii="Aptos" w:hAnsi="Aptos"/>
          <w:sz w:val="22"/>
          <w:szCs w:val="22"/>
        </w:rPr>
        <w:t xml:space="preserve">Die Förderung der sozialen Teilhabe älterer Menschen ist von entscheidender Bedeutung für eine integrative und resiliente Gesellschaft. Mit dem demografischen Wandel und einer alternden Bevölkerung wird es immer wichtiger, dass ältere Menschen aktiv und gesund am gesellschaftlichen und wirtschaftlichen Leben teilhaben können. Soziale Teilhabe </w:t>
      </w:r>
      <w:r>
        <w:rPr>
          <w:rFonts w:ascii="Aptos" w:hAnsi="Aptos"/>
          <w:sz w:val="22"/>
          <w:szCs w:val="22"/>
        </w:rPr>
        <w:t xml:space="preserve">stärkt </w:t>
      </w:r>
      <w:r w:rsidRPr="00EA244F">
        <w:rPr>
          <w:rFonts w:ascii="Aptos" w:hAnsi="Aptos"/>
          <w:sz w:val="22"/>
          <w:szCs w:val="22"/>
        </w:rPr>
        <w:t xml:space="preserve">das Wohlbefinden und die Lebensqualität älterer Menschen, </w:t>
      </w:r>
      <w:r>
        <w:rPr>
          <w:rFonts w:ascii="Aptos" w:hAnsi="Aptos"/>
          <w:sz w:val="22"/>
          <w:szCs w:val="22"/>
        </w:rPr>
        <w:t xml:space="preserve">aber </w:t>
      </w:r>
      <w:r w:rsidRPr="00EA244F">
        <w:rPr>
          <w:rFonts w:ascii="Aptos" w:hAnsi="Aptos"/>
          <w:sz w:val="22"/>
          <w:szCs w:val="22"/>
        </w:rPr>
        <w:t xml:space="preserve">auch </w:t>
      </w:r>
      <w:r>
        <w:rPr>
          <w:rFonts w:ascii="Aptos" w:hAnsi="Aptos"/>
          <w:sz w:val="22"/>
          <w:szCs w:val="22"/>
        </w:rPr>
        <w:t>die soziale und</w:t>
      </w:r>
      <w:r w:rsidRPr="00EA244F">
        <w:rPr>
          <w:rFonts w:ascii="Aptos" w:hAnsi="Aptos"/>
          <w:sz w:val="22"/>
          <w:szCs w:val="22"/>
        </w:rPr>
        <w:t xml:space="preserve"> wirtschaftliche Stabilität.</w:t>
      </w:r>
    </w:p>
    <w:p w14:paraId="45CC289F" w14:textId="77777777" w:rsidR="00623AF8" w:rsidRDefault="00623AF8" w:rsidP="00623AF8">
      <w:pPr>
        <w:jc w:val="both"/>
        <w:rPr>
          <w:rFonts w:ascii="Aptos" w:hAnsi="Aptos"/>
          <w:sz w:val="22"/>
          <w:szCs w:val="22"/>
        </w:rPr>
      </w:pPr>
    </w:p>
    <w:p w14:paraId="443F359A" w14:textId="77777777" w:rsidR="00623AF8" w:rsidRPr="00E85D6F" w:rsidRDefault="00623AF8" w:rsidP="00623AF8">
      <w:pPr>
        <w:jc w:val="both"/>
        <w:rPr>
          <w:rFonts w:ascii="Aptos" w:hAnsi="Aptos"/>
          <w:sz w:val="22"/>
          <w:szCs w:val="22"/>
        </w:rPr>
      </w:pPr>
      <w:r w:rsidRPr="00E85D6F">
        <w:rPr>
          <w:rFonts w:ascii="Aptos" w:hAnsi="Aptos"/>
          <w:sz w:val="22"/>
          <w:szCs w:val="22"/>
        </w:rPr>
        <w:t>Die Förderung digitaler Partizipation ist essenziell, um älteren Menschen den Zugang zu</w:t>
      </w:r>
      <w:r>
        <w:rPr>
          <w:rFonts w:ascii="Aptos" w:hAnsi="Aptos"/>
          <w:sz w:val="22"/>
          <w:szCs w:val="22"/>
        </w:rPr>
        <w:t>r</w:t>
      </w:r>
      <w:r w:rsidRPr="00E85D6F">
        <w:rPr>
          <w:rFonts w:ascii="Aptos" w:hAnsi="Aptos"/>
          <w:sz w:val="22"/>
          <w:szCs w:val="22"/>
        </w:rPr>
        <w:t xml:space="preserve"> </w:t>
      </w:r>
      <w:r>
        <w:rPr>
          <w:rFonts w:ascii="Aptos" w:hAnsi="Aptos"/>
          <w:sz w:val="22"/>
          <w:szCs w:val="22"/>
        </w:rPr>
        <w:t>Teilnahme an digitaler</w:t>
      </w:r>
      <w:r w:rsidRPr="00E85D6F">
        <w:rPr>
          <w:rFonts w:ascii="Aptos" w:hAnsi="Aptos"/>
          <w:sz w:val="22"/>
          <w:szCs w:val="22"/>
        </w:rPr>
        <w:t xml:space="preserve"> Kommunikation und Informationen zu ermöglichen. Bildungsangebote wie Schulungen und Workshops können älteren Menschen helfen, digitale Kompetenzen zu erwerben, während der Zugang zu erschwinglichen digitalen Geräten</w:t>
      </w:r>
      <w:r>
        <w:rPr>
          <w:rFonts w:ascii="Aptos" w:hAnsi="Aptos"/>
          <w:sz w:val="22"/>
          <w:szCs w:val="22"/>
        </w:rPr>
        <w:t xml:space="preserve"> </w:t>
      </w:r>
      <w:r w:rsidRPr="00E85D6F">
        <w:rPr>
          <w:rFonts w:ascii="Aptos" w:hAnsi="Aptos"/>
          <w:sz w:val="22"/>
          <w:szCs w:val="22"/>
        </w:rPr>
        <w:t xml:space="preserve">sicherstellt, dass niemand aufgrund finanzieller Einschränkungen ausgeschlossen wird. Zusätzlich </w:t>
      </w:r>
      <w:r>
        <w:rPr>
          <w:rFonts w:ascii="Aptos" w:hAnsi="Aptos"/>
          <w:sz w:val="22"/>
          <w:szCs w:val="22"/>
        </w:rPr>
        <w:t>helfen auch</w:t>
      </w:r>
      <w:r w:rsidRPr="00E85D6F">
        <w:rPr>
          <w:rFonts w:ascii="Aptos" w:hAnsi="Aptos"/>
          <w:sz w:val="22"/>
          <w:szCs w:val="22"/>
        </w:rPr>
        <w:t xml:space="preserve"> benutzerfreundliche Software und barrierefreie Technologien, um die spezifischen Bedürfnisse älterer Nutzer</w:t>
      </w:r>
      <w:r>
        <w:rPr>
          <w:rFonts w:ascii="Aptos" w:hAnsi="Aptos"/>
          <w:sz w:val="22"/>
          <w:szCs w:val="22"/>
        </w:rPr>
        <w:t>:innen</w:t>
      </w:r>
      <w:r w:rsidRPr="00E85D6F">
        <w:rPr>
          <w:rFonts w:ascii="Aptos" w:hAnsi="Aptos"/>
          <w:sz w:val="22"/>
          <w:szCs w:val="22"/>
        </w:rPr>
        <w:t xml:space="preserve"> zu berücksichtigen.</w:t>
      </w:r>
    </w:p>
    <w:p w14:paraId="47F8269E" w14:textId="77777777" w:rsidR="00623AF8" w:rsidRDefault="00623AF8" w:rsidP="00623AF8">
      <w:pPr>
        <w:jc w:val="both"/>
        <w:rPr>
          <w:rFonts w:ascii="Aptos" w:hAnsi="Aptos"/>
          <w:sz w:val="22"/>
          <w:szCs w:val="22"/>
        </w:rPr>
      </w:pPr>
    </w:p>
    <w:p w14:paraId="15EE54CA" w14:textId="77777777" w:rsidR="00623AF8" w:rsidRDefault="00623AF8" w:rsidP="00623AF8">
      <w:pPr>
        <w:jc w:val="both"/>
        <w:rPr>
          <w:rFonts w:ascii="Aptos" w:hAnsi="Aptos"/>
          <w:sz w:val="22"/>
          <w:szCs w:val="22"/>
          <w:highlight w:val="yellow"/>
        </w:rPr>
      </w:pPr>
      <w:r w:rsidRPr="00E85D6F">
        <w:rPr>
          <w:rFonts w:ascii="Aptos" w:hAnsi="Aptos"/>
          <w:sz w:val="22"/>
          <w:szCs w:val="22"/>
        </w:rPr>
        <w:t xml:space="preserve">Altersarmut kann durch verschiedene Maßnahmen bekämpft werden, die sicherstellen, dass Rentensysteme ausreichend sind, um den Lebensstandard älterer Menschen zu gewährleisten. Darüber hinaus </w:t>
      </w:r>
      <w:r>
        <w:rPr>
          <w:rFonts w:ascii="Aptos" w:hAnsi="Aptos"/>
          <w:sz w:val="22"/>
          <w:szCs w:val="22"/>
        </w:rPr>
        <w:t xml:space="preserve">sollten </w:t>
      </w:r>
      <w:r w:rsidRPr="00E85D6F">
        <w:rPr>
          <w:rFonts w:ascii="Aptos" w:hAnsi="Aptos"/>
          <w:sz w:val="22"/>
          <w:szCs w:val="22"/>
        </w:rPr>
        <w:t xml:space="preserve">Ansätze </w:t>
      </w:r>
      <w:r>
        <w:rPr>
          <w:rFonts w:ascii="Aptos" w:hAnsi="Aptos"/>
          <w:sz w:val="22"/>
          <w:szCs w:val="22"/>
        </w:rPr>
        <w:t>entwickelt werden, die dazu bei</w:t>
      </w:r>
      <w:r w:rsidRPr="00E85D6F">
        <w:rPr>
          <w:rFonts w:ascii="Aptos" w:hAnsi="Aptos"/>
          <w:sz w:val="22"/>
          <w:szCs w:val="22"/>
        </w:rPr>
        <w:t>tragen ältere Menschen, aktiv und selbstbestimmt am gesellschaftlichen und wirtschaftlichen Leben teilzunehmen.</w:t>
      </w:r>
      <w:r>
        <w:rPr>
          <w:rFonts w:ascii="Aptos" w:hAnsi="Aptos"/>
          <w:sz w:val="22"/>
          <w:szCs w:val="22"/>
        </w:rPr>
        <w:t xml:space="preserve"> Dazu sollten auch für</w:t>
      </w:r>
      <w:r w:rsidRPr="00E85D6F">
        <w:rPr>
          <w:rFonts w:ascii="Aptos" w:hAnsi="Aptos"/>
          <w:sz w:val="22"/>
          <w:szCs w:val="22"/>
        </w:rPr>
        <w:t xml:space="preserve"> Unternehmen </w:t>
      </w:r>
      <w:r>
        <w:rPr>
          <w:rFonts w:ascii="Aptos" w:hAnsi="Aptos"/>
          <w:sz w:val="22"/>
          <w:szCs w:val="22"/>
        </w:rPr>
        <w:t>Anreize geschaffen werden</w:t>
      </w:r>
      <w:r w:rsidRPr="00E85D6F">
        <w:rPr>
          <w:rFonts w:ascii="Aptos" w:hAnsi="Aptos"/>
          <w:sz w:val="22"/>
          <w:szCs w:val="22"/>
        </w:rPr>
        <w:t>, ältere Arbeitnehmer</w:t>
      </w:r>
      <w:r>
        <w:rPr>
          <w:rFonts w:ascii="Aptos" w:hAnsi="Aptos"/>
          <w:sz w:val="22"/>
          <w:szCs w:val="22"/>
        </w:rPr>
        <w:t>:innen</w:t>
      </w:r>
      <w:r w:rsidRPr="00E85D6F">
        <w:rPr>
          <w:rFonts w:ascii="Aptos" w:hAnsi="Aptos"/>
          <w:sz w:val="22"/>
          <w:szCs w:val="22"/>
        </w:rPr>
        <w:t xml:space="preserve"> einzustellen und zu behalten</w:t>
      </w:r>
      <w:r>
        <w:rPr>
          <w:rFonts w:ascii="Aptos" w:hAnsi="Aptos"/>
          <w:sz w:val="22"/>
          <w:szCs w:val="22"/>
        </w:rPr>
        <w:t xml:space="preserve">. Diese müssen auch mehr </w:t>
      </w:r>
      <w:r w:rsidRPr="00E85D6F">
        <w:rPr>
          <w:rFonts w:ascii="Aptos" w:hAnsi="Aptos"/>
          <w:sz w:val="22"/>
          <w:szCs w:val="22"/>
        </w:rPr>
        <w:t xml:space="preserve">Maßnahmen </w:t>
      </w:r>
      <w:r>
        <w:rPr>
          <w:rFonts w:ascii="Aptos" w:hAnsi="Aptos"/>
          <w:sz w:val="22"/>
          <w:szCs w:val="22"/>
        </w:rPr>
        <w:t xml:space="preserve">setzen, um </w:t>
      </w:r>
      <w:r w:rsidRPr="00E85D6F">
        <w:rPr>
          <w:rFonts w:ascii="Aptos" w:hAnsi="Aptos"/>
          <w:sz w:val="22"/>
          <w:szCs w:val="22"/>
        </w:rPr>
        <w:t xml:space="preserve">die Attraktivität von Unternehmen </w:t>
      </w:r>
      <w:r>
        <w:rPr>
          <w:rFonts w:ascii="Aptos" w:hAnsi="Aptos"/>
          <w:sz w:val="22"/>
          <w:szCs w:val="22"/>
        </w:rPr>
        <w:t xml:space="preserve">bei </w:t>
      </w:r>
      <w:r w:rsidRPr="00E85D6F">
        <w:rPr>
          <w:rFonts w:ascii="Aptos" w:hAnsi="Aptos"/>
          <w:sz w:val="22"/>
          <w:szCs w:val="22"/>
        </w:rPr>
        <w:t>ältere</w:t>
      </w:r>
      <w:r>
        <w:rPr>
          <w:rFonts w:ascii="Aptos" w:hAnsi="Aptos"/>
          <w:sz w:val="22"/>
          <w:szCs w:val="22"/>
        </w:rPr>
        <w:t>n Arbeitskräften sicherzustellen.</w:t>
      </w:r>
    </w:p>
    <w:p w14:paraId="7337979B" w14:textId="77777777" w:rsidR="00623AF8" w:rsidRDefault="00623AF8" w:rsidP="00623AF8">
      <w:pPr>
        <w:jc w:val="both"/>
        <w:rPr>
          <w:rFonts w:ascii="Aptos" w:hAnsi="Aptos"/>
          <w:sz w:val="22"/>
          <w:szCs w:val="22"/>
        </w:rPr>
      </w:pPr>
    </w:p>
    <w:p w14:paraId="36C0076D" w14:textId="77777777" w:rsidR="00623AF8" w:rsidRDefault="00623AF8" w:rsidP="00623AF8">
      <w:pPr>
        <w:jc w:val="both"/>
        <w:rPr>
          <w:rFonts w:ascii="Aptos" w:hAnsi="Aptos"/>
          <w:sz w:val="22"/>
          <w:szCs w:val="22"/>
        </w:rPr>
      </w:pPr>
      <w:r w:rsidRPr="00E85D6F">
        <w:rPr>
          <w:rFonts w:ascii="Aptos" w:hAnsi="Aptos"/>
          <w:sz w:val="22"/>
          <w:szCs w:val="22"/>
        </w:rPr>
        <w:t xml:space="preserve">Informelle Pflege durch Angehörige spielt eine wichtige Rolle im Leben vieler älterer Menschen. </w:t>
      </w:r>
      <w:r>
        <w:rPr>
          <w:rFonts w:ascii="Aptos" w:hAnsi="Aptos"/>
          <w:sz w:val="22"/>
          <w:szCs w:val="22"/>
        </w:rPr>
        <w:t xml:space="preserve">Die </w:t>
      </w:r>
      <w:r w:rsidRPr="00E85D6F">
        <w:rPr>
          <w:rFonts w:ascii="Aptos" w:hAnsi="Aptos"/>
          <w:sz w:val="22"/>
          <w:szCs w:val="22"/>
        </w:rPr>
        <w:t xml:space="preserve">Unterstützung für pflegende Angehörige durch Schulungen, finanzielle Unterstützung und Entlastungsdienste kann die Belastung verringern und die Qualität der Pflege verbessern. Zudem können Pflege-Netzwerke und Selbsthilfegruppen aufgebaut und gefördert werden, um den Austausch und die gegenseitige Unterstützung zu erleichtern. </w:t>
      </w:r>
    </w:p>
    <w:p w14:paraId="7FE9ACA5" w14:textId="77777777" w:rsidR="00623AF8" w:rsidRDefault="00623AF8" w:rsidP="00623AF8">
      <w:pPr>
        <w:pStyle w:val="berschrift1"/>
        <w:ind w:left="720"/>
        <w:rPr>
          <w:rFonts w:ascii="Aptos" w:hAnsi="Aptos"/>
        </w:rPr>
      </w:pPr>
    </w:p>
    <w:p w14:paraId="42914428" w14:textId="77777777" w:rsidR="00623AF8" w:rsidRDefault="00623AF8" w:rsidP="00623AF8">
      <w:pPr>
        <w:pStyle w:val="berschrift1"/>
        <w:ind w:left="720"/>
        <w:rPr>
          <w:rFonts w:ascii="Aptos" w:hAnsi="Aptos"/>
        </w:rPr>
      </w:pPr>
    </w:p>
    <w:p w14:paraId="59F08314" w14:textId="77777777" w:rsidR="00623AF8" w:rsidRPr="00CD3D28" w:rsidRDefault="00623AF8" w:rsidP="00623AF8">
      <w:pPr>
        <w:pStyle w:val="berschrift1"/>
        <w:rPr>
          <w:rFonts w:ascii="Aptos" w:hAnsi="Aptos"/>
        </w:rPr>
      </w:pPr>
      <w:bookmarkStart w:id="520" w:name="_Toc170142570"/>
      <w:bookmarkStart w:id="521" w:name="_Toc170983841"/>
      <w:r>
        <w:rPr>
          <w:rFonts w:ascii="Aptos" w:hAnsi="Aptos"/>
        </w:rPr>
        <w:t>Inklusion von Menschen mit Behinderungen</w:t>
      </w:r>
      <w:bookmarkEnd w:id="520"/>
      <w:bookmarkEnd w:id="521"/>
    </w:p>
    <w:p w14:paraId="7AE17A37"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12E05864" w14:textId="77777777" w:rsidTr="00875DD0">
        <w:tc>
          <w:tcPr>
            <w:tcW w:w="9060" w:type="dxa"/>
            <w:shd w:val="clear" w:color="auto" w:fill="D9D9D9" w:themeFill="background1" w:themeFillShade="D9"/>
          </w:tcPr>
          <w:p w14:paraId="371A9C06"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2C73AE73" w14:textId="77777777" w:rsidTr="00875DD0">
        <w:tc>
          <w:tcPr>
            <w:tcW w:w="9060" w:type="dxa"/>
          </w:tcPr>
          <w:p w14:paraId="43ABAF5F" w14:textId="77777777" w:rsidR="00623AF8" w:rsidRPr="00CD3D28" w:rsidRDefault="00623AF8" w:rsidP="00875DD0">
            <w:pPr>
              <w:spacing w:before="120" w:after="120"/>
              <w:jc w:val="both"/>
              <w:rPr>
                <w:rFonts w:ascii="Aptos" w:hAnsi="Aptos"/>
                <w:sz w:val="22"/>
                <w:szCs w:val="22"/>
              </w:rPr>
            </w:pPr>
            <w:r w:rsidRPr="00DE51AB">
              <w:rPr>
                <w:rFonts w:ascii="Aptos" w:hAnsi="Aptos"/>
                <w:b/>
                <w:bCs/>
                <w:sz w:val="22"/>
                <w:szCs w:val="22"/>
              </w:rPr>
              <w:t>Welche konkreten Maßnahmen planen Sie, um Menschen mit Behinderungen in der EU volle und gleichberechtigte Teilhabe auf allen gesellschaftlichen Ebenen zu ermöglichen</w:t>
            </w:r>
            <w:r w:rsidRPr="00A43BDE">
              <w:rPr>
                <w:rFonts w:ascii="Aptos" w:hAnsi="Aptos"/>
                <w:b/>
                <w:bCs/>
                <w:sz w:val="22"/>
                <w:szCs w:val="22"/>
              </w:rPr>
              <w:t>?</w:t>
            </w:r>
          </w:p>
        </w:tc>
      </w:tr>
      <w:tr w:rsidR="00623AF8" w:rsidRPr="00CD3D28" w14:paraId="0786171B" w14:textId="77777777" w:rsidTr="00875DD0">
        <w:tc>
          <w:tcPr>
            <w:tcW w:w="9060" w:type="dxa"/>
            <w:shd w:val="clear" w:color="auto" w:fill="D9D9D9" w:themeFill="background1" w:themeFillShade="D9"/>
          </w:tcPr>
          <w:p w14:paraId="6CF82A92"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A43BDE" w14:paraId="136A04DB" w14:textId="77777777" w:rsidTr="00875DD0">
        <w:tc>
          <w:tcPr>
            <w:tcW w:w="9060" w:type="dxa"/>
          </w:tcPr>
          <w:p w14:paraId="3E312839" w14:textId="77777777" w:rsidR="00623AF8" w:rsidRPr="00ED082E" w:rsidRDefault="00623AF8" w:rsidP="00F63BE8">
            <w:pPr>
              <w:pStyle w:val="Listenabsatz"/>
              <w:numPr>
                <w:ilvl w:val="0"/>
                <w:numId w:val="71"/>
              </w:numPr>
              <w:spacing w:before="120" w:after="120"/>
              <w:jc w:val="both"/>
              <w:rPr>
                <w:rFonts w:ascii="Aptos" w:hAnsi="Aptos"/>
                <w:sz w:val="22"/>
                <w:szCs w:val="22"/>
              </w:rPr>
            </w:pPr>
            <w:r w:rsidRPr="00ED082E">
              <w:rPr>
                <w:rFonts w:ascii="Aptos" w:hAnsi="Aptos"/>
                <w:sz w:val="22"/>
                <w:szCs w:val="22"/>
              </w:rPr>
              <w:t>Wie können sie die Harmonisierung der Rechte von Menschen mit Behinderungen in den Mitgliedstaaten verbessern?</w:t>
            </w:r>
          </w:p>
          <w:p w14:paraId="7EE0DC22" w14:textId="77777777" w:rsidR="00623AF8" w:rsidRPr="00ED082E" w:rsidRDefault="00623AF8" w:rsidP="00F63BE8">
            <w:pPr>
              <w:pStyle w:val="Listenabsatz"/>
              <w:numPr>
                <w:ilvl w:val="0"/>
                <w:numId w:val="71"/>
              </w:numPr>
              <w:spacing w:before="120" w:after="120"/>
              <w:jc w:val="both"/>
              <w:rPr>
                <w:rFonts w:ascii="Aptos" w:hAnsi="Aptos"/>
                <w:sz w:val="22"/>
                <w:szCs w:val="22"/>
              </w:rPr>
            </w:pPr>
            <w:r w:rsidRPr="00ED082E">
              <w:rPr>
                <w:rFonts w:ascii="Aptos" w:hAnsi="Aptos"/>
                <w:sz w:val="22"/>
                <w:szCs w:val="22"/>
              </w:rPr>
              <w:t>Wie kann der Europäische Ausweis für Menschen mit Behinderungen auf den Zugang zu weiteren Leistungen ausgeweitet werden?</w:t>
            </w:r>
          </w:p>
        </w:tc>
      </w:tr>
    </w:tbl>
    <w:p w14:paraId="65490CD0" w14:textId="77777777" w:rsidR="00623AF8" w:rsidRPr="00A43BDE"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F4FED13" w14:textId="77777777" w:rsidTr="00875DD0">
        <w:tc>
          <w:tcPr>
            <w:tcW w:w="9060" w:type="dxa"/>
            <w:tcBorders>
              <w:top w:val="nil"/>
              <w:left w:val="nil"/>
              <w:bottom w:val="nil"/>
              <w:right w:val="nil"/>
            </w:tcBorders>
            <w:shd w:val="clear" w:color="auto" w:fill="D9D9D9" w:themeFill="background1" w:themeFillShade="D9"/>
          </w:tcPr>
          <w:p w14:paraId="3E7D7DCD"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6846D64E" w14:textId="77777777" w:rsidR="00623AF8" w:rsidRPr="00B40416" w:rsidRDefault="00623AF8" w:rsidP="00623AF8">
      <w:pPr>
        <w:jc w:val="both"/>
        <w:rPr>
          <w:rFonts w:ascii="Aptos" w:hAnsi="Aptos"/>
          <w:sz w:val="22"/>
          <w:szCs w:val="22"/>
        </w:rPr>
      </w:pPr>
      <w:r w:rsidRPr="00B40416">
        <w:rPr>
          <w:rFonts w:ascii="Aptos" w:hAnsi="Aptos"/>
          <w:sz w:val="22"/>
          <w:szCs w:val="22"/>
        </w:rPr>
        <w:t xml:space="preserve">Die volle und gleichberechtigte Teilhabe von Menschen mit Behinderungen auf allen gesellschaftlichen Ebenen ist </w:t>
      </w:r>
      <w:r>
        <w:rPr>
          <w:rFonts w:ascii="Aptos" w:hAnsi="Aptos"/>
          <w:sz w:val="22"/>
          <w:szCs w:val="22"/>
        </w:rPr>
        <w:t>ein fundamentaler Bestandteil der</w:t>
      </w:r>
      <w:r w:rsidRPr="00B40416">
        <w:rPr>
          <w:rFonts w:ascii="Aptos" w:hAnsi="Aptos"/>
          <w:sz w:val="22"/>
          <w:szCs w:val="22"/>
        </w:rPr>
        <w:t xml:space="preserve"> Verwirklichung einer inklusiven und gerechten Gesellschaft in der EU. Menschen mit Behinderungen sehen sich oft mit vielfältigen Barrieren konfrontiert, die ihre Partizipation im Arbeitsmarkt, im Bildungswesen, im sozialen Leben und in der politischen Mitbestimmung einschränken. Diese Barrieren führen zu sozialer Ausgrenzung und wirtschaftlicher Benachteiligung.</w:t>
      </w:r>
    </w:p>
    <w:p w14:paraId="00985777" w14:textId="77777777" w:rsidR="00623AF8" w:rsidRPr="00B40416" w:rsidRDefault="00623AF8" w:rsidP="00623AF8">
      <w:pPr>
        <w:jc w:val="both"/>
        <w:rPr>
          <w:rFonts w:ascii="Aptos" w:hAnsi="Aptos"/>
          <w:sz w:val="22"/>
          <w:szCs w:val="22"/>
        </w:rPr>
      </w:pPr>
    </w:p>
    <w:p w14:paraId="6F601DA2" w14:textId="77777777" w:rsidR="00623AF8" w:rsidRPr="00B40416" w:rsidRDefault="00623AF8" w:rsidP="00623AF8">
      <w:pPr>
        <w:jc w:val="both"/>
        <w:rPr>
          <w:rFonts w:ascii="Aptos" w:hAnsi="Aptos"/>
          <w:sz w:val="22"/>
          <w:szCs w:val="22"/>
        </w:rPr>
      </w:pPr>
      <w:r w:rsidRPr="00B40416">
        <w:rPr>
          <w:rFonts w:ascii="Aptos" w:hAnsi="Aptos"/>
          <w:sz w:val="22"/>
          <w:szCs w:val="22"/>
        </w:rPr>
        <w:t xml:space="preserve">Ein zentraler Schritt zur Verbesserung der Situation ist die Harmonisierung der Rechte von Menschen mit Behinderungen in den EU-Mitgliedstaaten. Derzeit bestehen erhebliche Unterschiede in den rechtlichen und sozialen Standards, die Menschen mit Behinderungen unterstützen. Durch eine Harmonisierung können einheitliche Mindeststandards geschaffen werden, die sicherstellen, dass alle Menschen mit Behinderungen in der EU gleiche Rechte und Zugang zu Unterstützungsleistungen </w:t>
      </w:r>
      <w:r>
        <w:rPr>
          <w:rFonts w:ascii="Aptos" w:hAnsi="Aptos"/>
          <w:sz w:val="22"/>
          <w:szCs w:val="22"/>
        </w:rPr>
        <w:t>bekommen</w:t>
      </w:r>
      <w:r w:rsidRPr="00B40416">
        <w:rPr>
          <w:rFonts w:ascii="Aptos" w:hAnsi="Aptos"/>
          <w:sz w:val="22"/>
          <w:szCs w:val="22"/>
        </w:rPr>
        <w:t>.</w:t>
      </w:r>
    </w:p>
    <w:p w14:paraId="555DD2E7" w14:textId="77777777" w:rsidR="00623AF8" w:rsidRPr="00B40416" w:rsidRDefault="00623AF8" w:rsidP="00623AF8">
      <w:pPr>
        <w:jc w:val="both"/>
        <w:rPr>
          <w:rFonts w:ascii="Aptos" w:hAnsi="Aptos"/>
          <w:sz w:val="22"/>
          <w:szCs w:val="22"/>
        </w:rPr>
      </w:pPr>
    </w:p>
    <w:p w14:paraId="0B70C176" w14:textId="77777777" w:rsidR="00623AF8" w:rsidRPr="00B40416" w:rsidRDefault="00623AF8" w:rsidP="00623AF8">
      <w:pPr>
        <w:jc w:val="both"/>
        <w:rPr>
          <w:rFonts w:ascii="Aptos" w:hAnsi="Aptos"/>
          <w:sz w:val="22"/>
          <w:szCs w:val="22"/>
        </w:rPr>
      </w:pPr>
      <w:r w:rsidRPr="00D157BC">
        <w:rPr>
          <w:rFonts w:ascii="Aptos" w:hAnsi="Aptos"/>
          <w:sz w:val="22"/>
          <w:szCs w:val="22"/>
        </w:rPr>
        <w:t xml:space="preserve">Der neue Europäische Behindertenausweis </w:t>
      </w:r>
      <w:r>
        <w:rPr>
          <w:rFonts w:ascii="Aptos" w:hAnsi="Aptos"/>
          <w:sz w:val="22"/>
          <w:szCs w:val="22"/>
        </w:rPr>
        <w:t>soll</w:t>
      </w:r>
      <w:r w:rsidRPr="00D157BC">
        <w:rPr>
          <w:rFonts w:ascii="Aptos" w:hAnsi="Aptos"/>
          <w:sz w:val="22"/>
          <w:szCs w:val="22"/>
        </w:rPr>
        <w:t xml:space="preserve"> überall in der EU als Nachweis des Behindertenstatus dienen</w:t>
      </w:r>
      <w:r>
        <w:rPr>
          <w:rFonts w:ascii="Aptos" w:hAnsi="Aptos"/>
          <w:sz w:val="22"/>
          <w:szCs w:val="22"/>
        </w:rPr>
        <w:t>, damit</w:t>
      </w:r>
      <w:r w:rsidRPr="00D157BC">
        <w:rPr>
          <w:rFonts w:ascii="Aptos" w:hAnsi="Aptos"/>
          <w:sz w:val="22"/>
          <w:szCs w:val="22"/>
        </w:rPr>
        <w:t xml:space="preserve"> Menschen mit Behinderungen Zugang zu denselben Sonderkonditionen und Vorzugsbehandlungen erhalten wie die Einwohner und Einwohnerinnen des Landes, in das sie reisen.</w:t>
      </w:r>
      <w:r>
        <w:rPr>
          <w:rFonts w:ascii="Aptos" w:hAnsi="Aptos"/>
          <w:sz w:val="22"/>
          <w:szCs w:val="22"/>
        </w:rPr>
        <w:t xml:space="preserve"> </w:t>
      </w:r>
      <w:r w:rsidRPr="00D157BC">
        <w:rPr>
          <w:rFonts w:ascii="Aptos" w:hAnsi="Aptos"/>
          <w:sz w:val="22"/>
          <w:szCs w:val="22"/>
        </w:rPr>
        <w:t>EU-Länder bieten in der Regel Sonderkonditionen für die Nutzung öffentlicher Verkehrsmittel und Vorzugsbehandlung bei Kultur-, Freizeit- und Sportveranstaltungen und -aktivitäten, zum Beispiel beim Besuch eines Museums oder eines Konzerts.</w:t>
      </w:r>
      <w:r w:rsidRPr="00B40416">
        <w:rPr>
          <w:rFonts w:ascii="Aptos" w:hAnsi="Aptos"/>
          <w:sz w:val="22"/>
          <w:szCs w:val="22"/>
        </w:rPr>
        <w:t xml:space="preserve"> </w:t>
      </w:r>
      <w:r w:rsidRPr="00B40416">
        <w:rPr>
          <w:rStyle w:val="Funotenzeichen"/>
          <w:rFonts w:ascii="Aptos" w:hAnsi="Aptos"/>
          <w:sz w:val="22"/>
          <w:szCs w:val="22"/>
        </w:rPr>
        <w:footnoteReference w:id="37"/>
      </w:r>
    </w:p>
    <w:p w14:paraId="7FBA81AA" w14:textId="77777777" w:rsidR="00623AF8" w:rsidRDefault="00623AF8" w:rsidP="00623AF8">
      <w:pPr>
        <w:jc w:val="both"/>
        <w:rPr>
          <w:rFonts w:ascii="Aptos" w:hAnsi="Aptos"/>
          <w:sz w:val="22"/>
          <w:szCs w:val="22"/>
        </w:rPr>
      </w:pPr>
    </w:p>
    <w:p w14:paraId="310D40A2" w14:textId="77777777" w:rsidR="00623AF8" w:rsidRPr="00D157BC" w:rsidRDefault="00623AF8" w:rsidP="00623AF8">
      <w:pPr>
        <w:jc w:val="both"/>
        <w:rPr>
          <w:rFonts w:ascii="Aptos" w:hAnsi="Aptos"/>
          <w:sz w:val="22"/>
          <w:szCs w:val="22"/>
        </w:rPr>
      </w:pPr>
      <w:r w:rsidRPr="00B40416">
        <w:rPr>
          <w:rFonts w:ascii="Aptos" w:hAnsi="Aptos"/>
          <w:sz w:val="22"/>
          <w:szCs w:val="22"/>
        </w:rPr>
        <w:t xml:space="preserve">Eine Ausweitung des Europäischen Ausweises würde nicht nur die Mobilität und den Zugang zu Dienstleistungen für Menschen mit Behinderungen verbessern, sondern auch ihre Teilhabe am Arbeitsmarkt und an der Gesellschaft insgesamt fördern. </w:t>
      </w:r>
    </w:p>
    <w:p w14:paraId="647553A7" w14:textId="77777777" w:rsidR="00623AF8" w:rsidRPr="00B40416" w:rsidRDefault="00623AF8" w:rsidP="00623AF8">
      <w:pPr>
        <w:rPr>
          <w:rFonts w:ascii="Aptos" w:hAnsi="Aptos"/>
          <w:sz w:val="22"/>
          <w:szCs w:val="22"/>
        </w:rPr>
      </w:pPr>
      <w:r>
        <w:rPr>
          <w:rFonts w:ascii="Aptos" w:hAnsi="Aptos"/>
          <w:sz w:val="22"/>
          <w:szCs w:val="22"/>
          <w:highlight w:val="yellow"/>
        </w:rPr>
        <w:br w:type="page"/>
      </w:r>
    </w:p>
    <w:p w14:paraId="04170E7B" w14:textId="77777777" w:rsidR="00623AF8" w:rsidRDefault="00623AF8" w:rsidP="00623AF8">
      <w:pPr>
        <w:pStyle w:val="berschrift1"/>
        <w:ind w:left="720"/>
        <w:rPr>
          <w:rFonts w:ascii="Aptos" w:hAnsi="Aptos"/>
        </w:rPr>
      </w:pPr>
    </w:p>
    <w:p w14:paraId="03932BE0" w14:textId="77777777" w:rsidR="00623AF8" w:rsidRDefault="00623AF8" w:rsidP="00623AF8">
      <w:pPr>
        <w:pStyle w:val="berschrift1"/>
        <w:ind w:left="720"/>
        <w:rPr>
          <w:rFonts w:ascii="Aptos" w:hAnsi="Aptos"/>
        </w:rPr>
      </w:pPr>
    </w:p>
    <w:p w14:paraId="4006E3C7" w14:textId="77777777" w:rsidR="00623AF8" w:rsidRPr="00CD3D28" w:rsidRDefault="00623AF8" w:rsidP="00623AF8">
      <w:pPr>
        <w:pStyle w:val="berschrift1"/>
        <w:rPr>
          <w:rFonts w:ascii="Aptos" w:hAnsi="Aptos"/>
        </w:rPr>
      </w:pPr>
      <w:bookmarkStart w:id="522" w:name="_Toc170142571"/>
      <w:bookmarkStart w:id="523" w:name="_Toc170983842"/>
      <w:r>
        <w:rPr>
          <w:rFonts w:ascii="Aptos" w:hAnsi="Aptos"/>
        </w:rPr>
        <w:t>Europäische Säule sozialer Rechte im Europäischen Semester</w:t>
      </w:r>
      <w:bookmarkEnd w:id="522"/>
      <w:bookmarkEnd w:id="523"/>
    </w:p>
    <w:p w14:paraId="635D13FF"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79B3AEA7" w14:textId="77777777" w:rsidTr="00875DD0">
        <w:tc>
          <w:tcPr>
            <w:tcW w:w="9060" w:type="dxa"/>
            <w:shd w:val="clear" w:color="auto" w:fill="D9D9D9" w:themeFill="background1" w:themeFillShade="D9"/>
          </w:tcPr>
          <w:p w14:paraId="04D4FB27"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22D6BB12" w14:textId="77777777" w:rsidTr="00875DD0">
        <w:tc>
          <w:tcPr>
            <w:tcW w:w="9060" w:type="dxa"/>
          </w:tcPr>
          <w:p w14:paraId="7D40324D" w14:textId="77777777" w:rsidR="00623AF8" w:rsidRPr="00CD3D28" w:rsidRDefault="00623AF8" w:rsidP="00875DD0">
            <w:pPr>
              <w:spacing w:before="120" w:after="120"/>
              <w:jc w:val="both"/>
              <w:rPr>
                <w:rFonts w:ascii="Aptos" w:hAnsi="Aptos"/>
                <w:sz w:val="22"/>
                <w:szCs w:val="22"/>
              </w:rPr>
            </w:pPr>
            <w:r>
              <w:rPr>
                <w:rFonts w:ascii="Aptos" w:hAnsi="Aptos"/>
                <w:sz w:val="22"/>
                <w:szCs w:val="22"/>
              </w:rPr>
              <w:t xml:space="preserve">Das europäische Semester stellt ein Instrument dar, mit dem die Mitgliedstaaten zu sozial- und wirtschaftspolitischen Reformen angeregt und unterstützt werden. </w:t>
            </w:r>
            <w:r w:rsidRPr="007B3175">
              <w:rPr>
                <w:rFonts w:ascii="Aptos" w:hAnsi="Aptos"/>
                <w:sz w:val="22"/>
                <w:szCs w:val="22"/>
              </w:rPr>
              <w:t xml:space="preserve">Obwohl soziale Indikatoren bereits Eingang in das Europäische Semester gefunden haben, bleiben viele Dimensionen noch unberücksichtigt. </w:t>
            </w:r>
            <w:r w:rsidRPr="007B3175">
              <w:rPr>
                <w:rFonts w:ascii="Aptos" w:hAnsi="Aptos"/>
                <w:b/>
                <w:bCs/>
                <w:sz w:val="22"/>
                <w:szCs w:val="22"/>
              </w:rPr>
              <w:t xml:space="preserve">Wie kann die </w:t>
            </w:r>
            <w:r>
              <w:rPr>
                <w:rFonts w:ascii="Aptos" w:hAnsi="Aptos"/>
                <w:b/>
                <w:bCs/>
                <w:sz w:val="22"/>
                <w:szCs w:val="22"/>
              </w:rPr>
              <w:t xml:space="preserve">europäische </w:t>
            </w:r>
            <w:r w:rsidRPr="007B3175">
              <w:rPr>
                <w:rFonts w:ascii="Aptos" w:hAnsi="Aptos"/>
                <w:b/>
                <w:bCs/>
                <w:sz w:val="22"/>
                <w:szCs w:val="22"/>
              </w:rPr>
              <w:t>Säule sozialer Rechte stärker im Europäischen Semester verankert werden</w:t>
            </w:r>
            <w:r w:rsidRPr="008A6798">
              <w:rPr>
                <w:rFonts w:ascii="Aptos" w:hAnsi="Aptos"/>
                <w:b/>
                <w:bCs/>
                <w:sz w:val="22"/>
                <w:szCs w:val="22"/>
              </w:rPr>
              <w:t>?</w:t>
            </w:r>
          </w:p>
        </w:tc>
      </w:tr>
      <w:tr w:rsidR="00623AF8" w:rsidRPr="00CD3D28" w14:paraId="23512B05" w14:textId="77777777" w:rsidTr="00875DD0">
        <w:tc>
          <w:tcPr>
            <w:tcW w:w="9060" w:type="dxa"/>
            <w:shd w:val="clear" w:color="auto" w:fill="D9D9D9" w:themeFill="background1" w:themeFillShade="D9"/>
          </w:tcPr>
          <w:p w14:paraId="22D36833"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CD3D28" w14:paraId="2D553897" w14:textId="77777777" w:rsidTr="00875DD0">
        <w:tc>
          <w:tcPr>
            <w:tcW w:w="9060" w:type="dxa"/>
          </w:tcPr>
          <w:p w14:paraId="7BEC2505" w14:textId="77777777" w:rsidR="00623AF8" w:rsidRPr="00ED082E" w:rsidRDefault="00623AF8" w:rsidP="00F63BE8">
            <w:pPr>
              <w:pStyle w:val="Listenabsatz"/>
              <w:numPr>
                <w:ilvl w:val="0"/>
                <w:numId w:val="71"/>
              </w:numPr>
              <w:spacing w:before="120" w:after="120"/>
              <w:jc w:val="both"/>
              <w:rPr>
                <w:rFonts w:ascii="Aptos" w:hAnsi="Aptos"/>
                <w:sz w:val="22"/>
                <w:szCs w:val="22"/>
              </w:rPr>
            </w:pPr>
            <w:r>
              <w:rPr>
                <w:rFonts w:ascii="Aptos" w:hAnsi="Aptos"/>
                <w:sz w:val="22"/>
                <w:szCs w:val="22"/>
              </w:rPr>
              <w:t>Wie</w:t>
            </w:r>
            <w:r w:rsidRPr="00ED082E">
              <w:rPr>
                <w:rFonts w:ascii="Aptos" w:hAnsi="Aptos"/>
                <w:sz w:val="22"/>
                <w:szCs w:val="22"/>
              </w:rPr>
              <w:t xml:space="preserve"> stellen Sie sicher, dass die Reformvorschläge im Rahmen des Europäischen Semesters entsprechend wissenschaftlichen Erkenntnissen erstellt und in den Mitgliedstaaten umgesetzt werden?</w:t>
            </w:r>
          </w:p>
        </w:tc>
      </w:tr>
    </w:tbl>
    <w:p w14:paraId="3968B16D"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75DBD2E" w14:textId="77777777" w:rsidTr="00875DD0">
        <w:tc>
          <w:tcPr>
            <w:tcW w:w="9060" w:type="dxa"/>
            <w:tcBorders>
              <w:top w:val="nil"/>
              <w:left w:val="nil"/>
              <w:bottom w:val="nil"/>
              <w:right w:val="nil"/>
            </w:tcBorders>
            <w:shd w:val="clear" w:color="auto" w:fill="D9D9D9" w:themeFill="background1" w:themeFillShade="D9"/>
          </w:tcPr>
          <w:p w14:paraId="006B81C3"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222F4F0D" w14:textId="77777777" w:rsidR="00623AF8" w:rsidRDefault="00623AF8" w:rsidP="00623AF8">
      <w:pPr>
        <w:jc w:val="both"/>
        <w:rPr>
          <w:rFonts w:ascii="Aptos" w:hAnsi="Aptos"/>
          <w:sz w:val="22"/>
          <w:szCs w:val="22"/>
        </w:rPr>
      </w:pPr>
      <w:r>
        <w:rPr>
          <w:rFonts w:ascii="Aptos" w:hAnsi="Aptos"/>
          <w:sz w:val="22"/>
          <w:szCs w:val="22"/>
        </w:rPr>
        <w:t>In der vergangenen Legislaturperiode des Europäischen Parlaments gab es einige neue Initiativen betreffend die europäische Säule sozialer Rechte. So hat die Europäische Kommission 2022 b</w:t>
      </w:r>
      <w:r w:rsidRPr="00573F5A">
        <w:rPr>
          <w:rFonts w:ascii="Aptos" w:hAnsi="Aptos"/>
          <w:sz w:val="22"/>
          <w:szCs w:val="22"/>
        </w:rPr>
        <w:t xml:space="preserve">asierend auf den Grundsätzen der </w:t>
      </w:r>
      <w:r w:rsidRPr="00F05F03">
        <w:rPr>
          <w:rFonts w:ascii="Aptos" w:hAnsi="Aptos"/>
          <w:i/>
          <w:iCs/>
          <w:sz w:val="22"/>
          <w:szCs w:val="22"/>
        </w:rPr>
        <w:t>Europäischen Säule sozialer Rechte</w:t>
      </w:r>
      <w:r>
        <w:rPr>
          <w:rStyle w:val="Funotenzeichen"/>
          <w:rFonts w:ascii="Aptos" w:hAnsi="Aptos"/>
          <w:sz w:val="22"/>
          <w:szCs w:val="22"/>
        </w:rPr>
        <w:footnoteReference w:id="38"/>
      </w:r>
      <w:r>
        <w:rPr>
          <w:rFonts w:ascii="Aptos" w:hAnsi="Aptos"/>
          <w:sz w:val="22"/>
          <w:szCs w:val="22"/>
        </w:rPr>
        <w:t xml:space="preserve"> beispielsweise die </w:t>
      </w:r>
      <w:r w:rsidRPr="00B84B6D">
        <w:rPr>
          <w:rFonts w:ascii="Aptos" w:hAnsi="Aptos"/>
          <w:i/>
          <w:iCs/>
          <w:sz w:val="22"/>
          <w:szCs w:val="22"/>
        </w:rPr>
        <w:t>Europäische Strategie für Pflege und Betreuung</w:t>
      </w:r>
      <w:r>
        <w:rPr>
          <w:rStyle w:val="Funotenzeichen"/>
          <w:rFonts w:ascii="Aptos" w:hAnsi="Aptos"/>
          <w:sz w:val="22"/>
          <w:szCs w:val="22"/>
        </w:rPr>
        <w:footnoteReference w:id="39"/>
      </w:r>
      <w:r>
        <w:rPr>
          <w:rFonts w:ascii="Aptos" w:hAnsi="Aptos"/>
          <w:sz w:val="22"/>
          <w:szCs w:val="22"/>
        </w:rPr>
        <w:t xml:space="preserve"> </w:t>
      </w:r>
      <w:r w:rsidRPr="00573F5A">
        <w:rPr>
          <w:rFonts w:ascii="Aptos" w:hAnsi="Aptos"/>
          <w:sz w:val="22"/>
          <w:szCs w:val="22"/>
        </w:rPr>
        <w:t xml:space="preserve">veröffentlicht. Darin werden Maßnahmen zur Sicherstellung hochwertiger, bezahlbarer und leicht zugänglicher Pflege- und Betreuungsdienste in der Europäischen Union </w:t>
      </w:r>
      <w:r>
        <w:rPr>
          <w:rFonts w:ascii="Aptos" w:hAnsi="Aptos"/>
          <w:sz w:val="22"/>
          <w:szCs w:val="22"/>
        </w:rPr>
        <w:t>vorgeschlagen und</w:t>
      </w:r>
      <w:r w:rsidRPr="00573F5A">
        <w:rPr>
          <w:rFonts w:ascii="Aptos" w:hAnsi="Aptos"/>
          <w:sz w:val="22"/>
          <w:szCs w:val="22"/>
        </w:rPr>
        <w:t xml:space="preserve"> neue Indikatoren zur Überwachung von Reformen im Bereich der Pflege und Betreuung</w:t>
      </w:r>
      <w:r>
        <w:rPr>
          <w:rFonts w:ascii="Aptos" w:hAnsi="Aptos"/>
          <w:sz w:val="22"/>
          <w:szCs w:val="22"/>
        </w:rPr>
        <w:t xml:space="preserve"> im Europäischen Semester entwickelt. </w:t>
      </w:r>
    </w:p>
    <w:p w14:paraId="0BF873A7" w14:textId="77777777" w:rsidR="00623AF8" w:rsidRDefault="00623AF8" w:rsidP="00623AF8">
      <w:pPr>
        <w:jc w:val="both"/>
        <w:rPr>
          <w:rFonts w:ascii="Aptos" w:hAnsi="Aptos"/>
          <w:sz w:val="22"/>
          <w:szCs w:val="22"/>
        </w:rPr>
      </w:pPr>
    </w:p>
    <w:p w14:paraId="55797D8C" w14:textId="77777777" w:rsidR="00623AF8" w:rsidRDefault="00623AF8" w:rsidP="00623AF8">
      <w:pPr>
        <w:jc w:val="both"/>
        <w:rPr>
          <w:rFonts w:ascii="Aptos" w:hAnsi="Aptos"/>
          <w:sz w:val="22"/>
          <w:szCs w:val="22"/>
        </w:rPr>
      </w:pPr>
      <w:r>
        <w:rPr>
          <w:rFonts w:ascii="Aptos" w:hAnsi="Aptos"/>
          <w:sz w:val="22"/>
          <w:szCs w:val="22"/>
        </w:rPr>
        <w:t>Viele Dimensionen der europäischen Säule sozialer Rechte sind allerdings noch nicht durch Indikatoren oder Reformmaßstäbe im Europäischen Semester integriert. An dem Bereich könnte die Weiterentwicklung der Säule sozialer Rechte ansetzen.</w:t>
      </w:r>
    </w:p>
    <w:p w14:paraId="30D24052" w14:textId="77777777" w:rsidR="00623AF8" w:rsidRDefault="00623AF8" w:rsidP="00623AF8">
      <w:pPr>
        <w:jc w:val="both"/>
        <w:rPr>
          <w:rFonts w:ascii="Aptos" w:hAnsi="Aptos"/>
          <w:sz w:val="22"/>
          <w:szCs w:val="22"/>
        </w:rPr>
      </w:pPr>
    </w:p>
    <w:p w14:paraId="0CFA692D" w14:textId="77777777" w:rsidR="00623AF8" w:rsidRPr="00CD3D28" w:rsidRDefault="00623AF8" w:rsidP="00623AF8">
      <w:pPr>
        <w:jc w:val="both"/>
        <w:rPr>
          <w:rFonts w:ascii="Aptos" w:hAnsi="Aptos"/>
          <w:bCs/>
          <w:sz w:val="22"/>
          <w:szCs w:val="22"/>
        </w:rPr>
      </w:pPr>
      <w:r w:rsidRPr="000939FD">
        <w:rPr>
          <w:rFonts w:ascii="Aptos" w:hAnsi="Aptos"/>
          <w:sz w:val="22"/>
          <w:szCs w:val="22"/>
        </w:rPr>
        <w:t>In der Vergangenheit hat es viele stark ideologisch geprägte Reformvorschläge gegeben, insbesondere im Bereich staatlicher Kürzungsmaßnahmen im Sinne des Staatshaushalt</w:t>
      </w:r>
      <w:r>
        <w:rPr>
          <w:rFonts w:ascii="Aptos" w:hAnsi="Aptos"/>
          <w:sz w:val="22"/>
          <w:szCs w:val="22"/>
        </w:rPr>
        <w:t>e</w:t>
      </w:r>
      <w:r w:rsidRPr="000939FD">
        <w:rPr>
          <w:rFonts w:ascii="Aptos" w:hAnsi="Aptos"/>
          <w:sz w:val="22"/>
          <w:szCs w:val="22"/>
        </w:rPr>
        <w:t>s.</w:t>
      </w:r>
      <w:r>
        <w:rPr>
          <w:rFonts w:ascii="Aptos" w:hAnsi="Aptos"/>
          <w:sz w:val="22"/>
          <w:szCs w:val="22"/>
        </w:rPr>
        <w:t xml:space="preserve"> Viele dieser Reformvorschläge sind aufgrund unrealistischer Annahmen und nicht-praxisbezogener Konzeption ins Leere verlaufen. </w:t>
      </w:r>
      <w:r w:rsidRPr="00BC58CE">
        <w:rPr>
          <w:rFonts w:ascii="Aptos" w:hAnsi="Aptos"/>
          <w:sz w:val="22"/>
          <w:szCs w:val="22"/>
        </w:rPr>
        <w:t>Eine wissenschaftliche Fundierung der Empfehlungen, die auch die Vielfalt wissenschaftlicher Erkenntnisse und unterschiedlicher Ansätze berücksichtigt, könnte das Europäische Semester</w:t>
      </w:r>
      <w:r>
        <w:rPr>
          <w:rFonts w:ascii="Aptos" w:hAnsi="Aptos"/>
          <w:sz w:val="22"/>
          <w:szCs w:val="22"/>
        </w:rPr>
        <w:t xml:space="preserve"> wieder stärker</w:t>
      </w:r>
      <w:r w:rsidRPr="00BC58CE">
        <w:rPr>
          <w:rFonts w:ascii="Aptos" w:hAnsi="Aptos"/>
          <w:sz w:val="22"/>
          <w:szCs w:val="22"/>
        </w:rPr>
        <w:t xml:space="preserve"> aufwerten.</w:t>
      </w:r>
      <w:r w:rsidRPr="00CD3D28">
        <w:rPr>
          <w:rFonts w:ascii="Aptos" w:hAnsi="Aptos"/>
          <w:bCs/>
          <w:sz w:val="22"/>
          <w:szCs w:val="22"/>
        </w:rPr>
        <w:br w:type="page"/>
      </w:r>
    </w:p>
    <w:p w14:paraId="7DA19F96" w14:textId="77777777" w:rsidR="00623AF8" w:rsidRDefault="00623AF8" w:rsidP="00623AF8">
      <w:pPr>
        <w:pStyle w:val="berschrift1"/>
        <w:ind w:left="720"/>
        <w:rPr>
          <w:rFonts w:ascii="Aptos" w:hAnsi="Aptos"/>
        </w:rPr>
      </w:pPr>
    </w:p>
    <w:p w14:paraId="3C743F32" w14:textId="77777777" w:rsidR="00623AF8" w:rsidRDefault="00623AF8" w:rsidP="00623AF8">
      <w:pPr>
        <w:pStyle w:val="berschrift1"/>
        <w:ind w:left="720"/>
        <w:rPr>
          <w:rFonts w:ascii="Aptos" w:hAnsi="Aptos"/>
        </w:rPr>
      </w:pPr>
    </w:p>
    <w:p w14:paraId="52A924D3" w14:textId="77777777" w:rsidR="00623AF8" w:rsidRPr="00CD3D28" w:rsidRDefault="00623AF8" w:rsidP="00623AF8">
      <w:pPr>
        <w:pStyle w:val="berschrift1"/>
        <w:rPr>
          <w:rFonts w:ascii="Aptos" w:hAnsi="Aptos"/>
        </w:rPr>
      </w:pPr>
      <w:bookmarkStart w:id="524" w:name="_Toc170142572"/>
      <w:bookmarkStart w:id="525" w:name="_Toc170983843"/>
      <w:r w:rsidRPr="00E32141">
        <w:rPr>
          <w:rFonts w:ascii="Aptos" w:hAnsi="Aptos"/>
        </w:rPr>
        <w:t xml:space="preserve">Weiterentwicklung des öffentlichen Auftragswesens </w:t>
      </w:r>
      <w:r>
        <w:rPr>
          <w:rFonts w:ascii="Aptos" w:hAnsi="Aptos"/>
        </w:rPr>
        <w:t>der EU</w:t>
      </w:r>
      <w:bookmarkEnd w:id="524"/>
      <w:bookmarkEnd w:id="525"/>
    </w:p>
    <w:p w14:paraId="3DF68D51"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072A6E9B" w14:textId="77777777" w:rsidTr="00875DD0">
        <w:tc>
          <w:tcPr>
            <w:tcW w:w="9060" w:type="dxa"/>
            <w:shd w:val="clear" w:color="auto" w:fill="D9D9D9" w:themeFill="background1" w:themeFillShade="D9"/>
          </w:tcPr>
          <w:p w14:paraId="36982E06"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50CCF4A0" w14:textId="77777777" w:rsidTr="00875DD0">
        <w:tc>
          <w:tcPr>
            <w:tcW w:w="9060" w:type="dxa"/>
          </w:tcPr>
          <w:p w14:paraId="01E1DC4C" w14:textId="77777777" w:rsidR="00623AF8" w:rsidRPr="00CD3D28" w:rsidRDefault="00623AF8" w:rsidP="00875DD0">
            <w:pPr>
              <w:spacing w:before="120" w:after="120"/>
              <w:jc w:val="both"/>
              <w:rPr>
                <w:rFonts w:ascii="Aptos" w:hAnsi="Aptos"/>
                <w:sz w:val="22"/>
                <w:szCs w:val="22"/>
              </w:rPr>
            </w:pPr>
            <w:r w:rsidRPr="00E32141">
              <w:rPr>
                <w:rFonts w:ascii="Aptos" w:hAnsi="Aptos"/>
                <w:sz w:val="22"/>
                <w:szCs w:val="22"/>
              </w:rPr>
              <w:t>Ein wichtiger Hebel zur Verfolgung sozialer und ökologischer Ziele ist das öffentliche Beschaffungswesen</w:t>
            </w:r>
            <w:r>
              <w:rPr>
                <w:rFonts w:ascii="Aptos" w:hAnsi="Aptos"/>
                <w:sz w:val="22"/>
                <w:szCs w:val="22"/>
              </w:rPr>
              <w:t xml:space="preserve"> bzw. die Vergabe öffentlicher Aufträge</w:t>
            </w:r>
            <w:r w:rsidRPr="00E32141">
              <w:rPr>
                <w:rFonts w:ascii="Aptos" w:hAnsi="Aptos"/>
                <w:sz w:val="22"/>
                <w:szCs w:val="22"/>
              </w:rPr>
              <w:t>.</w:t>
            </w:r>
            <w:r>
              <w:rPr>
                <w:rFonts w:ascii="Aptos" w:hAnsi="Aptos"/>
                <w:sz w:val="22"/>
                <w:szCs w:val="22"/>
              </w:rPr>
              <w:t xml:space="preserve"> </w:t>
            </w:r>
            <w:r w:rsidRPr="00E32141">
              <w:rPr>
                <w:rFonts w:ascii="Aptos" w:hAnsi="Aptos"/>
                <w:b/>
                <w:bCs/>
                <w:sz w:val="22"/>
                <w:szCs w:val="22"/>
              </w:rPr>
              <w:t>Welche Schwerpunkte werden Sie bei der Weiterentwicklung des öffentlichen Auftragswesens setzen bzw</w:t>
            </w:r>
            <w:r>
              <w:rPr>
                <w:rFonts w:ascii="Aptos" w:hAnsi="Aptos"/>
                <w:b/>
                <w:bCs/>
                <w:sz w:val="22"/>
                <w:szCs w:val="22"/>
              </w:rPr>
              <w:t>.</w:t>
            </w:r>
            <w:r w:rsidRPr="00E32141">
              <w:rPr>
                <w:rFonts w:ascii="Aptos" w:hAnsi="Aptos"/>
                <w:b/>
                <w:bCs/>
                <w:sz w:val="22"/>
                <w:szCs w:val="22"/>
              </w:rPr>
              <w:t xml:space="preserve"> wo sehen Sie in diesem Bereich den größten Handlungsbedarf</w:t>
            </w:r>
            <w:r w:rsidRPr="00A43BDE">
              <w:rPr>
                <w:rFonts w:ascii="Aptos" w:hAnsi="Aptos"/>
                <w:b/>
                <w:bCs/>
                <w:sz w:val="22"/>
                <w:szCs w:val="22"/>
              </w:rPr>
              <w:t>?</w:t>
            </w:r>
          </w:p>
        </w:tc>
      </w:tr>
      <w:tr w:rsidR="00623AF8" w:rsidRPr="00CD3D28" w14:paraId="3A677941" w14:textId="77777777" w:rsidTr="00875DD0">
        <w:tc>
          <w:tcPr>
            <w:tcW w:w="9060" w:type="dxa"/>
            <w:shd w:val="clear" w:color="auto" w:fill="D9D9D9" w:themeFill="background1" w:themeFillShade="D9"/>
          </w:tcPr>
          <w:p w14:paraId="61D16DA0"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A43BDE" w14:paraId="50E04BE0" w14:textId="77777777" w:rsidTr="00875DD0">
        <w:tc>
          <w:tcPr>
            <w:tcW w:w="9060" w:type="dxa"/>
          </w:tcPr>
          <w:p w14:paraId="2EA37C32" w14:textId="77777777" w:rsidR="00623AF8" w:rsidRPr="00DD36B5" w:rsidRDefault="00623AF8" w:rsidP="00F63BE8">
            <w:pPr>
              <w:pStyle w:val="Listenabsatz"/>
              <w:numPr>
                <w:ilvl w:val="0"/>
                <w:numId w:val="71"/>
              </w:numPr>
              <w:spacing w:before="120" w:after="120"/>
              <w:jc w:val="both"/>
              <w:rPr>
                <w:rFonts w:ascii="Aptos" w:hAnsi="Aptos"/>
                <w:sz w:val="22"/>
                <w:szCs w:val="22"/>
              </w:rPr>
            </w:pPr>
            <w:r w:rsidRPr="00DD36B5">
              <w:rPr>
                <w:rFonts w:ascii="Aptos" w:hAnsi="Aptos"/>
                <w:sz w:val="22"/>
                <w:szCs w:val="22"/>
              </w:rPr>
              <w:t xml:space="preserve">Welche Maßnahmen möchten Sie setzen, um das öffentliche Auftragswesen sozial verträglicher zu gestalten und soziale Anliegen umzusetzen, z.B. zur Förderung von Frauen, älteren Arbeitnehmer:innen oder Arbeitslosen, zur Schaffung von Transparenz in den Lieferketten oder allgemein der Einhaltung von sozialen Mindeststandards durch Auftragnehmer:innen?  </w:t>
            </w:r>
          </w:p>
        </w:tc>
      </w:tr>
    </w:tbl>
    <w:p w14:paraId="47CBB5AE" w14:textId="77777777" w:rsidR="00623AF8" w:rsidRPr="00A43BDE"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0B861655" w14:textId="77777777" w:rsidTr="00875DD0">
        <w:tc>
          <w:tcPr>
            <w:tcW w:w="9060" w:type="dxa"/>
            <w:tcBorders>
              <w:top w:val="nil"/>
              <w:left w:val="nil"/>
              <w:bottom w:val="nil"/>
              <w:right w:val="nil"/>
            </w:tcBorders>
            <w:shd w:val="clear" w:color="auto" w:fill="D9D9D9" w:themeFill="background1" w:themeFillShade="D9"/>
          </w:tcPr>
          <w:p w14:paraId="6D059DDD"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321375D9" w14:textId="77777777" w:rsidR="00623AF8" w:rsidRPr="00573F5A" w:rsidRDefault="00623AF8" w:rsidP="00623AF8">
      <w:pPr>
        <w:jc w:val="both"/>
        <w:rPr>
          <w:rFonts w:ascii="Aptos" w:hAnsi="Aptos"/>
          <w:sz w:val="22"/>
          <w:szCs w:val="22"/>
        </w:rPr>
      </w:pPr>
      <w:r w:rsidRPr="00573F5A">
        <w:rPr>
          <w:rFonts w:ascii="Aptos" w:hAnsi="Aptos"/>
          <w:sz w:val="22"/>
          <w:szCs w:val="22"/>
        </w:rPr>
        <w:t>Öffentliche Auftraggeber sind wichtige Investoren in Europa, öffentliche Beschaffungen machen</w:t>
      </w:r>
    </w:p>
    <w:p w14:paraId="2F9CDDCD" w14:textId="77777777" w:rsidR="00623AF8" w:rsidRPr="00BC186C" w:rsidRDefault="00623AF8" w:rsidP="00623AF8">
      <w:pPr>
        <w:jc w:val="both"/>
        <w:rPr>
          <w:rFonts w:ascii="Aptos" w:hAnsi="Aptos"/>
          <w:sz w:val="22"/>
          <w:szCs w:val="22"/>
        </w:rPr>
      </w:pPr>
      <w:r>
        <w:rPr>
          <w:rFonts w:ascii="Aptos" w:hAnsi="Aptos"/>
          <w:sz w:val="22"/>
          <w:szCs w:val="22"/>
        </w:rPr>
        <w:t>mehr</w:t>
      </w:r>
      <w:r w:rsidRPr="00573F5A">
        <w:rPr>
          <w:rFonts w:ascii="Aptos" w:hAnsi="Aptos"/>
          <w:sz w:val="22"/>
          <w:szCs w:val="22"/>
        </w:rPr>
        <w:t xml:space="preserve"> </w:t>
      </w:r>
      <w:r>
        <w:rPr>
          <w:rFonts w:ascii="Aptos" w:hAnsi="Aptos"/>
          <w:sz w:val="22"/>
          <w:szCs w:val="22"/>
        </w:rPr>
        <w:t xml:space="preserve">als </w:t>
      </w:r>
      <w:r w:rsidRPr="00573F5A">
        <w:rPr>
          <w:rFonts w:ascii="Aptos" w:hAnsi="Aptos"/>
          <w:sz w:val="22"/>
          <w:szCs w:val="22"/>
        </w:rPr>
        <w:t>1</w:t>
      </w:r>
      <w:r>
        <w:rPr>
          <w:rFonts w:ascii="Aptos" w:hAnsi="Aptos"/>
          <w:sz w:val="22"/>
          <w:szCs w:val="22"/>
        </w:rPr>
        <w:t>6</w:t>
      </w:r>
      <w:r w:rsidRPr="00573F5A">
        <w:rPr>
          <w:rFonts w:ascii="Aptos" w:hAnsi="Aptos"/>
          <w:sz w:val="22"/>
          <w:szCs w:val="22"/>
        </w:rPr>
        <w:t xml:space="preserve"> % des BIP der EU aus</w:t>
      </w:r>
      <w:r>
        <w:rPr>
          <w:rFonts w:ascii="Aptos" w:hAnsi="Aptos"/>
          <w:sz w:val="22"/>
          <w:szCs w:val="22"/>
        </w:rPr>
        <w:t>, sie</w:t>
      </w:r>
      <w:r w:rsidRPr="00BC186C">
        <w:rPr>
          <w:rFonts w:ascii="Aptos" w:hAnsi="Aptos"/>
          <w:sz w:val="22"/>
          <w:szCs w:val="22"/>
        </w:rPr>
        <w:t xml:space="preserve"> </w:t>
      </w:r>
      <w:r>
        <w:rPr>
          <w:rFonts w:ascii="Aptos" w:hAnsi="Aptos"/>
          <w:sz w:val="22"/>
          <w:szCs w:val="22"/>
        </w:rPr>
        <w:t>sind ein fundamentaler Bestandteil</w:t>
      </w:r>
      <w:r w:rsidRPr="00BC186C">
        <w:rPr>
          <w:rFonts w:ascii="Aptos" w:hAnsi="Aptos"/>
          <w:sz w:val="22"/>
          <w:szCs w:val="22"/>
        </w:rPr>
        <w:t xml:space="preserve"> der </w:t>
      </w:r>
      <w:r>
        <w:rPr>
          <w:rFonts w:ascii="Aptos" w:hAnsi="Aptos"/>
          <w:sz w:val="22"/>
          <w:szCs w:val="22"/>
        </w:rPr>
        <w:t xml:space="preserve">europäischen </w:t>
      </w:r>
      <w:r w:rsidRPr="00BC186C">
        <w:rPr>
          <w:rFonts w:ascii="Aptos" w:hAnsi="Aptos"/>
          <w:sz w:val="22"/>
          <w:szCs w:val="22"/>
        </w:rPr>
        <w:t>Wirtschaft</w:t>
      </w:r>
      <w:r>
        <w:rPr>
          <w:rFonts w:ascii="Aptos" w:hAnsi="Aptos"/>
          <w:sz w:val="22"/>
          <w:szCs w:val="22"/>
        </w:rPr>
        <w:t>. Seit Gründung der EU ist das öffentliche Auftragswesen kontinuierlich durch Rechtsreformen weiterentwickelt worden.</w:t>
      </w:r>
      <w:r>
        <w:rPr>
          <w:rStyle w:val="Funotenzeichen"/>
          <w:rFonts w:ascii="Aptos" w:hAnsi="Aptos"/>
          <w:sz w:val="22"/>
          <w:szCs w:val="22"/>
        </w:rPr>
        <w:footnoteReference w:id="40"/>
      </w:r>
      <w:r>
        <w:rPr>
          <w:rFonts w:ascii="Aptos" w:hAnsi="Aptos"/>
          <w:sz w:val="22"/>
          <w:szCs w:val="22"/>
        </w:rPr>
        <w:t xml:space="preserve"> Derzeit</w:t>
      </w:r>
      <w:r w:rsidRPr="005F45E6">
        <w:rPr>
          <w:rFonts w:ascii="Aptos" w:hAnsi="Aptos"/>
          <w:sz w:val="22"/>
          <w:szCs w:val="22"/>
        </w:rPr>
        <w:t xml:space="preserve"> biete</w:t>
      </w:r>
      <w:r>
        <w:rPr>
          <w:rFonts w:ascii="Aptos" w:hAnsi="Aptos"/>
          <w:sz w:val="22"/>
          <w:szCs w:val="22"/>
        </w:rPr>
        <w:t xml:space="preserve">t sich </w:t>
      </w:r>
      <w:r w:rsidRPr="005F45E6">
        <w:rPr>
          <w:rFonts w:ascii="Aptos" w:hAnsi="Aptos"/>
          <w:sz w:val="22"/>
          <w:szCs w:val="22"/>
        </w:rPr>
        <w:t xml:space="preserve">die Chance, sozial-ökologische Prozesse in der Wirtschaft anzustoßen, soziale Belange stärker in den Mittelpunkt zu rücken und sozial verantwortliches Handeln zu fördern. </w:t>
      </w:r>
      <w:r w:rsidRPr="00BC186C">
        <w:rPr>
          <w:rFonts w:ascii="Aptos" w:hAnsi="Aptos"/>
          <w:sz w:val="22"/>
          <w:szCs w:val="22"/>
        </w:rPr>
        <w:t>Durch die Integration sozialer Kriterien in das Vergabewesen können positive gesellschaftliche Auswirkungen erzielt werden.</w:t>
      </w:r>
    </w:p>
    <w:p w14:paraId="2FF5BE64" w14:textId="77777777" w:rsidR="00623AF8" w:rsidRPr="00BC186C" w:rsidRDefault="00623AF8" w:rsidP="00623AF8">
      <w:pPr>
        <w:jc w:val="both"/>
        <w:rPr>
          <w:rFonts w:ascii="Aptos" w:hAnsi="Aptos"/>
          <w:sz w:val="22"/>
          <w:szCs w:val="22"/>
        </w:rPr>
      </w:pPr>
    </w:p>
    <w:p w14:paraId="0195CFA9" w14:textId="77777777" w:rsidR="00623AF8" w:rsidRPr="00BC186C" w:rsidRDefault="00623AF8" w:rsidP="00623AF8">
      <w:pPr>
        <w:jc w:val="both"/>
        <w:rPr>
          <w:rFonts w:ascii="Aptos" w:hAnsi="Aptos"/>
          <w:sz w:val="22"/>
          <w:szCs w:val="22"/>
        </w:rPr>
      </w:pPr>
      <w:r w:rsidRPr="00BC186C">
        <w:rPr>
          <w:rFonts w:ascii="Aptos" w:hAnsi="Aptos"/>
          <w:sz w:val="22"/>
          <w:szCs w:val="22"/>
        </w:rPr>
        <w:t xml:space="preserve">Ein sozial verträglicheres öffentliches Auftragswesen bedeutet, dass bei der Vergabe öffentlicher Aufträge nicht nur der Preis, sondern auch soziale Kriterien wie Arbeitsbedingungen, Gleichstellung, Inklusion und Umweltfreundlichkeit berücksichtigt werden. Dies fördert faire Arbeitsbedingungen, unterstützt benachteiligte Gruppen und trägt zur Nachhaltigkeit bei. </w:t>
      </w:r>
    </w:p>
    <w:p w14:paraId="6B4C24E3" w14:textId="77777777" w:rsidR="00623AF8" w:rsidRPr="00BC186C" w:rsidRDefault="00623AF8" w:rsidP="00623AF8">
      <w:pPr>
        <w:jc w:val="both"/>
        <w:rPr>
          <w:rFonts w:ascii="Aptos" w:hAnsi="Aptos"/>
          <w:sz w:val="22"/>
          <w:szCs w:val="22"/>
        </w:rPr>
      </w:pPr>
    </w:p>
    <w:p w14:paraId="633015E5" w14:textId="77777777" w:rsidR="00623AF8" w:rsidRPr="00BC186C" w:rsidRDefault="00623AF8" w:rsidP="00623AF8">
      <w:pPr>
        <w:jc w:val="both"/>
        <w:rPr>
          <w:rFonts w:ascii="Aptos" w:hAnsi="Aptos"/>
          <w:sz w:val="22"/>
          <w:szCs w:val="22"/>
        </w:rPr>
      </w:pPr>
      <w:r w:rsidRPr="00BC186C">
        <w:rPr>
          <w:rFonts w:ascii="Aptos" w:hAnsi="Aptos"/>
          <w:sz w:val="22"/>
          <w:szCs w:val="22"/>
        </w:rPr>
        <w:t xml:space="preserve">Die Umsetzung sozialer Anliegen durch das öffentliche Auftragswesen stärkt den sozialen Zusammenhalt und fördert die Integration benachteiligter Gruppen in den Arbeitsmarkt. Es kann auch dazu beitragen, </w:t>
      </w:r>
      <w:r>
        <w:rPr>
          <w:rFonts w:ascii="Aptos" w:hAnsi="Aptos"/>
          <w:sz w:val="22"/>
          <w:szCs w:val="22"/>
        </w:rPr>
        <w:t xml:space="preserve">die </w:t>
      </w:r>
      <w:r w:rsidRPr="00BC186C">
        <w:rPr>
          <w:rFonts w:ascii="Aptos" w:hAnsi="Aptos"/>
          <w:sz w:val="22"/>
          <w:szCs w:val="22"/>
        </w:rPr>
        <w:t>lokale Wirtschaft zu unterstützen, indem kleine und mittelständische Unternehmen, die oft sozial und ökologisch verantwortungsvoller agieren, bessere Chancen auf öffentliche Aufträge erhalten.</w:t>
      </w:r>
    </w:p>
    <w:p w14:paraId="46C4DA1E" w14:textId="77777777" w:rsidR="00623AF8" w:rsidRPr="00BC186C" w:rsidRDefault="00623AF8" w:rsidP="00623AF8">
      <w:pPr>
        <w:jc w:val="both"/>
        <w:rPr>
          <w:rFonts w:ascii="Aptos" w:hAnsi="Aptos"/>
          <w:sz w:val="22"/>
          <w:szCs w:val="22"/>
        </w:rPr>
      </w:pPr>
    </w:p>
    <w:p w14:paraId="08F08845" w14:textId="77777777" w:rsidR="00623AF8" w:rsidRDefault="00623AF8" w:rsidP="00623AF8">
      <w:pPr>
        <w:jc w:val="both"/>
        <w:rPr>
          <w:rFonts w:ascii="Aptos" w:hAnsi="Aptos"/>
          <w:sz w:val="22"/>
          <w:szCs w:val="22"/>
        </w:rPr>
      </w:pPr>
      <w:r w:rsidRPr="00BC186C">
        <w:rPr>
          <w:rFonts w:ascii="Aptos" w:hAnsi="Aptos"/>
          <w:sz w:val="22"/>
          <w:szCs w:val="22"/>
        </w:rPr>
        <w:t xml:space="preserve">Insgesamt kann die Weiterentwicklung des öffentlichen Auftragswesens der EU zu einer gerechteren und nachhaltigeren Wirtschaft beitragen. </w:t>
      </w:r>
    </w:p>
    <w:p w14:paraId="0EA86A9A" w14:textId="77777777" w:rsidR="00623AF8" w:rsidRDefault="00623AF8" w:rsidP="00623AF8">
      <w:pPr>
        <w:rPr>
          <w:rFonts w:ascii="Aptos" w:hAnsi="Aptos"/>
          <w:sz w:val="22"/>
          <w:szCs w:val="22"/>
          <w:highlight w:val="yellow"/>
        </w:rPr>
      </w:pPr>
      <w:r>
        <w:rPr>
          <w:rFonts w:ascii="Aptos" w:hAnsi="Aptos"/>
          <w:sz w:val="22"/>
          <w:szCs w:val="22"/>
          <w:highlight w:val="yellow"/>
        </w:rPr>
        <w:br w:type="page"/>
      </w:r>
    </w:p>
    <w:p w14:paraId="6E0E5DE0" w14:textId="77777777" w:rsidR="00623AF8" w:rsidRPr="003307D2" w:rsidRDefault="00623AF8" w:rsidP="00623AF8">
      <w:pPr>
        <w:rPr>
          <w:rFonts w:ascii="Aptos" w:hAnsi="Aptos"/>
          <w:bCs/>
          <w:sz w:val="22"/>
          <w:szCs w:val="22"/>
        </w:rPr>
      </w:pPr>
    </w:p>
    <w:p w14:paraId="3834429A" w14:textId="77777777" w:rsidR="00623AF8" w:rsidRPr="003307D2" w:rsidRDefault="00623AF8" w:rsidP="00623AF8">
      <w:pPr>
        <w:rPr>
          <w:rFonts w:ascii="Aptos" w:hAnsi="Aptos"/>
          <w:bCs/>
          <w:sz w:val="22"/>
          <w:szCs w:val="22"/>
        </w:rPr>
      </w:pPr>
    </w:p>
    <w:p w14:paraId="47EBDAE6" w14:textId="77777777" w:rsidR="00623AF8" w:rsidRPr="00CD3D28" w:rsidRDefault="00623AF8" w:rsidP="00623AF8">
      <w:pPr>
        <w:pStyle w:val="berschrift1"/>
        <w:rPr>
          <w:rFonts w:ascii="Aptos" w:hAnsi="Aptos"/>
        </w:rPr>
      </w:pPr>
      <w:bookmarkStart w:id="526" w:name="_Toc170142573"/>
      <w:bookmarkStart w:id="527" w:name="_Toc170983844"/>
      <w:r>
        <w:rPr>
          <w:rFonts w:ascii="Aptos" w:hAnsi="Aptos"/>
        </w:rPr>
        <w:t>Klima-Sozialfonds</w:t>
      </w:r>
      <w:bookmarkEnd w:id="526"/>
      <w:bookmarkEnd w:id="527"/>
    </w:p>
    <w:p w14:paraId="3E3971F0"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4A42E7A6" w14:textId="77777777" w:rsidTr="00875DD0">
        <w:tc>
          <w:tcPr>
            <w:tcW w:w="9060" w:type="dxa"/>
            <w:shd w:val="clear" w:color="auto" w:fill="D9D9D9" w:themeFill="background1" w:themeFillShade="D9"/>
          </w:tcPr>
          <w:p w14:paraId="3CD4C97F"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1FE2322E" w14:textId="77777777" w:rsidTr="00875DD0">
        <w:tc>
          <w:tcPr>
            <w:tcW w:w="9060" w:type="dxa"/>
          </w:tcPr>
          <w:p w14:paraId="03BDB555" w14:textId="77777777" w:rsidR="00623AF8" w:rsidRPr="00FC6DD0" w:rsidRDefault="00623AF8" w:rsidP="00875DD0">
            <w:pPr>
              <w:spacing w:before="120" w:after="120"/>
              <w:jc w:val="both"/>
              <w:rPr>
                <w:rFonts w:ascii="Aptos" w:hAnsi="Aptos"/>
                <w:sz w:val="22"/>
                <w:szCs w:val="22"/>
              </w:rPr>
            </w:pPr>
            <w:r w:rsidRPr="00FA58E9">
              <w:rPr>
                <w:rFonts w:ascii="Aptos" w:hAnsi="Aptos"/>
                <w:sz w:val="22"/>
                <w:szCs w:val="22"/>
              </w:rPr>
              <w:t>Der Europäische Green Deal stellt „Soziale Fairness“ in den Mittelpunkt</w:t>
            </w:r>
            <w:r>
              <w:rPr>
                <w:rFonts w:ascii="Aptos" w:hAnsi="Aptos"/>
                <w:sz w:val="22"/>
                <w:szCs w:val="22"/>
              </w:rPr>
              <w:t>. Auch die EU-Kommission spricht in den Aufforderungen an die</w:t>
            </w:r>
            <w:r w:rsidRPr="00FA58E9">
              <w:rPr>
                <w:rFonts w:ascii="Aptos" w:hAnsi="Aptos"/>
                <w:sz w:val="22"/>
                <w:szCs w:val="22"/>
              </w:rPr>
              <w:t xml:space="preserve"> Mitgliedsstaaten </w:t>
            </w:r>
            <w:r>
              <w:rPr>
                <w:rFonts w:ascii="Aptos" w:hAnsi="Aptos"/>
                <w:sz w:val="22"/>
                <w:szCs w:val="22"/>
              </w:rPr>
              <w:t>von</w:t>
            </w:r>
            <w:r w:rsidRPr="00FA58E9">
              <w:rPr>
                <w:rFonts w:ascii="Aptos" w:hAnsi="Aptos"/>
                <w:sz w:val="22"/>
                <w:szCs w:val="22"/>
              </w:rPr>
              <w:t xml:space="preserve"> einem „Sozial ausgeglichene</w:t>
            </w:r>
            <w:r>
              <w:rPr>
                <w:rFonts w:ascii="Aptos" w:hAnsi="Aptos"/>
                <w:sz w:val="22"/>
                <w:szCs w:val="22"/>
              </w:rPr>
              <w:t>n</w:t>
            </w:r>
            <w:r w:rsidRPr="00FA58E9">
              <w:rPr>
                <w:rFonts w:ascii="Aptos" w:hAnsi="Aptos"/>
                <w:sz w:val="22"/>
                <w:szCs w:val="22"/>
              </w:rPr>
              <w:t xml:space="preserve"> Weg“ </w:t>
            </w:r>
            <w:r>
              <w:rPr>
                <w:rFonts w:ascii="Aptos" w:hAnsi="Aptos"/>
                <w:sz w:val="22"/>
                <w:szCs w:val="22"/>
              </w:rPr>
              <w:t>in der Transition zur Klimaneutralität</w:t>
            </w:r>
            <w:r w:rsidRPr="00FA58E9">
              <w:rPr>
                <w:rFonts w:ascii="Aptos" w:hAnsi="Aptos"/>
                <w:sz w:val="22"/>
                <w:szCs w:val="22"/>
              </w:rPr>
              <w:t xml:space="preserve">. </w:t>
            </w:r>
            <w:r>
              <w:rPr>
                <w:rFonts w:ascii="Aptos" w:hAnsi="Aptos"/>
                <w:sz w:val="22"/>
                <w:szCs w:val="22"/>
              </w:rPr>
              <w:t>Zu diesem Zweck wurde der</w:t>
            </w:r>
            <w:r w:rsidRPr="00FA58E9">
              <w:rPr>
                <w:rFonts w:ascii="Aptos" w:hAnsi="Aptos"/>
                <w:sz w:val="22"/>
                <w:szCs w:val="22"/>
              </w:rPr>
              <w:t xml:space="preserve"> „</w:t>
            </w:r>
            <w:r>
              <w:rPr>
                <w:rFonts w:ascii="Aptos" w:hAnsi="Aptos"/>
                <w:sz w:val="22"/>
                <w:szCs w:val="22"/>
              </w:rPr>
              <w:t>Klima-Sozialfonds</w:t>
            </w:r>
            <w:r w:rsidRPr="00FA58E9">
              <w:rPr>
                <w:rFonts w:ascii="Aptos" w:hAnsi="Aptos"/>
                <w:sz w:val="22"/>
                <w:szCs w:val="22"/>
              </w:rPr>
              <w:t>“ vorgeschlagen</w:t>
            </w:r>
            <w:r>
              <w:rPr>
                <w:rFonts w:ascii="Aptos" w:hAnsi="Aptos"/>
                <w:sz w:val="22"/>
                <w:szCs w:val="22"/>
              </w:rPr>
              <w:t>,</w:t>
            </w:r>
            <w:r w:rsidRPr="00FA58E9">
              <w:rPr>
                <w:rFonts w:ascii="Aptos" w:hAnsi="Aptos"/>
                <w:sz w:val="22"/>
                <w:szCs w:val="22"/>
              </w:rPr>
              <w:t xml:space="preserve"> um die sozialen Auswirkungen von </w:t>
            </w:r>
            <w:r>
              <w:rPr>
                <w:rFonts w:ascii="Aptos" w:hAnsi="Aptos"/>
                <w:sz w:val="22"/>
                <w:szCs w:val="22"/>
              </w:rPr>
              <w:t>Klimaschutzm</w:t>
            </w:r>
            <w:r w:rsidRPr="00FA58E9">
              <w:rPr>
                <w:rFonts w:ascii="Aptos" w:hAnsi="Aptos"/>
                <w:sz w:val="22"/>
                <w:szCs w:val="22"/>
              </w:rPr>
              <w:t xml:space="preserve">aßnahmen abzufedern. </w:t>
            </w:r>
            <w:r w:rsidRPr="00FC6DD0">
              <w:rPr>
                <w:rFonts w:ascii="Aptos" w:hAnsi="Aptos"/>
                <w:b/>
                <w:bCs/>
                <w:sz w:val="22"/>
                <w:szCs w:val="22"/>
              </w:rPr>
              <w:t>Wie kann eine zielgerichtete Verwendung dieser Mittel sichergestellt werden?</w:t>
            </w:r>
          </w:p>
        </w:tc>
      </w:tr>
      <w:tr w:rsidR="00623AF8" w:rsidRPr="00CD3D28" w14:paraId="33C9091F" w14:textId="77777777" w:rsidTr="00875DD0">
        <w:tc>
          <w:tcPr>
            <w:tcW w:w="9060" w:type="dxa"/>
            <w:shd w:val="clear" w:color="auto" w:fill="D9D9D9" w:themeFill="background1" w:themeFillShade="D9"/>
          </w:tcPr>
          <w:p w14:paraId="43ABE04F"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A43BDE" w14:paraId="53A3780D" w14:textId="77777777" w:rsidTr="00875DD0">
        <w:tc>
          <w:tcPr>
            <w:tcW w:w="9060" w:type="dxa"/>
          </w:tcPr>
          <w:p w14:paraId="426FBC9C" w14:textId="77777777" w:rsidR="00623AF8" w:rsidRPr="00BC0AE7" w:rsidRDefault="00623AF8" w:rsidP="00F63BE8">
            <w:pPr>
              <w:pStyle w:val="Listenabsatz"/>
              <w:numPr>
                <w:ilvl w:val="0"/>
                <w:numId w:val="71"/>
              </w:numPr>
              <w:rPr>
                <w:rFonts w:cstheme="minorHAnsi"/>
              </w:rPr>
            </w:pPr>
            <w:r w:rsidRPr="00BC0AE7">
              <w:rPr>
                <w:rFonts w:ascii="Aptos" w:hAnsi="Aptos"/>
                <w:sz w:val="22"/>
                <w:szCs w:val="22"/>
              </w:rPr>
              <w:t>Beabsichtigen Sie, neben dem Klima-Sozialfonds, zusätzliche finanzielle Maßnahmen für sozial benachteiligte Gruppen bereitzustellen, um die Auswirkungen des Strukturwandels gerecht bewältigen zu können?</w:t>
            </w:r>
          </w:p>
        </w:tc>
      </w:tr>
    </w:tbl>
    <w:p w14:paraId="41415A39" w14:textId="77777777" w:rsidR="00623AF8" w:rsidRPr="00A43BDE"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EE5BD06" w14:textId="77777777" w:rsidTr="00875DD0">
        <w:tc>
          <w:tcPr>
            <w:tcW w:w="9060" w:type="dxa"/>
            <w:tcBorders>
              <w:top w:val="nil"/>
              <w:left w:val="nil"/>
              <w:bottom w:val="nil"/>
              <w:right w:val="nil"/>
            </w:tcBorders>
            <w:shd w:val="clear" w:color="auto" w:fill="D9D9D9" w:themeFill="background1" w:themeFillShade="D9"/>
          </w:tcPr>
          <w:p w14:paraId="032F0BD6" w14:textId="77777777" w:rsidR="00623AF8" w:rsidRDefault="00623AF8" w:rsidP="00875DD0">
            <w:pPr>
              <w:spacing w:after="120"/>
              <w:jc w:val="both"/>
              <w:rPr>
                <w:rFonts w:ascii="Aptos" w:hAnsi="Aptos"/>
                <w:b/>
                <w:iCs/>
                <w:sz w:val="22"/>
                <w:szCs w:val="22"/>
              </w:rPr>
            </w:pPr>
            <w:r w:rsidRPr="005A018F">
              <w:rPr>
                <w:rFonts w:ascii="Aptos" w:hAnsi="Aptos"/>
                <w:b/>
                <w:bCs/>
                <w:sz w:val="22"/>
                <w:szCs w:val="22"/>
              </w:rPr>
              <w:t>Hintergrund</w:t>
            </w:r>
          </w:p>
        </w:tc>
      </w:tr>
    </w:tbl>
    <w:p w14:paraId="0E917670" w14:textId="77777777" w:rsidR="00623AF8" w:rsidRDefault="00623AF8" w:rsidP="00623AF8">
      <w:pPr>
        <w:pStyle w:val="StandardWeb"/>
        <w:spacing w:before="0" w:beforeAutospacing="0"/>
        <w:jc w:val="both"/>
        <w:rPr>
          <w:rFonts w:ascii="Aptos" w:hAnsi="Aptos"/>
          <w:sz w:val="22"/>
          <w:szCs w:val="22"/>
        </w:rPr>
      </w:pPr>
      <w:r w:rsidRPr="008F4913">
        <w:rPr>
          <w:rFonts w:ascii="Aptos" w:hAnsi="Aptos"/>
          <w:sz w:val="22"/>
          <w:szCs w:val="22"/>
        </w:rPr>
        <w:t xml:space="preserve">Die Umstellung auf eine klimaneutrale Wirtschaft stellt eine der größten Herausforderungen unserer Zeit da und erfordert umfassende Anpassungen in verschiedenen Wirtschaftssektoren. Dieser Strukturwandel betrifft nicht nur technologische und ökologische Aspekte, sondern hat auch weitreichende soziale Implikationen. Besonders betroffen sind sozial benachteiligte Gruppen, die häufig weniger Ressourcen und Möglichkeiten haben, </w:t>
      </w:r>
      <w:r>
        <w:rPr>
          <w:rFonts w:ascii="Aptos" w:hAnsi="Aptos"/>
          <w:sz w:val="22"/>
          <w:szCs w:val="22"/>
        </w:rPr>
        <w:t xml:space="preserve">um </w:t>
      </w:r>
      <w:r w:rsidRPr="008F4913">
        <w:rPr>
          <w:rFonts w:ascii="Aptos" w:hAnsi="Aptos"/>
          <w:sz w:val="22"/>
          <w:szCs w:val="22"/>
        </w:rPr>
        <w:t xml:space="preserve">sich an die neuen Gegebenheiten anzupassen. </w:t>
      </w:r>
      <w:r w:rsidRPr="00FB37D8">
        <w:rPr>
          <w:rFonts w:ascii="Aptos" w:hAnsi="Aptos"/>
          <w:sz w:val="22"/>
          <w:szCs w:val="22"/>
        </w:rPr>
        <w:t xml:space="preserve">Angesichts dieser Herausforderung ist es unerlässlich, Maßnahmen zu ergreifen, die sicherstellen, dass sozial benachteiligte Gruppen nicht zurückgelassen werden. </w:t>
      </w:r>
    </w:p>
    <w:p w14:paraId="7D795657" w14:textId="77777777" w:rsidR="00623AF8" w:rsidRPr="00401821" w:rsidRDefault="00623AF8" w:rsidP="00623AF8">
      <w:pPr>
        <w:jc w:val="both"/>
        <w:rPr>
          <w:rFonts w:ascii="Aptos" w:hAnsi="Aptos"/>
          <w:sz w:val="22"/>
          <w:szCs w:val="22"/>
          <w:highlight w:val="yellow"/>
        </w:rPr>
      </w:pPr>
      <w:r>
        <w:rPr>
          <w:rFonts w:ascii="Aptos" w:hAnsi="Aptos"/>
          <w:sz w:val="22"/>
          <w:szCs w:val="22"/>
        </w:rPr>
        <w:t>I</w:t>
      </w:r>
      <w:r w:rsidRPr="00FA58E9">
        <w:rPr>
          <w:rFonts w:ascii="Aptos" w:hAnsi="Aptos"/>
          <w:sz w:val="22"/>
          <w:szCs w:val="22"/>
        </w:rPr>
        <w:t>m Dezember 2022 wurde ein</w:t>
      </w:r>
      <w:r>
        <w:rPr>
          <w:rFonts w:ascii="Aptos" w:hAnsi="Aptos"/>
          <w:sz w:val="22"/>
          <w:szCs w:val="22"/>
        </w:rPr>
        <w:t>e</w:t>
      </w:r>
      <w:r w:rsidRPr="00FA58E9">
        <w:rPr>
          <w:rFonts w:ascii="Aptos" w:hAnsi="Aptos"/>
          <w:sz w:val="22"/>
          <w:szCs w:val="22"/>
        </w:rPr>
        <w:t xml:space="preserve"> provisorische Zustimmung von Kommission und Parlament zu</w:t>
      </w:r>
      <w:r>
        <w:rPr>
          <w:rFonts w:ascii="Aptos" w:hAnsi="Aptos"/>
          <w:sz w:val="22"/>
          <w:szCs w:val="22"/>
        </w:rPr>
        <w:t xml:space="preserve">m </w:t>
      </w:r>
      <w:r w:rsidRPr="00401821">
        <w:rPr>
          <w:rFonts w:ascii="Aptos" w:hAnsi="Aptos"/>
          <w:sz w:val="22"/>
          <w:szCs w:val="22"/>
        </w:rPr>
        <w:t>Klima-Sozialfonds</w:t>
      </w:r>
      <w:r>
        <w:rPr>
          <w:rStyle w:val="Funotenzeichen"/>
          <w:rFonts w:ascii="Aptos" w:hAnsi="Aptos"/>
          <w:sz w:val="22"/>
          <w:szCs w:val="22"/>
        </w:rPr>
        <w:footnoteReference w:id="41"/>
      </w:r>
      <w:r w:rsidRPr="00401821">
        <w:rPr>
          <w:rFonts w:ascii="Aptos" w:hAnsi="Aptos"/>
          <w:sz w:val="22"/>
          <w:szCs w:val="22"/>
        </w:rPr>
        <w:t xml:space="preserve"> </w:t>
      </w:r>
      <w:r>
        <w:rPr>
          <w:rFonts w:ascii="Aptos" w:hAnsi="Aptos"/>
          <w:sz w:val="22"/>
          <w:szCs w:val="22"/>
        </w:rPr>
        <w:t>erzielt. Finanziert durch die Einnahmen aus dem EU-Emissionshandel unterstützt dies</w:t>
      </w:r>
      <w:r w:rsidRPr="008F4913">
        <w:rPr>
          <w:rFonts w:ascii="Aptos" w:hAnsi="Aptos"/>
          <w:sz w:val="22"/>
          <w:szCs w:val="22"/>
        </w:rPr>
        <w:t xml:space="preserve">er </w:t>
      </w:r>
      <w:r>
        <w:rPr>
          <w:rFonts w:ascii="Aptos" w:hAnsi="Aptos"/>
          <w:sz w:val="22"/>
          <w:szCs w:val="22"/>
        </w:rPr>
        <w:t xml:space="preserve">bereits </w:t>
      </w:r>
      <w:r w:rsidRPr="008F4913">
        <w:rPr>
          <w:rFonts w:ascii="Aptos" w:hAnsi="Aptos"/>
          <w:sz w:val="22"/>
          <w:szCs w:val="22"/>
        </w:rPr>
        <w:t xml:space="preserve">Maßnahmen zur Energieeffizienz, </w:t>
      </w:r>
      <w:r>
        <w:rPr>
          <w:rFonts w:ascii="Aptos" w:hAnsi="Aptos"/>
          <w:sz w:val="22"/>
          <w:szCs w:val="22"/>
        </w:rPr>
        <w:t>zum</w:t>
      </w:r>
      <w:r w:rsidRPr="008F4913">
        <w:rPr>
          <w:rFonts w:ascii="Aptos" w:hAnsi="Aptos"/>
          <w:sz w:val="22"/>
          <w:szCs w:val="22"/>
        </w:rPr>
        <w:t xml:space="preserve"> Einsatz erneuerbarer Energien und </w:t>
      </w:r>
      <w:r>
        <w:rPr>
          <w:rFonts w:ascii="Aptos" w:hAnsi="Aptos"/>
          <w:sz w:val="22"/>
          <w:szCs w:val="22"/>
        </w:rPr>
        <w:t>zur</w:t>
      </w:r>
      <w:r w:rsidRPr="008F4913">
        <w:rPr>
          <w:rFonts w:ascii="Aptos" w:hAnsi="Aptos"/>
          <w:sz w:val="22"/>
          <w:szCs w:val="22"/>
        </w:rPr>
        <w:t xml:space="preserve"> Bekämpfung von Energiearm</w:t>
      </w:r>
      <w:r>
        <w:rPr>
          <w:rFonts w:ascii="Aptos" w:hAnsi="Aptos"/>
          <w:sz w:val="22"/>
          <w:szCs w:val="22"/>
        </w:rPr>
        <w:t>ut</w:t>
      </w:r>
      <w:r w:rsidRPr="008F4913">
        <w:rPr>
          <w:rFonts w:ascii="Aptos" w:hAnsi="Aptos"/>
          <w:sz w:val="22"/>
          <w:szCs w:val="22"/>
        </w:rPr>
        <w:t>.</w:t>
      </w:r>
      <w:r>
        <w:rPr>
          <w:rFonts w:ascii="Aptos" w:hAnsi="Aptos"/>
          <w:sz w:val="22"/>
          <w:szCs w:val="22"/>
        </w:rPr>
        <w:t xml:space="preserve"> Allerdings ist die Verteilung der Gelder bisher noch nicht zielgruppenscharf. </w:t>
      </w:r>
      <w:r w:rsidRPr="00401821">
        <w:rPr>
          <w:rFonts w:ascii="Aptos" w:hAnsi="Aptos"/>
          <w:sz w:val="22"/>
          <w:szCs w:val="22"/>
        </w:rPr>
        <w:t xml:space="preserve">Viele Menschen fühlen sich in ihren Interessen und Bedürfnissen von den aktuellen Reformmaßnahmen der Europäischen Union, dem Strukturwandel der europäischen Wirtschaft hin zu einem ökologisch nachhaltigen Wirtschaftssystem, nicht berücksichtigt. Es müssen Maßnahmen ergriffen werden, um die europäischen Gesellschaften mitzunehmen. Dazu </w:t>
      </w:r>
      <w:r>
        <w:rPr>
          <w:rFonts w:ascii="Aptos" w:hAnsi="Aptos"/>
          <w:sz w:val="22"/>
          <w:szCs w:val="22"/>
        </w:rPr>
        <w:t>zählen</w:t>
      </w:r>
      <w:r w:rsidRPr="00401821">
        <w:rPr>
          <w:rFonts w:ascii="Aptos" w:hAnsi="Aptos"/>
          <w:sz w:val="22"/>
          <w:szCs w:val="22"/>
        </w:rPr>
        <w:t xml:space="preserve"> weitere finanzielle </w:t>
      </w:r>
      <w:r>
        <w:rPr>
          <w:rFonts w:ascii="Aptos" w:hAnsi="Aptos"/>
          <w:sz w:val="22"/>
          <w:szCs w:val="22"/>
        </w:rPr>
        <w:t>Fördermaßnahmen, aber auch Maßnahmen wirtschaftlicher Umverteilung, um die negativen Folgen des wirtschaftlichen Strukturwandels abzufedern</w:t>
      </w:r>
      <w:r w:rsidRPr="00401821">
        <w:rPr>
          <w:rFonts w:ascii="Aptos" w:hAnsi="Aptos"/>
          <w:sz w:val="22"/>
          <w:szCs w:val="22"/>
        </w:rPr>
        <w:t xml:space="preserve">.   </w:t>
      </w:r>
    </w:p>
    <w:p w14:paraId="32F23587" w14:textId="77777777" w:rsidR="00623AF8" w:rsidRDefault="00623AF8" w:rsidP="00623AF8">
      <w:pPr>
        <w:rPr>
          <w:rFonts w:ascii="Aptos" w:hAnsi="Aptos"/>
          <w:sz w:val="22"/>
          <w:szCs w:val="22"/>
          <w:highlight w:val="yellow"/>
        </w:rPr>
      </w:pPr>
      <w:r>
        <w:rPr>
          <w:rFonts w:ascii="Aptos" w:hAnsi="Aptos"/>
          <w:sz w:val="22"/>
          <w:szCs w:val="22"/>
          <w:highlight w:val="yellow"/>
        </w:rPr>
        <w:br w:type="page"/>
      </w:r>
    </w:p>
    <w:p w14:paraId="10FC4181" w14:textId="77777777" w:rsidR="00623AF8" w:rsidRPr="003307D2" w:rsidRDefault="00623AF8" w:rsidP="00623AF8">
      <w:pPr>
        <w:rPr>
          <w:rFonts w:ascii="Aptos" w:hAnsi="Aptos"/>
          <w:bCs/>
          <w:sz w:val="22"/>
          <w:szCs w:val="22"/>
        </w:rPr>
      </w:pPr>
    </w:p>
    <w:p w14:paraId="3869B3F3" w14:textId="77777777" w:rsidR="00623AF8" w:rsidRPr="003307D2" w:rsidRDefault="00623AF8" w:rsidP="00623AF8">
      <w:pPr>
        <w:rPr>
          <w:rFonts w:ascii="Aptos" w:hAnsi="Aptos"/>
          <w:bCs/>
          <w:sz w:val="22"/>
          <w:szCs w:val="22"/>
        </w:rPr>
      </w:pPr>
    </w:p>
    <w:p w14:paraId="4A29530F" w14:textId="77777777" w:rsidR="00623AF8" w:rsidRPr="00CD3D28" w:rsidRDefault="00623AF8" w:rsidP="00623AF8">
      <w:pPr>
        <w:pStyle w:val="berschrift1"/>
        <w:rPr>
          <w:rFonts w:ascii="Aptos" w:hAnsi="Aptos"/>
        </w:rPr>
      </w:pPr>
      <w:bookmarkStart w:id="528" w:name="_Toc170142574"/>
      <w:bookmarkStart w:id="529" w:name="_Toc170983845"/>
      <w:r>
        <w:rPr>
          <w:rFonts w:ascii="Aptos" w:hAnsi="Aptos"/>
        </w:rPr>
        <w:t>Kompetenzen im Bereich Sozialschutz</w:t>
      </w:r>
      <w:bookmarkEnd w:id="528"/>
      <w:bookmarkEnd w:id="529"/>
    </w:p>
    <w:p w14:paraId="2E6441DD"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3AFE58AE" w14:textId="77777777" w:rsidTr="00875DD0">
        <w:tc>
          <w:tcPr>
            <w:tcW w:w="9060" w:type="dxa"/>
            <w:shd w:val="clear" w:color="auto" w:fill="D9D9D9" w:themeFill="background1" w:themeFillShade="D9"/>
          </w:tcPr>
          <w:p w14:paraId="573F85D6"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7F7C3BDB" w14:textId="77777777" w:rsidTr="00875DD0">
        <w:tc>
          <w:tcPr>
            <w:tcW w:w="9060" w:type="dxa"/>
          </w:tcPr>
          <w:p w14:paraId="4A9CE14E" w14:textId="77777777" w:rsidR="00623AF8" w:rsidRPr="00CD3D28" w:rsidRDefault="00623AF8" w:rsidP="00875DD0">
            <w:pPr>
              <w:spacing w:before="120" w:after="120"/>
              <w:jc w:val="both"/>
              <w:rPr>
                <w:rFonts w:ascii="Aptos" w:hAnsi="Aptos"/>
                <w:sz w:val="22"/>
                <w:szCs w:val="22"/>
              </w:rPr>
            </w:pPr>
            <w:r w:rsidRPr="00640F20">
              <w:rPr>
                <w:rFonts w:ascii="Aptos" w:hAnsi="Aptos"/>
                <w:sz w:val="22"/>
                <w:szCs w:val="22"/>
              </w:rPr>
              <w:t xml:space="preserve">Eine Problematik, die sich </w:t>
            </w:r>
            <w:r>
              <w:rPr>
                <w:rFonts w:ascii="Aptos" w:hAnsi="Aptos"/>
                <w:sz w:val="22"/>
                <w:szCs w:val="22"/>
              </w:rPr>
              <w:t>in vielen sozialpolitischen Agenden zeigt</w:t>
            </w:r>
            <w:r w:rsidRPr="00640F20">
              <w:rPr>
                <w:rFonts w:ascii="Aptos" w:hAnsi="Aptos"/>
                <w:sz w:val="22"/>
                <w:szCs w:val="22"/>
              </w:rPr>
              <w:t xml:space="preserve">, sind </w:t>
            </w:r>
            <w:r>
              <w:rPr>
                <w:rFonts w:ascii="Aptos" w:hAnsi="Aptos"/>
                <w:sz w:val="22"/>
                <w:szCs w:val="22"/>
              </w:rPr>
              <w:t xml:space="preserve">die </w:t>
            </w:r>
            <w:r w:rsidRPr="00640F20">
              <w:rPr>
                <w:rFonts w:ascii="Aptos" w:hAnsi="Aptos"/>
                <w:sz w:val="22"/>
                <w:szCs w:val="22"/>
              </w:rPr>
              <w:t>fehlende</w:t>
            </w:r>
            <w:r>
              <w:rPr>
                <w:rFonts w:ascii="Aptos" w:hAnsi="Aptos"/>
                <w:sz w:val="22"/>
                <w:szCs w:val="22"/>
              </w:rPr>
              <w:t>n</w:t>
            </w:r>
            <w:r w:rsidRPr="00640F20">
              <w:rPr>
                <w:rFonts w:ascii="Aptos" w:hAnsi="Aptos"/>
                <w:sz w:val="22"/>
                <w:szCs w:val="22"/>
              </w:rPr>
              <w:t xml:space="preserve"> Kompetenzen auf EU-Ebene, die beispielsweise verpflichtende Richtlinien </w:t>
            </w:r>
            <w:r>
              <w:rPr>
                <w:rFonts w:ascii="Aptos" w:hAnsi="Aptos"/>
                <w:sz w:val="22"/>
                <w:szCs w:val="22"/>
              </w:rPr>
              <w:t>etwa in Bezug auf die europäischen</w:t>
            </w:r>
            <w:r w:rsidRPr="00640F20">
              <w:rPr>
                <w:rFonts w:ascii="Aptos" w:hAnsi="Aptos"/>
                <w:sz w:val="22"/>
                <w:szCs w:val="22"/>
              </w:rPr>
              <w:t xml:space="preserve"> Sozialschutz</w:t>
            </w:r>
            <w:r>
              <w:rPr>
                <w:rFonts w:ascii="Aptos" w:hAnsi="Aptos"/>
                <w:sz w:val="22"/>
                <w:szCs w:val="22"/>
              </w:rPr>
              <w:t>systeme</w:t>
            </w:r>
            <w:r w:rsidRPr="00640F20">
              <w:rPr>
                <w:rFonts w:ascii="Aptos" w:hAnsi="Aptos"/>
                <w:sz w:val="22"/>
                <w:szCs w:val="22"/>
              </w:rPr>
              <w:t xml:space="preserve"> ermöglichen würden</w:t>
            </w:r>
            <w:r>
              <w:rPr>
                <w:rFonts w:ascii="Aptos" w:hAnsi="Aptos"/>
                <w:sz w:val="22"/>
                <w:szCs w:val="22"/>
              </w:rPr>
              <w:t>.</w:t>
            </w:r>
            <w:r w:rsidRPr="00CD3D28">
              <w:rPr>
                <w:rFonts w:ascii="Aptos" w:hAnsi="Aptos"/>
                <w:sz w:val="22"/>
                <w:szCs w:val="22"/>
              </w:rPr>
              <w:t xml:space="preserve"> </w:t>
            </w:r>
            <w:r w:rsidRPr="00640F20">
              <w:rPr>
                <w:rFonts w:ascii="Aptos" w:hAnsi="Aptos"/>
                <w:b/>
                <w:bCs/>
                <w:sz w:val="22"/>
                <w:szCs w:val="22"/>
              </w:rPr>
              <w:t>Werden Sie sich für Kompetenz</w:t>
            </w:r>
            <w:r>
              <w:rPr>
                <w:rFonts w:ascii="Aptos" w:hAnsi="Aptos"/>
                <w:b/>
                <w:bCs/>
                <w:sz w:val="22"/>
                <w:szCs w:val="22"/>
              </w:rPr>
              <w:t>erweiterungen</w:t>
            </w:r>
            <w:r w:rsidRPr="00640F20">
              <w:rPr>
                <w:rFonts w:ascii="Aptos" w:hAnsi="Aptos"/>
                <w:b/>
                <w:bCs/>
                <w:sz w:val="22"/>
                <w:szCs w:val="22"/>
              </w:rPr>
              <w:t xml:space="preserve"> in diesem Bereich einsetzen</w:t>
            </w:r>
            <w:r w:rsidRPr="00A43BDE">
              <w:rPr>
                <w:rFonts w:ascii="Aptos" w:hAnsi="Aptos"/>
                <w:b/>
                <w:bCs/>
                <w:sz w:val="22"/>
                <w:szCs w:val="22"/>
              </w:rPr>
              <w:t>?</w:t>
            </w:r>
          </w:p>
        </w:tc>
      </w:tr>
      <w:tr w:rsidR="00623AF8" w:rsidRPr="00CD3D28" w14:paraId="1EFF32CB" w14:textId="77777777" w:rsidTr="00875DD0">
        <w:tc>
          <w:tcPr>
            <w:tcW w:w="9060" w:type="dxa"/>
            <w:shd w:val="clear" w:color="auto" w:fill="D9D9D9" w:themeFill="background1" w:themeFillShade="D9"/>
          </w:tcPr>
          <w:p w14:paraId="5C114E8C"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A43BDE" w14:paraId="6EF4E69B" w14:textId="77777777" w:rsidTr="00875DD0">
        <w:tc>
          <w:tcPr>
            <w:tcW w:w="9060" w:type="dxa"/>
          </w:tcPr>
          <w:p w14:paraId="3F4C58BB" w14:textId="77777777" w:rsidR="00623AF8" w:rsidRPr="006E7750" w:rsidRDefault="00623AF8" w:rsidP="00F63BE8">
            <w:pPr>
              <w:pStyle w:val="Listenabsatz"/>
              <w:numPr>
                <w:ilvl w:val="0"/>
                <w:numId w:val="71"/>
              </w:numPr>
              <w:spacing w:before="120" w:after="120"/>
              <w:jc w:val="both"/>
              <w:rPr>
                <w:rFonts w:ascii="Aptos" w:hAnsi="Aptos"/>
                <w:sz w:val="22"/>
                <w:szCs w:val="22"/>
              </w:rPr>
            </w:pPr>
            <w:r w:rsidRPr="006E7750">
              <w:rPr>
                <w:rFonts w:ascii="Aptos" w:hAnsi="Aptos"/>
                <w:sz w:val="22"/>
                <w:szCs w:val="22"/>
              </w:rPr>
              <w:t>Wo sehen Sie mögliche Hebel dazu?</w:t>
            </w:r>
          </w:p>
        </w:tc>
      </w:tr>
    </w:tbl>
    <w:p w14:paraId="443FBEFF" w14:textId="77777777" w:rsidR="00623AF8" w:rsidRPr="00A43BDE"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76C02A9D" w14:textId="77777777" w:rsidTr="00875DD0">
        <w:tc>
          <w:tcPr>
            <w:tcW w:w="9060" w:type="dxa"/>
            <w:tcBorders>
              <w:top w:val="nil"/>
              <w:left w:val="nil"/>
              <w:bottom w:val="nil"/>
              <w:right w:val="nil"/>
            </w:tcBorders>
            <w:shd w:val="clear" w:color="auto" w:fill="D9D9D9" w:themeFill="background1" w:themeFillShade="D9"/>
          </w:tcPr>
          <w:p w14:paraId="5C8F0BAF"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452FB468" w14:textId="77777777" w:rsidR="00623AF8" w:rsidRDefault="00623AF8" w:rsidP="00623AF8">
      <w:pPr>
        <w:jc w:val="both"/>
        <w:rPr>
          <w:rFonts w:ascii="Aptos" w:hAnsi="Aptos"/>
          <w:sz w:val="22"/>
          <w:szCs w:val="22"/>
        </w:rPr>
      </w:pPr>
      <w:r w:rsidRPr="009F1C23">
        <w:rPr>
          <w:rFonts w:ascii="Aptos" w:hAnsi="Aptos"/>
          <w:sz w:val="22"/>
          <w:szCs w:val="22"/>
        </w:rPr>
        <w:t>Bislang haben die demokratisch gewählten Institutionen der EU im Bereich des Sozialschutzes kaum rechtlich-politischen Handlungsspielraum, da dieser im Vertrag über die Arbeitsweise der Europäischen Union nicht vorgesehen ist. Hier ist zum einen an weitere Hebel zur Kompetenzerweiterung zu denken, etwa eine stärkere Unterfütterung der Reformvorschläge des Europäischen Semesters mit an Reformvorhaben gekoppelten Finanzinstrumenten</w:t>
      </w:r>
      <w:r>
        <w:rPr>
          <w:rFonts w:ascii="Aptos" w:hAnsi="Aptos"/>
          <w:sz w:val="22"/>
          <w:szCs w:val="22"/>
        </w:rPr>
        <w:t>, institutionelle Reformen im Bereich der Kompetenzverteilung zwischen Kommission, Parlament und Rat, oder andere Reformen</w:t>
      </w:r>
      <w:r w:rsidRPr="009F1C23">
        <w:rPr>
          <w:rFonts w:ascii="Aptos" w:hAnsi="Aptos"/>
          <w:sz w:val="22"/>
          <w:szCs w:val="22"/>
        </w:rPr>
        <w:t xml:space="preserve">. Zum anderen bedürfen auch die Verträge einer Anpassung an aktuelle </w:t>
      </w:r>
      <w:r>
        <w:rPr>
          <w:rFonts w:ascii="Aptos" w:hAnsi="Aptos"/>
          <w:sz w:val="22"/>
          <w:szCs w:val="22"/>
        </w:rPr>
        <w:t xml:space="preserve">innereuropäische, aber auch außereuropäische und geopolitische </w:t>
      </w:r>
      <w:r w:rsidRPr="009F1C23">
        <w:rPr>
          <w:rFonts w:ascii="Aptos" w:hAnsi="Aptos"/>
          <w:sz w:val="22"/>
          <w:szCs w:val="22"/>
        </w:rPr>
        <w:t>Entwicklungen.</w:t>
      </w:r>
    </w:p>
    <w:p w14:paraId="5228DEDC" w14:textId="77777777" w:rsidR="00623AF8" w:rsidRDefault="00623AF8" w:rsidP="00623AF8">
      <w:pPr>
        <w:jc w:val="both"/>
        <w:rPr>
          <w:rFonts w:ascii="Aptos" w:hAnsi="Aptos"/>
          <w:sz w:val="22"/>
          <w:szCs w:val="22"/>
        </w:rPr>
      </w:pPr>
    </w:p>
    <w:p w14:paraId="04FA790A" w14:textId="77777777" w:rsidR="00623AF8" w:rsidRPr="005729B3" w:rsidRDefault="00623AF8" w:rsidP="00623AF8">
      <w:pPr>
        <w:jc w:val="both"/>
        <w:rPr>
          <w:rFonts w:ascii="Aptos" w:hAnsi="Aptos"/>
          <w:sz w:val="22"/>
          <w:szCs w:val="22"/>
        </w:rPr>
      </w:pPr>
      <w:r w:rsidRPr="00471159">
        <w:rPr>
          <w:rFonts w:ascii="Aptos" w:hAnsi="Aptos"/>
          <w:sz w:val="22"/>
          <w:szCs w:val="22"/>
        </w:rPr>
        <w:t>Die Europäische Kommission hat Empfehlungen zur Förderung des sozialen Dialogs auf nationaler Ebene vorgelegt und auch den sozialen Dialog auf EU-Ebene ausgeweitet.</w:t>
      </w:r>
      <w:r>
        <w:rPr>
          <w:rStyle w:val="Funotenzeichen"/>
          <w:rFonts w:ascii="Aptos" w:hAnsi="Aptos"/>
          <w:sz w:val="22"/>
          <w:szCs w:val="22"/>
        </w:rPr>
        <w:footnoteReference w:id="42"/>
      </w:r>
      <w:r w:rsidRPr="00471159">
        <w:rPr>
          <w:rFonts w:ascii="Aptos" w:hAnsi="Aptos"/>
          <w:sz w:val="22"/>
          <w:szCs w:val="22"/>
        </w:rPr>
        <w:t xml:space="preserve"> </w:t>
      </w:r>
      <w:r w:rsidRPr="00F900C8">
        <w:rPr>
          <w:rFonts w:ascii="Aptos" w:hAnsi="Aptos"/>
          <w:sz w:val="22"/>
          <w:szCs w:val="22"/>
        </w:rPr>
        <w:t>Auch der Sozialschutz selbst könnte auf EU-Ebene mit mehr Nachdruck behandelt werden. Schließlich ist es wichtig, dass die EU ihre Kompetenzen im Bereich des Sozialschutzes ausbaut, um die soziale Integration und den Schutz der Bürger zu stärken.</w:t>
      </w:r>
    </w:p>
    <w:p w14:paraId="18022351" w14:textId="77777777" w:rsidR="00623AF8" w:rsidRDefault="00623AF8" w:rsidP="00623AF8">
      <w:pPr>
        <w:rPr>
          <w:rFonts w:ascii="Aptos" w:hAnsi="Aptos"/>
          <w:sz w:val="22"/>
          <w:szCs w:val="22"/>
        </w:rPr>
      </w:pPr>
    </w:p>
    <w:p w14:paraId="2511941F" w14:textId="77777777" w:rsidR="00623AF8" w:rsidRDefault="00623AF8" w:rsidP="00623AF8">
      <w:pPr>
        <w:rPr>
          <w:rFonts w:ascii="Aptos" w:hAnsi="Aptos"/>
          <w:sz w:val="22"/>
          <w:szCs w:val="22"/>
          <w:highlight w:val="yellow"/>
        </w:rPr>
      </w:pPr>
      <w:r>
        <w:rPr>
          <w:rFonts w:ascii="Aptos" w:hAnsi="Aptos"/>
          <w:sz w:val="22"/>
          <w:szCs w:val="22"/>
          <w:highlight w:val="yellow"/>
        </w:rPr>
        <w:br w:type="page"/>
      </w:r>
    </w:p>
    <w:p w14:paraId="2E6C3DDB" w14:textId="77777777" w:rsidR="00623AF8" w:rsidRDefault="00623AF8" w:rsidP="00623AF8">
      <w:pPr>
        <w:pStyle w:val="berschrift1"/>
        <w:ind w:left="720"/>
        <w:rPr>
          <w:rFonts w:ascii="Aptos" w:hAnsi="Aptos"/>
        </w:rPr>
      </w:pPr>
    </w:p>
    <w:p w14:paraId="098DD72C" w14:textId="77777777" w:rsidR="00623AF8" w:rsidRDefault="00623AF8" w:rsidP="00623AF8">
      <w:pPr>
        <w:pStyle w:val="berschrift1"/>
        <w:ind w:left="720"/>
        <w:rPr>
          <w:rFonts w:ascii="Aptos" w:hAnsi="Aptos"/>
        </w:rPr>
      </w:pPr>
    </w:p>
    <w:p w14:paraId="218479F2" w14:textId="77777777" w:rsidR="00623AF8" w:rsidRPr="00CD3D28" w:rsidRDefault="00623AF8" w:rsidP="00623AF8">
      <w:pPr>
        <w:pStyle w:val="berschrift1"/>
        <w:rPr>
          <w:rFonts w:ascii="Aptos" w:hAnsi="Aptos"/>
        </w:rPr>
      </w:pPr>
      <w:bookmarkStart w:id="530" w:name="_Toc170142575"/>
      <w:bookmarkStart w:id="531" w:name="_Toc170983846"/>
      <w:r>
        <w:rPr>
          <w:rFonts w:ascii="Aptos" w:hAnsi="Aptos"/>
        </w:rPr>
        <w:t>EU-Sozialtaxonomie</w:t>
      </w:r>
      <w:bookmarkEnd w:id="530"/>
      <w:bookmarkEnd w:id="531"/>
    </w:p>
    <w:p w14:paraId="7246ECE9"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CD3D28" w14:paraId="4292E0B3" w14:textId="77777777" w:rsidTr="00875DD0">
        <w:tc>
          <w:tcPr>
            <w:tcW w:w="9060" w:type="dxa"/>
            <w:shd w:val="clear" w:color="auto" w:fill="D9D9D9" w:themeFill="background1" w:themeFillShade="D9"/>
          </w:tcPr>
          <w:p w14:paraId="25FBA919" w14:textId="77777777" w:rsidR="00623AF8" w:rsidRPr="00CD3D28" w:rsidRDefault="00623AF8" w:rsidP="00875DD0">
            <w:pPr>
              <w:spacing w:before="120" w:after="120"/>
              <w:jc w:val="both"/>
              <w:rPr>
                <w:rFonts w:ascii="Aptos" w:hAnsi="Aptos"/>
                <w:b/>
                <w:iCs/>
                <w:sz w:val="22"/>
                <w:szCs w:val="22"/>
              </w:rPr>
            </w:pPr>
            <w:r w:rsidRPr="00CD3D28">
              <w:rPr>
                <w:rFonts w:ascii="Aptos" w:hAnsi="Aptos"/>
                <w:b/>
                <w:iCs/>
                <w:sz w:val="22"/>
                <w:szCs w:val="22"/>
              </w:rPr>
              <w:t>Frage</w:t>
            </w:r>
          </w:p>
        </w:tc>
      </w:tr>
      <w:tr w:rsidR="00623AF8" w:rsidRPr="00CD3D28" w14:paraId="3083D5D0" w14:textId="77777777" w:rsidTr="00875DD0">
        <w:tc>
          <w:tcPr>
            <w:tcW w:w="9060" w:type="dxa"/>
          </w:tcPr>
          <w:p w14:paraId="17C30AD9" w14:textId="77777777" w:rsidR="00623AF8" w:rsidRPr="00CD3D28" w:rsidRDefault="00623AF8" w:rsidP="00875DD0">
            <w:pPr>
              <w:spacing w:before="120" w:after="120"/>
              <w:jc w:val="both"/>
              <w:rPr>
                <w:rFonts w:ascii="Aptos" w:hAnsi="Aptos"/>
                <w:sz w:val="22"/>
                <w:szCs w:val="22"/>
              </w:rPr>
            </w:pPr>
            <w:r>
              <w:rPr>
                <w:rFonts w:ascii="Aptos" w:hAnsi="Aptos"/>
                <w:sz w:val="22"/>
                <w:szCs w:val="22"/>
              </w:rPr>
              <w:t>Der</w:t>
            </w:r>
            <w:r w:rsidRPr="00CB21FD">
              <w:rPr>
                <w:rFonts w:ascii="Aptos" w:hAnsi="Aptos"/>
                <w:sz w:val="22"/>
                <w:szCs w:val="22"/>
              </w:rPr>
              <w:t xml:space="preserve"> Plan für eine soziale Taxonomie für Investitionsförderungen nach sozialen Kriterien wurde von der EU-Kommission vorerst auf Eis gelegt.</w:t>
            </w:r>
            <w:r>
              <w:rPr>
                <w:rFonts w:ascii="Aptos" w:hAnsi="Aptos"/>
                <w:b/>
                <w:bCs/>
                <w:sz w:val="22"/>
                <w:szCs w:val="22"/>
              </w:rPr>
              <w:t xml:space="preserve"> Werden Sie sich für die Umsetzung einer Sozialtaxonomie ä</w:t>
            </w:r>
            <w:r w:rsidRPr="0042427F">
              <w:rPr>
                <w:rFonts w:ascii="Aptos" w:hAnsi="Aptos"/>
                <w:b/>
                <w:bCs/>
                <w:sz w:val="22"/>
                <w:szCs w:val="22"/>
              </w:rPr>
              <w:t>quivalent zur Umwelttaxonomie</w:t>
            </w:r>
            <w:r>
              <w:rPr>
                <w:rFonts w:ascii="Aptos" w:hAnsi="Aptos"/>
                <w:b/>
                <w:bCs/>
                <w:sz w:val="22"/>
                <w:szCs w:val="22"/>
              </w:rPr>
              <w:t xml:space="preserve"> einsetzen</w:t>
            </w:r>
            <w:r w:rsidRPr="00A43BDE">
              <w:rPr>
                <w:rFonts w:ascii="Aptos" w:hAnsi="Aptos"/>
                <w:b/>
                <w:bCs/>
                <w:sz w:val="22"/>
                <w:szCs w:val="22"/>
              </w:rPr>
              <w:t>?</w:t>
            </w:r>
          </w:p>
        </w:tc>
      </w:tr>
      <w:tr w:rsidR="00623AF8" w:rsidRPr="00CD3D28" w14:paraId="58F77676" w14:textId="77777777" w:rsidTr="00875DD0">
        <w:tc>
          <w:tcPr>
            <w:tcW w:w="9060" w:type="dxa"/>
            <w:shd w:val="clear" w:color="auto" w:fill="D9D9D9" w:themeFill="background1" w:themeFillShade="D9"/>
          </w:tcPr>
          <w:p w14:paraId="4CAE6221" w14:textId="77777777" w:rsidR="00623AF8" w:rsidRPr="00CD3D28" w:rsidRDefault="00623AF8" w:rsidP="00875DD0">
            <w:pPr>
              <w:spacing w:before="120" w:after="120"/>
              <w:jc w:val="both"/>
              <w:rPr>
                <w:rFonts w:ascii="Aptos" w:hAnsi="Aptos"/>
                <w:b/>
                <w:bCs/>
                <w:sz w:val="22"/>
                <w:szCs w:val="22"/>
              </w:rPr>
            </w:pPr>
            <w:r w:rsidRPr="00CD3D28">
              <w:rPr>
                <w:rFonts w:ascii="Aptos" w:hAnsi="Aptos"/>
                <w:b/>
                <w:bCs/>
                <w:sz w:val="22"/>
                <w:szCs w:val="22"/>
              </w:rPr>
              <w:t>Nachfrage</w:t>
            </w:r>
          </w:p>
        </w:tc>
      </w:tr>
      <w:tr w:rsidR="00623AF8" w:rsidRPr="00A43BDE" w14:paraId="147CD80F" w14:textId="77777777" w:rsidTr="00875DD0">
        <w:tc>
          <w:tcPr>
            <w:tcW w:w="9060" w:type="dxa"/>
          </w:tcPr>
          <w:p w14:paraId="28886AFB" w14:textId="77777777" w:rsidR="00623AF8" w:rsidRPr="002423D5" w:rsidRDefault="00623AF8" w:rsidP="00F63BE8">
            <w:pPr>
              <w:pStyle w:val="Listenabsatz"/>
              <w:numPr>
                <w:ilvl w:val="0"/>
                <w:numId w:val="71"/>
              </w:numPr>
              <w:spacing w:before="120" w:after="120"/>
              <w:jc w:val="both"/>
              <w:rPr>
                <w:rFonts w:ascii="Aptos" w:hAnsi="Aptos"/>
                <w:sz w:val="22"/>
                <w:szCs w:val="22"/>
              </w:rPr>
            </w:pPr>
            <w:r w:rsidRPr="002423D5">
              <w:rPr>
                <w:rFonts w:ascii="Aptos" w:hAnsi="Aptos"/>
                <w:sz w:val="22"/>
                <w:szCs w:val="22"/>
              </w:rPr>
              <w:t>Wie könnte eine EU-Sozialtaxonomie ausgestaltet sein?</w:t>
            </w:r>
          </w:p>
        </w:tc>
      </w:tr>
    </w:tbl>
    <w:p w14:paraId="147965C2" w14:textId="77777777" w:rsidR="00623AF8" w:rsidRPr="00A43BDE"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3BF2EF80" w14:textId="77777777" w:rsidTr="00875DD0">
        <w:tc>
          <w:tcPr>
            <w:tcW w:w="9060" w:type="dxa"/>
            <w:tcBorders>
              <w:top w:val="nil"/>
              <w:left w:val="nil"/>
              <w:bottom w:val="nil"/>
              <w:right w:val="nil"/>
            </w:tcBorders>
            <w:shd w:val="clear" w:color="auto" w:fill="D9D9D9" w:themeFill="background1" w:themeFillShade="D9"/>
          </w:tcPr>
          <w:p w14:paraId="104180B2"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71DADC3C" w14:textId="77777777" w:rsidR="00623AF8" w:rsidRPr="00F423E7" w:rsidRDefault="00623AF8" w:rsidP="00623AF8">
      <w:pPr>
        <w:jc w:val="both"/>
        <w:rPr>
          <w:rFonts w:ascii="Aptos" w:hAnsi="Aptos"/>
          <w:bCs/>
          <w:sz w:val="22"/>
          <w:szCs w:val="22"/>
        </w:rPr>
      </w:pPr>
      <w:r w:rsidRPr="00F423E7">
        <w:rPr>
          <w:rFonts w:ascii="Aptos" w:hAnsi="Aptos" w:cs="Arial"/>
          <w:color w:val="111111"/>
          <w:shd w:val="clear" w:color="auto" w:fill="FFFFFF"/>
        </w:rPr>
        <w:t xml:space="preserve">Die US-Ökonomin Janelle Jones plädiert dafür, auch sektorale Lohnverhandlungen und staatliche Förderungen für den bereits stark wachsenden Pflegesektor als Teil der Industriepolitik zu behandeln, als </w:t>
      </w:r>
      <w:r w:rsidRPr="00F423E7">
        <w:rPr>
          <w:rFonts w:ascii="Aptos" w:hAnsi="Aptos" w:cs="Arial"/>
          <w:shd w:val="clear" w:color="auto" w:fill="FFFFFF"/>
        </w:rPr>
        <w:t>Synergie von Industrie- und Beschäftigungspolitik</w:t>
      </w:r>
      <w:r w:rsidRPr="00F423E7">
        <w:rPr>
          <w:rFonts w:ascii="Aptos" w:hAnsi="Aptos" w:cs="Arial"/>
          <w:color w:val="111111"/>
          <w:shd w:val="clear" w:color="auto" w:fill="FFFFFF"/>
        </w:rPr>
        <w:t>.</w:t>
      </w:r>
      <w:r>
        <w:rPr>
          <w:rStyle w:val="Funotenzeichen"/>
          <w:rFonts w:ascii="Aptos" w:hAnsi="Aptos" w:cs="Arial"/>
          <w:color w:val="111111"/>
        </w:rPr>
        <w:footnoteReference w:id="43"/>
      </w:r>
      <w:r w:rsidRPr="00F423E7">
        <w:rPr>
          <w:rFonts w:ascii="Aptos" w:hAnsi="Aptos" w:cs="Arial"/>
          <w:color w:val="111111"/>
          <w:shd w:val="clear" w:color="auto" w:fill="FFFFFF"/>
        </w:rPr>
        <w:t xml:space="preserve"> Dahingehend kann auch der Plan für eine </w:t>
      </w:r>
      <w:r w:rsidRPr="00B66927">
        <w:rPr>
          <w:rFonts w:ascii="Aptos" w:hAnsi="Aptos" w:cs="Arial"/>
          <w:shd w:val="clear" w:color="auto" w:fill="FFFFFF"/>
        </w:rPr>
        <w:t>soziale Taxonomie</w:t>
      </w:r>
      <w:r>
        <w:rPr>
          <w:rStyle w:val="Funotenzeichen"/>
          <w:rFonts w:ascii="Aptos" w:hAnsi="Aptos" w:cs="Arial"/>
        </w:rPr>
        <w:footnoteReference w:id="44"/>
      </w:r>
      <w:r w:rsidRPr="00F423E7">
        <w:rPr>
          <w:rFonts w:ascii="Aptos" w:hAnsi="Aptos" w:cs="Arial"/>
          <w:color w:val="111111"/>
          <w:shd w:val="clear" w:color="auto" w:fill="FFFFFF"/>
        </w:rPr>
        <w:t xml:space="preserve"> für</w:t>
      </w:r>
      <w:r>
        <w:rPr>
          <w:rFonts w:ascii="Aptos" w:hAnsi="Aptos" w:cs="Arial"/>
          <w:color w:val="111111"/>
          <w:shd w:val="clear" w:color="auto" w:fill="FFFFFF"/>
        </w:rPr>
        <w:t xml:space="preserve"> </w:t>
      </w:r>
      <w:r w:rsidRPr="00F423E7">
        <w:rPr>
          <w:rFonts w:ascii="Aptos" w:hAnsi="Aptos" w:cs="Arial"/>
          <w:color w:val="111111"/>
          <w:shd w:val="clear" w:color="auto" w:fill="FFFFFF"/>
        </w:rPr>
        <w:t>Investitionsförderungen nach sozialen Kriterien als Industriepolitik im weiteren Sinne bezeichnet werden. Während die Umwelttaxonomie Investitionen in umweltfreundliche und klimafreundliche Projekte lenk</w:t>
      </w:r>
      <w:r>
        <w:rPr>
          <w:rFonts w:ascii="Aptos" w:hAnsi="Aptos" w:cs="Arial"/>
          <w:color w:val="111111"/>
          <w:shd w:val="clear" w:color="auto" w:fill="FFFFFF"/>
        </w:rPr>
        <w:t>en soll</w:t>
      </w:r>
      <w:r w:rsidRPr="00F423E7">
        <w:rPr>
          <w:rFonts w:ascii="Aptos" w:hAnsi="Aptos" w:cs="Arial"/>
          <w:color w:val="111111"/>
          <w:shd w:val="clear" w:color="auto" w:fill="FFFFFF"/>
        </w:rPr>
        <w:t>, würde eine Sozialtaxonomie Investitionen Ziele, wie die Bekämpfung von Armut, die Förderung von Gleichstellung, menschenwürdigen Arbeitsbedingungen und sozialer Inklusion</w:t>
      </w:r>
      <w:r>
        <w:rPr>
          <w:rFonts w:ascii="Aptos" w:hAnsi="Aptos" w:cs="Arial"/>
          <w:color w:val="111111"/>
          <w:shd w:val="clear" w:color="auto" w:fill="FFFFFF"/>
        </w:rPr>
        <w:t xml:space="preserve"> fördern</w:t>
      </w:r>
      <w:r w:rsidRPr="00F423E7">
        <w:rPr>
          <w:rFonts w:ascii="Aptos" w:hAnsi="Aptos" w:cs="Arial"/>
          <w:color w:val="111111"/>
          <w:shd w:val="clear" w:color="auto" w:fill="FFFFFF"/>
        </w:rPr>
        <w:t>.</w:t>
      </w:r>
    </w:p>
    <w:p w14:paraId="743FE8B9" w14:textId="77777777" w:rsidR="00623AF8" w:rsidRPr="00F423E7" w:rsidRDefault="00623AF8" w:rsidP="00623AF8">
      <w:pPr>
        <w:jc w:val="both"/>
        <w:rPr>
          <w:rFonts w:ascii="Aptos" w:hAnsi="Aptos" w:cs="Arial"/>
          <w:color w:val="111111"/>
          <w:shd w:val="clear" w:color="auto" w:fill="FFFFFF"/>
        </w:rPr>
      </w:pPr>
    </w:p>
    <w:p w14:paraId="52CFF605" w14:textId="77777777" w:rsidR="00623AF8" w:rsidRPr="00F423E7" w:rsidRDefault="00623AF8" w:rsidP="00623AF8">
      <w:pPr>
        <w:jc w:val="both"/>
        <w:rPr>
          <w:rFonts w:ascii="Aptos" w:hAnsi="Aptos" w:cs="Arial"/>
          <w:color w:val="111111"/>
          <w:shd w:val="clear" w:color="auto" w:fill="FFFFFF"/>
        </w:rPr>
      </w:pPr>
      <w:r w:rsidRPr="00F423E7">
        <w:rPr>
          <w:rFonts w:ascii="Aptos" w:hAnsi="Aptos" w:cs="Arial"/>
          <w:color w:val="111111"/>
          <w:shd w:val="clear" w:color="auto" w:fill="FFFFFF"/>
        </w:rPr>
        <w:t xml:space="preserve">Eine EU-Sozialtaxonomie </w:t>
      </w:r>
      <w:r>
        <w:rPr>
          <w:rFonts w:ascii="Aptos" w:hAnsi="Aptos" w:cs="Arial"/>
          <w:color w:val="111111"/>
          <w:shd w:val="clear" w:color="auto" w:fill="FFFFFF"/>
        </w:rPr>
        <w:t>zielt darauf ab</w:t>
      </w:r>
      <w:r w:rsidRPr="00F423E7">
        <w:rPr>
          <w:rFonts w:ascii="Aptos" w:hAnsi="Aptos" w:cs="Arial"/>
          <w:color w:val="111111"/>
          <w:shd w:val="clear" w:color="auto" w:fill="FFFFFF"/>
        </w:rPr>
        <w:t xml:space="preserve"> klare Kriterien und Standards für soziale Nachhaltigkeit festlegen, die Unternehmen und Investoren als Leitfaden dienen. Dies würde sicherstellen, dass wirtschaftliche </w:t>
      </w:r>
      <w:r>
        <w:rPr>
          <w:rFonts w:ascii="Aptos" w:hAnsi="Aptos" w:cs="Arial"/>
          <w:color w:val="111111"/>
          <w:shd w:val="clear" w:color="auto" w:fill="FFFFFF"/>
        </w:rPr>
        <w:t>Akteure</w:t>
      </w:r>
      <w:r w:rsidRPr="00F423E7">
        <w:rPr>
          <w:rFonts w:ascii="Aptos" w:hAnsi="Aptos" w:cs="Arial"/>
          <w:color w:val="111111"/>
          <w:shd w:val="clear" w:color="auto" w:fill="FFFFFF"/>
        </w:rPr>
        <w:t xml:space="preserve"> nicht nur ökologisch</w:t>
      </w:r>
      <w:r>
        <w:rPr>
          <w:rFonts w:ascii="Aptos" w:hAnsi="Aptos" w:cs="Arial"/>
          <w:color w:val="111111"/>
          <w:shd w:val="clear" w:color="auto" w:fill="FFFFFF"/>
        </w:rPr>
        <w:t>e</w:t>
      </w:r>
      <w:r w:rsidRPr="00F423E7">
        <w:rPr>
          <w:rFonts w:ascii="Aptos" w:hAnsi="Aptos" w:cs="Arial"/>
          <w:color w:val="111111"/>
          <w:shd w:val="clear" w:color="auto" w:fill="FFFFFF"/>
        </w:rPr>
        <w:t>, sondern auch sozial</w:t>
      </w:r>
      <w:r>
        <w:rPr>
          <w:rFonts w:ascii="Aptos" w:hAnsi="Aptos" w:cs="Arial"/>
          <w:color w:val="111111"/>
          <w:shd w:val="clear" w:color="auto" w:fill="FFFFFF"/>
        </w:rPr>
        <w:t>e Indikatoren in der Investitionsentscheidung berücksichtigen</w:t>
      </w:r>
      <w:r w:rsidRPr="00F423E7">
        <w:rPr>
          <w:rFonts w:ascii="Aptos" w:hAnsi="Aptos" w:cs="Arial"/>
          <w:color w:val="111111"/>
          <w:shd w:val="clear" w:color="auto" w:fill="FFFFFF"/>
        </w:rPr>
        <w:t xml:space="preserve">. </w:t>
      </w:r>
    </w:p>
    <w:p w14:paraId="0F1DFE8D" w14:textId="77777777" w:rsidR="00623AF8" w:rsidRPr="00F423E7" w:rsidRDefault="00623AF8" w:rsidP="00623AF8">
      <w:pPr>
        <w:jc w:val="both"/>
        <w:rPr>
          <w:rFonts w:ascii="Aptos" w:hAnsi="Aptos" w:cs="Arial"/>
          <w:color w:val="111111"/>
          <w:shd w:val="clear" w:color="auto" w:fill="FFFFFF"/>
        </w:rPr>
      </w:pPr>
    </w:p>
    <w:p w14:paraId="0CBB2DCF" w14:textId="77777777" w:rsidR="00623AF8" w:rsidRPr="00B66927" w:rsidRDefault="00623AF8" w:rsidP="00623AF8">
      <w:pPr>
        <w:jc w:val="both"/>
        <w:rPr>
          <w:rFonts w:ascii="Aptos" w:hAnsi="Aptos" w:cs="Arial"/>
          <w:color w:val="111111"/>
          <w:shd w:val="clear" w:color="auto" w:fill="FFFFFF"/>
        </w:rPr>
      </w:pPr>
      <w:r w:rsidRPr="00D4164C">
        <w:rPr>
          <w:rFonts w:ascii="Aptos" w:hAnsi="Aptos" w:cs="Arial"/>
          <w:color w:val="111111"/>
          <w:shd w:val="clear" w:color="auto" w:fill="FFFFFF"/>
        </w:rPr>
        <w:t>Eine EU-Sozialtaxonomie könnte verschiedene Bereiche abdecken, darunter Arbeitsrecht, Gesundheit und Sicherheit am Arbeitsplatz, Zugang zu Bildung und soziale Gerechtigkeit. Beispielsweise könnten Kriterien entwickelt werden, um sicherzustellen, dass Unternehmen faire Löhne zahlen, Vielfalt und Inklusion fördern und ihre Lieferketten auf Menschenrechtsverletzungen überprüfen.</w:t>
      </w:r>
      <w:r w:rsidRPr="007F73CC">
        <w:rPr>
          <w:rFonts w:ascii="Aptos" w:hAnsi="Aptos"/>
          <w:bCs/>
          <w:sz w:val="22"/>
          <w:szCs w:val="22"/>
        </w:rPr>
        <w:br w:type="page"/>
      </w:r>
    </w:p>
    <w:p w14:paraId="03D915BA" w14:textId="77777777" w:rsidR="00623AF8" w:rsidRDefault="00623AF8" w:rsidP="00623AF8">
      <w:pPr>
        <w:pStyle w:val="berschrift1"/>
        <w:ind w:left="720"/>
        <w:rPr>
          <w:rFonts w:ascii="Aptos" w:hAnsi="Aptos"/>
        </w:rPr>
      </w:pPr>
    </w:p>
    <w:p w14:paraId="3A232489" w14:textId="77777777" w:rsidR="00623AF8" w:rsidRPr="00627FE4" w:rsidRDefault="00623AF8" w:rsidP="00623AF8">
      <w:pPr>
        <w:pStyle w:val="berschrift1"/>
      </w:pPr>
      <w:bookmarkStart w:id="532" w:name="_Toc170142576"/>
      <w:bookmarkStart w:id="533" w:name="_Toc170983847"/>
      <w:r w:rsidRPr="00627FE4">
        <w:t>LGBTIQ – Schutz vor Diskriminierung</w:t>
      </w:r>
      <w:bookmarkEnd w:id="532"/>
      <w:bookmarkEnd w:id="533"/>
    </w:p>
    <w:p w14:paraId="713D7CCD" w14:textId="77777777" w:rsidR="00623AF8" w:rsidRPr="00CD3D28"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rsidRPr="00AC6F52" w14:paraId="44B5C603" w14:textId="77777777" w:rsidTr="00875DD0">
        <w:tc>
          <w:tcPr>
            <w:tcW w:w="9060" w:type="dxa"/>
            <w:shd w:val="clear" w:color="auto" w:fill="D9D9D9" w:themeFill="background1" w:themeFillShade="D9"/>
          </w:tcPr>
          <w:p w14:paraId="5EE9A6ED" w14:textId="77777777" w:rsidR="00623AF8" w:rsidRPr="00AC6F52" w:rsidRDefault="00623AF8" w:rsidP="00875DD0">
            <w:pPr>
              <w:spacing w:before="120" w:after="120"/>
              <w:jc w:val="both"/>
              <w:rPr>
                <w:rFonts w:ascii="Aptos" w:hAnsi="Aptos"/>
                <w:b/>
                <w:iCs/>
                <w:sz w:val="22"/>
                <w:szCs w:val="22"/>
              </w:rPr>
            </w:pPr>
            <w:r w:rsidRPr="00AC6F52">
              <w:rPr>
                <w:rFonts w:ascii="Aptos" w:hAnsi="Aptos"/>
                <w:b/>
                <w:iCs/>
                <w:sz w:val="22"/>
                <w:szCs w:val="22"/>
              </w:rPr>
              <w:t>Frage</w:t>
            </w:r>
          </w:p>
        </w:tc>
      </w:tr>
      <w:tr w:rsidR="00623AF8" w:rsidRPr="00AC6F52" w14:paraId="4830AE43" w14:textId="77777777" w:rsidTr="00875DD0">
        <w:tc>
          <w:tcPr>
            <w:tcW w:w="9060" w:type="dxa"/>
          </w:tcPr>
          <w:p w14:paraId="0C7A3ADB" w14:textId="77777777" w:rsidR="00623AF8" w:rsidRPr="00AC6F52" w:rsidRDefault="00623AF8" w:rsidP="00875DD0">
            <w:pPr>
              <w:spacing w:before="120" w:after="120"/>
              <w:jc w:val="both"/>
              <w:rPr>
                <w:rFonts w:ascii="Aptos" w:hAnsi="Aptos"/>
                <w:sz w:val="22"/>
                <w:szCs w:val="22"/>
              </w:rPr>
            </w:pPr>
            <w:r w:rsidRPr="00AC6F52">
              <w:rPr>
                <w:rFonts w:ascii="Aptos" w:hAnsi="Aptos"/>
                <w:sz w:val="22"/>
                <w:szCs w:val="22"/>
              </w:rPr>
              <w:t>Auch 2024 kommt es in vielen EU-Staaten regelmäßig zu Übergriffen und Diskriminierung von LQBTIQ Menschen.</w:t>
            </w:r>
            <w:r w:rsidRPr="00AC6F52">
              <w:rPr>
                <w:rFonts w:ascii="Aptos" w:hAnsi="Aptos"/>
                <w:b/>
                <w:bCs/>
                <w:sz w:val="22"/>
                <w:szCs w:val="22"/>
              </w:rPr>
              <w:t xml:space="preserve"> </w:t>
            </w:r>
            <w:r w:rsidRPr="00AC6F52">
              <w:rPr>
                <w:rFonts w:ascii="Aptos" w:eastAsia="Calibri" w:hAnsi="Aptos" w:cstheme="minorHAnsi"/>
                <w:b/>
                <w:bCs/>
              </w:rPr>
              <w:t>Welche Maßnahmen planen Sie, damit LGBTIQ Menschen in der Union stärker geschützt werden und Diskriminierungen weiter reduziert werden?</w:t>
            </w:r>
          </w:p>
        </w:tc>
      </w:tr>
      <w:tr w:rsidR="00623AF8" w:rsidRPr="00AC6F52" w14:paraId="4978020C" w14:textId="77777777" w:rsidTr="00875DD0">
        <w:tc>
          <w:tcPr>
            <w:tcW w:w="9060" w:type="dxa"/>
            <w:shd w:val="clear" w:color="auto" w:fill="D9D9D9" w:themeFill="background1" w:themeFillShade="D9"/>
          </w:tcPr>
          <w:p w14:paraId="0E9A1DDB" w14:textId="77777777" w:rsidR="00623AF8" w:rsidRPr="00AC6F52" w:rsidRDefault="00623AF8" w:rsidP="00875DD0">
            <w:pPr>
              <w:spacing w:before="120" w:after="120"/>
              <w:jc w:val="both"/>
              <w:rPr>
                <w:rFonts w:ascii="Aptos" w:hAnsi="Aptos"/>
                <w:b/>
                <w:bCs/>
                <w:sz w:val="22"/>
                <w:szCs w:val="22"/>
              </w:rPr>
            </w:pPr>
            <w:r w:rsidRPr="00AC6F52">
              <w:rPr>
                <w:rFonts w:ascii="Aptos" w:hAnsi="Aptos"/>
                <w:b/>
                <w:bCs/>
                <w:sz w:val="22"/>
                <w:szCs w:val="22"/>
              </w:rPr>
              <w:t>Nachfrage</w:t>
            </w:r>
          </w:p>
        </w:tc>
      </w:tr>
      <w:tr w:rsidR="00623AF8" w:rsidRPr="00AC6F52" w14:paraId="6216C801" w14:textId="77777777" w:rsidTr="00875DD0">
        <w:tc>
          <w:tcPr>
            <w:tcW w:w="9060" w:type="dxa"/>
          </w:tcPr>
          <w:p w14:paraId="1BF355A3" w14:textId="77777777" w:rsidR="00623AF8" w:rsidRPr="00E97E41" w:rsidRDefault="00623AF8" w:rsidP="00F63BE8">
            <w:pPr>
              <w:pStyle w:val="Listenabsatz"/>
              <w:numPr>
                <w:ilvl w:val="0"/>
                <w:numId w:val="71"/>
              </w:numPr>
              <w:spacing w:before="120" w:after="120"/>
              <w:jc w:val="both"/>
              <w:rPr>
                <w:rFonts w:ascii="Aptos" w:hAnsi="Aptos"/>
                <w:sz w:val="22"/>
                <w:szCs w:val="22"/>
              </w:rPr>
            </w:pPr>
            <w:r w:rsidRPr="00E97E41">
              <w:rPr>
                <w:rFonts w:ascii="Aptos" w:hAnsi="Aptos"/>
                <w:sz w:val="22"/>
                <w:szCs w:val="22"/>
              </w:rPr>
              <w:t>Die EU-Kommission hat 2020 bereits die LGBTIQ Strategie 2020 – 2025 initiiert. Wie möchten Sie die unterschiedlichen – nach wie vor vorhandenen - Diskriminierungen in den einzelnen Mitgliedsstaaten, bspw. in Ungarn, bekämpfen?</w:t>
            </w:r>
          </w:p>
          <w:p w14:paraId="6129086F" w14:textId="77777777" w:rsidR="00623AF8" w:rsidRPr="00E97E41" w:rsidRDefault="00623AF8" w:rsidP="00F63BE8">
            <w:pPr>
              <w:pStyle w:val="Listenabsatz"/>
              <w:numPr>
                <w:ilvl w:val="0"/>
                <w:numId w:val="71"/>
              </w:numPr>
              <w:spacing w:before="120" w:after="120"/>
              <w:jc w:val="both"/>
              <w:rPr>
                <w:rFonts w:ascii="Aptos" w:hAnsi="Aptos"/>
                <w:sz w:val="22"/>
                <w:szCs w:val="22"/>
              </w:rPr>
            </w:pPr>
            <w:r w:rsidRPr="00E97E41">
              <w:rPr>
                <w:rFonts w:ascii="Aptos" w:hAnsi="Aptos"/>
                <w:sz w:val="22"/>
                <w:szCs w:val="22"/>
              </w:rPr>
              <w:t>Was werden Sie unternehmen, um die seit vielen Jahren im Rat liegende Richtlinie zu Diskriminierung außerhalb der Arbeitswelt umzusetzen?</w:t>
            </w:r>
          </w:p>
          <w:p w14:paraId="7E356954" w14:textId="77777777" w:rsidR="00623AF8" w:rsidRPr="00E97E41" w:rsidRDefault="00623AF8" w:rsidP="00F63BE8">
            <w:pPr>
              <w:pStyle w:val="Listenabsatz"/>
              <w:numPr>
                <w:ilvl w:val="0"/>
                <w:numId w:val="71"/>
              </w:numPr>
              <w:spacing w:before="120" w:after="120"/>
              <w:jc w:val="both"/>
              <w:rPr>
                <w:rFonts w:ascii="Aptos" w:hAnsi="Aptos"/>
                <w:sz w:val="22"/>
                <w:szCs w:val="22"/>
              </w:rPr>
            </w:pPr>
            <w:r w:rsidRPr="00E97E41">
              <w:rPr>
                <w:rFonts w:ascii="Aptos" w:hAnsi="Aptos"/>
                <w:sz w:val="22"/>
                <w:szCs w:val="22"/>
              </w:rPr>
              <w:t>Ist eine eigene europaweite Kampagne zum Thema angedacht?</w:t>
            </w:r>
          </w:p>
        </w:tc>
      </w:tr>
    </w:tbl>
    <w:p w14:paraId="1F03BE62" w14:textId="77777777" w:rsidR="00623AF8" w:rsidRPr="00AC6F52" w:rsidRDefault="00623AF8" w:rsidP="00623A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23AF8" w14:paraId="67187156" w14:textId="77777777" w:rsidTr="00875DD0">
        <w:tc>
          <w:tcPr>
            <w:tcW w:w="9060" w:type="dxa"/>
            <w:tcBorders>
              <w:top w:val="nil"/>
              <w:left w:val="nil"/>
              <w:bottom w:val="nil"/>
              <w:right w:val="nil"/>
            </w:tcBorders>
            <w:shd w:val="clear" w:color="auto" w:fill="D9D9D9" w:themeFill="background1" w:themeFillShade="D9"/>
          </w:tcPr>
          <w:p w14:paraId="6DAB7E48" w14:textId="77777777" w:rsidR="00623AF8" w:rsidRDefault="00623AF8" w:rsidP="00875DD0">
            <w:pPr>
              <w:jc w:val="both"/>
              <w:rPr>
                <w:rFonts w:ascii="Aptos" w:hAnsi="Aptos"/>
                <w:b/>
                <w:iCs/>
                <w:sz w:val="22"/>
                <w:szCs w:val="22"/>
              </w:rPr>
            </w:pPr>
            <w:r w:rsidRPr="005A018F">
              <w:rPr>
                <w:rFonts w:ascii="Aptos" w:hAnsi="Aptos"/>
                <w:b/>
                <w:bCs/>
                <w:sz w:val="22"/>
                <w:szCs w:val="22"/>
              </w:rPr>
              <w:t>Hintergrund</w:t>
            </w:r>
          </w:p>
        </w:tc>
      </w:tr>
    </w:tbl>
    <w:p w14:paraId="2FC0E0B6" w14:textId="77777777" w:rsidR="00623AF8" w:rsidRPr="00A577F3" w:rsidRDefault="00623AF8" w:rsidP="00623AF8">
      <w:pPr>
        <w:jc w:val="both"/>
        <w:rPr>
          <w:rFonts w:ascii="Aptos" w:hAnsi="Aptos"/>
          <w:sz w:val="22"/>
          <w:szCs w:val="22"/>
        </w:rPr>
      </w:pPr>
      <w:r>
        <w:rPr>
          <w:rFonts w:ascii="Aptos" w:hAnsi="Aptos"/>
          <w:sz w:val="22"/>
          <w:szCs w:val="22"/>
        </w:rPr>
        <w:t>Die Zahl der Übergriffe auf LQBTIQ Menschen war auch in den vergangenen Jahren vergleichsweise hoch. 2019 gaben 43% der befragten LGBTIQ Menschen an Diskriminierung persönlich erlebt zu haben.</w:t>
      </w:r>
      <w:r>
        <w:rPr>
          <w:rStyle w:val="Funotenzeichen"/>
          <w:rFonts w:ascii="Aptos" w:hAnsi="Aptos"/>
          <w:sz w:val="22"/>
          <w:szCs w:val="22"/>
        </w:rPr>
        <w:footnoteReference w:id="45"/>
      </w:r>
      <w:r>
        <w:rPr>
          <w:rFonts w:ascii="Aptos" w:hAnsi="Aptos"/>
          <w:sz w:val="22"/>
          <w:szCs w:val="22"/>
        </w:rPr>
        <w:t xml:space="preserve"> Der Großteil der Fälle von Diskriminierung, insbesondere strukturelle Diskriminierungen, werden nicht beziffert. In einzelnen EU Mitgliedsstaaten ist die Lage aufgrund politisch-medialer Entwicklungen noch schlimmer geworden. Hier braucht es Kampagnen zur Bewusstseinsbildung, die zielgruppenadäquat konzipiert werden, um nicht auch noch weitere negative Gegenreaktionen hervorzurufen.</w:t>
      </w:r>
    </w:p>
    <w:p w14:paraId="1579723F" w14:textId="77777777" w:rsidR="00623AF8" w:rsidRDefault="00623AF8" w:rsidP="00623AF8">
      <w:pPr>
        <w:rPr>
          <w:rFonts w:ascii="Aptos" w:hAnsi="Aptos"/>
          <w:sz w:val="22"/>
          <w:szCs w:val="22"/>
        </w:rPr>
      </w:pPr>
    </w:p>
    <w:p w14:paraId="6F20A357" w14:textId="77777777" w:rsidR="00623AF8" w:rsidRPr="001B22DF" w:rsidRDefault="00623AF8" w:rsidP="00623AF8">
      <w:pPr>
        <w:jc w:val="both"/>
        <w:rPr>
          <w:rFonts w:ascii="Aptos" w:hAnsi="Aptos"/>
          <w:sz w:val="22"/>
          <w:szCs w:val="22"/>
        </w:rPr>
      </w:pPr>
      <w:r>
        <w:rPr>
          <w:rFonts w:ascii="Aptos" w:hAnsi="Aptos"/>
          <w:sz w:val="22"/>
          <w:szCs w:val="22"/>
        </w:rPr>
        <w:t>2004 hat d</w:t>
      </w:r>
      <w:r w:rsidRPr="00370FD1">
        <w:rPr>
          <w:rFonts w:ascii="Aptos" w:hAnsi="Aptos"/>
          <w:sz w:val="22"/>
          <w:szCs w:val="22"/>
        </w:rPr>
        <w:t xml:space="preserve">ie </w:t>
      </w:r>
      <w:r>
        <w:rPr>
          <w:rFonts w:ascii="Aptos" w:hAnsi="Aptos"/>
          <w:sz w:val="22"/>
          <w:szCs w:val="22"/>
        </w:rPr>
        <w:t xml:space="preserve">EU Kommission die </w:t>
      </w:r>
      <w:r w:rsidRPr="001B22DF">
        <w:rPr>
          <w:rFonts w:ascii="Aptos" w:hAnsi="Aptos"/>
          <w:sz w:val="22"/>
          <w:szCs w:val="22"/>
        </w:rPr>
        <w:t>Richtlinie zur Gleichstellung der Geschlechter außerhalb der Arbeitswelt</w:t>
      </w:r>
      <w:r w:rsidRPr="00370FD1">
        <w:rPr>
          <w:rFonts w:ascii="Aptos" w:hAnsi="Aptos"/>
          <w:sz w:val="22"/>
          <w:szCs w:val="22"/>
        </w:rPr>
        <w:t xml:space="preserve"> </w:t>
      </w:r>
      <w:r>
        <w:rPr>
          <w:rFonts w:ascii="Aptos" w:hAnsi="Aptos"/>
          <w:sz w:val="22"/>
          <w:szCs w:val="22"/>
        </w:rPr>
        <w:t>veröffentlicht.</w:t>
      </w:r>
      <w:r>
        <w:rPr>
          <w:rStyle w:val="Funotenzeichen"/>
          <w:rFonts w:ascii="Aptos" w:hAnsi="Aptos"/>
          <w:sz w:val="22"/>
          <w:szCs w:val="22"/>
        </w:rPr>
        <w:footnoteReference w:id="46"/>
      </w:r>
      <w:r>
        <w:rPr>
          <w:rFonts w:ascii="Aptos" w:hAnsi="Aptos"/>
          <w:sz w:val="22"/>
          <w:szCs w:val="22"/>
        </w:rPr>
        <w:t xml:space="preserve"> Diese </w:t>
      </w:r>
      <w:r w:rsidRPr="00370FD1">
        <w:rPr>
          <w:rFonts w:ascii="Aptos" w:hAnsi="Aptos"/>
          <w:sz w:val="22"/>
          <w:szCs w:val="22"/>
        </w:rPr>
        <w:t>zielt darauf ab, geschlechtsspezifische Diskriminierungen beim Zugang zu und der Versorgung mit Gütern und Dienstleistungen zu bekämpfen. Sie legt einen Rahmen für die Gleichstellung von Männern und Frauen in Bereichen wie Bildung, Gesundheitswesen und sozialen Dienstleistungen fest. Die Richtlinie verpflichtet die Mitgliedstaaten, wirksame Maßnahmen zu ergreifen, um Diskriminierungen zu verhindern und die Gleichstellung zu fördern.</w:t>
      </w:r>
      <w:r>
        <w:rPr>
          <w:rFonts w:ascii="Aptos" w:hAnsi="Aptos"/>
          <w:sz w:val="22"/>
          <w:szCs w:val="22"/>
        </w:rPr>
        <w:t xml:space="preserve"> </w:t>
      </w:r>
      <w:r w:rsidRPr="005425ED">
        <w:rPr>
          <w:rFonts w:ascii="Aptos" w:hAnsi="Aptos"/>
          <w:sz w:val="22"/>
          <w:szCs w:val="22"/>
        </w:rPr>
        <w:t>LGBTIQ-Rechte könnten auch im EU-Recht weiter verankert und gefördert werden, ähnlich wie in dieser Richtlinie.</w:t>
      </w:r>
    </w:p>
    <w:p w14:paraId="5227333F" w14:textId="77777777" w:rsidR="00623AF8" w:rsidRPr="00313477" w:rsidRDefault="00623AF8" w:rsidP="00623AF8">
      <w:pPr>
        <w:rPr>
          <w:rFonts w:ascii="Aptos" w:hAnsi="Aptos"/>
          <w:bCs/>
          <w:sz w:val="22"/>
          <w:szCs w:val="22"/>
        </w:rPr>
      </w:pPr>
    </w:p>
    <w:p w14:paraId="44E5CE6E" w14:textId="77777777" w:rsidR="00623AF8" w:rsidRPr="00313477" w:rsidRDefault="00623AF8" w:rsidP="00623AF8">
      <w:pPr>
        <w:rPr>
          <w:rFonts w:ascii="Aptos" w:hAnsi="Aptos"/>
          <w:bCs/>
          <w:sz w:val="22"/>
          <w:szCs w:val="22"/>
        </w:rPr>
      </w:pPr>
      <w:r w:rsidRPr="00313477">
        <w:rPr>
          <w:rFonts w:ascii="Aptos" w:hAnsi="Aptos"/>
          <w:bCs/>
          <w:sz w:val="22"/>
          <w:szCs w:val="22"/>
        </w:rPr>
        <w:br w:type="page"/>
      </w:r>
    </w:p>
    <w:p w14:paraId="3F2D23EF" w14:textId="77777777" w:rsidR="00623AF8" w:rsidRPr="00313477" w:rsidRDefault="00623AF8" w:rsidP="00623AF8">
      <w:pPr>
        <w:rPr>
          <w:rFonts w:ascii="Aptos" w:hAnsi="Aptos"/>
          <w:bCs/>
          <w:sz w:val="22"/>
          <w:szCs w:val="22"/>
        </w:rPr>
      </w:pPr>
    </w:p>
    <w:p w14:paraId="41C856B9" w14:textId="77777777" w:rsidR="00623AF8" w:rsidRPr="00313477" w:rsidRDefault="00623AF8" w:rsidP="00623AF8">
      <w:pPr>
        <w:rPr>
          <w:rFonts w:ascii="Aptos" w:hAnsi="Aptos"/>
          <w:bCs/>
          <w:sz w:val="22"/>
          <w:szCs w:val="22"/>
        </w:rPr>
      </w:pPr>
    </w:p>
    <w:p w14:paraId="3DB3DB50" w14:textId="77777777" w:rsidR="00623AF8" w:rsidRPr="00313477" w:rsidRDefault="00623AF8" w:rsidP="00623AF8">
      <w:pPr>
        <w:rPr>
          <w:rFonts w:ascii="Aptos" w:hAnsi="Aptos"/>
          <w:bCs/>
          <w:sz w:val="22"/>
          <w:szCs w:val="22"/>
        </w:rPr>
      </w:pPr>
    </w:p>
    <w:p w14:paraId="37F15950" w14:textId="77777777" w:rsidR="00623AF8" w:rsidRPr="00627FE4" w:rsidRDefault="00623AF8" w:rsidP="00623AF8">
      <w:pPr>
        <w:pStyle w:val="berschrift1"/>
      </w:pPr>
      <w:bookmarkStart w:id="534" w:name="_Toc170142577"/>
      <w:bookmarkStart w:id="535" w:name="_Toc170983848"/>
      <w:r w:rsidRPr="00627FE4">
        <w:t>Gewalt am Arbeitsplatz</w:t>
      </w:r>
      <w:bookmarkEnd w:id="534"/>
      <w:bookmarkEnd w:id="535"/>
    </w:p>
    <w:p w14:paraId="40FC3651" w14:textId="77777777" w:rsidR="00623AF8" w:rsidRPr="00546978" w:rsidRDefault="00623AF8" w:rsidP="00623AF8">
      <w:pPr>
        <w:spacing w:after="120"/>
        <w:jc w:val="both"/>
        <w:rPr>
          <w:rFonts w:eastAsia="Calibri" w:cstheme="minorHAnsi"/>
          <w:i/>
          <w:iCs/>
          <w:u w:val="single"/>
        </w:rPr>
      </w:pPr>
    </w:p>
    <w:tbl>
      <w:tblPr>
        <w:tblStyle w:val="Tabellenraster"/>
        <w:tblW w:w="0" w:type="auto"/>
        <w:tblLook w:val="04A0" w:firstRow="1" w:lastRow="0" w:firstColumn="1" w:lastColumn="0" w:noHBand="0" w:noVBand="1"/>
      </w:tblPr>
      <w:tblGrid>
        <w:gridCol w:w="9060"/>
      </w:tblGrid>
      <w:tr w:rsidR="00623AF8" w:rsidRPr="00AC6F52" w14:paraId="2CD10F0C" w14:textId="77777777" w:rsidTr="00875DD0">
        <w:tc>
          <w:tcPr>
            <w:tcW w:w="9060" w:type="dxa"/>
            <w:shd w:val="clear" w:color="auto" w:fill="D9D9D9"/>
          </w:tcPr>
          <w:p w14:paraId="26BC9C9E" w14:textId="77777777" w:rsidR="00623AF8" w:rsidRPr="00AC6F52" w:rsidRDefault="00623AF8" w:rsidP="00875DD0">
            <w:pPr>
              <w:spacing w:before="120" w:after="120"/>
              <w:jc w:val="both"/>
              <w:rPr>
                <w:rFonts w:ascii="Aptos" w:eastAsia="Calibri" w:hAnsi="Aptos" w:cstheme="minorHAnsi"/>
                <w:b/>
                <w:iCs/>
              </w:rPr>
            </w:pPr>
            <w:r w:rsidRPr="00AC6F52">
              <w:rPr>
                <w:rFonts w:ascii="Aptos" w:eastAsia="Calibri" w:hAnsi="Aptos" w:cstheme="minorHAnsi"/>
                <w:b/>
                <w:iCs/>
              </w:rPr>
              <w:t>Frage</w:t>
            </w:r>
          </w:p>
        </w:tc>
      </w:tr>
      <w:tr w:rsidR="00623AF8" w:rsidRPr="00AC6F52" w14:paraId="55930794" w14:textId="77777777" w:rsidTr="00875DD0">
        <w:tc>
          <w:tcPr>
            <w:tcW w:w="9060" w:type="dxa"/>
          </w:tcPr>
          <w:p w14:paraId="6B3B1B4B" w14:textId="77777777" w:rsidR="00623AF8" w:rsidRPr="00AC6F52" w:rsidRDefault="00623AF8" w:rsidP="00875DD0">
            <w:pPr>
              <w:spacing w:before="120" w:after="120"/>
              <w:jc w:val="both"/>
              <w:rPr>
                <w:rFonts w:ascii="Aptos" w:eastAsia="Calibri" w:hAnsi="Aptos" w:cstheme="minorHAnsi"/>
              </w:rPr>
            </w:pPr>
            <w:r w:rsidRPr="00AC6F52">
              <w:rPr>
                <w:rFonts w:ascii="Aptos" w:eastAsia="Calibri" w:hAnsi="Aptos" w:cstheme="minorHAnsi"/>
              </w:rPr>
              <w:t xml:space="preserve">Die EU-Kommission hat die Mitgliedsstaaten der EU aufgefordert, das Übereinkommen Nr.190 der Internationalen Arbeitsorganisation (ILO) zu ratifizieren und weitere nationale Maßnahmen zum Schutz vor Gewalt am Arbeitsplatz umzusetzen. </w:t>
            </w:r>
            <w:r w:rsidRPr="00AC6F52">
              <w:rPr>
                <w:rFonts w:ascii="Aptos" w:eastAsia="Calibri" w:hAnsi="Aptos" w:cstheme="minorHAnsi"/>
                <w:b/>
                <w:bCs/>
              </w:rPr>
              <w:t>Welche Maßnahmen planen Sie, damit Gewalt am Arbeitsplatz, insbesondere in Dienstleistungs- und Verkehrsberufen, die trotz der ILO 190 Ratifizierungen weiter bestehen, in den Mitgliedsstaaten weiter reduziert wird?</w:t>
            </w:r>
          </w:p>
        </w:tc>
      </w:tr>
      <w:tr w:rsidR="00623AF8" w:rsidRPr="00AC6F52" w14:paraId="1F6C1704" w14:textId="77777777" w:rsidTr="00875DD0">
        <w:tc>
          <w:tcPr>
            <w:tcW w:w="9060" w:type="dxa"/>
            <w:shd w:val="clear" w:color="auto" w:fill="D9D9D9"/>
          </w:tcPr>
          <w:p w14:paraId="04969202" w14:textId="77777777" w:rsidR="00623AF8" w:rsidRPr="00AC6F52" w:rsidRDefault="00623AF8" w:rsidP="00875DD0">
            <w:pPr>
              <w:spacing w:before="120" w:after="120"/>
              <w:jc w:val="both"/>
              <w:rPr>
                <w:rFonts w:ascii="Aptos" w:eastAsia="Calibri" w:hAnsi="Aptos" w:cstheme="minorHAnsi"/>
                <w:b/>
                <w:bCs/>
              </w:rPr>
            </w:pPr>
            <w:r w:rsidRPr="00AC6F52">
              <w:rPr>
                <w:rFonts w:ascii="Aptos" w:eastAsia="Calibri" w:hAnsi="Aptos" w:cstheme="minorHAnsi"/>
                <w:b/>
                <w:bCs/>
              </w:rPr>
              <w:t>Nachfrage</w:t>
            </w:r>
          </w:p>
        </w:tc>
      </w:tr>
      <w:tr w:rsidR="00623AF8" w:rsidRPr="00AC6F52" w14:paraId="6817A149" w14:textId="77777777" w:rsidTr="00875DD0">
        <w:tc>
          <w:tcPr>
            <w:tcW w:w="9060" w:type="dxa"/>
          </w:tcPr>
          <w:p w14:paraId="10BBC873" w14:textId="77777777" w:rsidR="00623AF8" w:rsidRPr="00A015E4" w:rsidRDefault="00623AF8" w:rsidP="00F63BE8">
            <w:pPr>
              <w:pStyle w:val="Listenabsatz"/>
              <w:numPr>
                <w:ilvl w:val="0"/>
                <w:numId w:val="71"/>
              </w:numPr>
              <w:spacing w:before="120" w:after="120"/>
              <w:jc w:val="both"/>
              <w:rPr>
                <w:rFonts w:ascii="Aptos" w:eastAsia="Calibri" w:hAnsi="Aptos" w:cstheme="minorHAnsi"/>
              </w:rPr>
            </w:pPr>
            <w:r w:rsidRPr="00A015E4">
              <w:rPr>
                <w:rFonts w:ascii="Aptos" w:eastAsia="Calibri" w:hAnsi="Aptos" w:cstheme="minorHAnsi"/>
              </w:rPr>
              <w:t>Plant die EU-Kommission eine EU-weite Kampagne, um zum Thema Gewalt am Arbeitsplatz zu sensibilisieren und aufzuklären?</w:t>
            </w:r>
          </w:p>
          <w:p w14:paraId="0F05AF02" w14:textId="77777777" w:rsidR="00623AF8" w:rsidRPr="00A015E4" w:rsidRDefault="00623AF8" w:rsidP="00F63BE8">
            <w:pPr>
              <w:pStyle w:val="Listenabsatz"/>
              <w:numPr>
                <w:ilvl w:val="0"/>
                <w:numId w:val="71"/>
              </w:numPr>
              <w:spacing w:before="120" w:after="120"/>
              <w:jc w:val="both"/>
              <w:rPr>
                <w:rFonts w:ascii="Aptos" w:eastAsia="Calibri" w:hAnsi="Aptos" w:cstheme="minorHAnsi"/>
              </w:rPr>
            </w:pPr>
            <w:r w:rsidRPr="00A015E4">
              <w:rPr>
                <w:rFonts w:ascii="Aptos" w:eastAsia="Calibri" w:hAnsi="Aptos" w:cstheme="minorHAnsi"/>
              </w:rPr>
              <w:t>Was unternimmt die Kommission zur weiteren Bekämpfung von Gewalt, Diskriminierung und sexueller Belästigung im Allgemeinen?</w:t>
            </w:r>
          </w:p>
        </w:tc>
      </w:tr>
    </w:tbl>
    <w:p w14:paraId="6D936B3F" w14:textId="77777777" w:rsidR="00623AF8" w:rsidRPr="00AC6F52" w:rsidRDefault="00623AF8" w:rsidP="00623AF8">
      <w:pPr>
        <w:spacing w:after="120"/>
        <w:jc w:val="both"/>
        <w:rPr>
          <w:rFonts w:ascii="Aptos" w:eastAsia="Calibri" w:hAnsi="Aptos" w:cstheme="minorHAnsi"/>
          <w:i/>
          <w:iCs/>
          <w:u w:val="single"/>
        </w:rPr>
      </w:pPr>
    </w:p>
    <w:tbl>
      <w:tblPr>
        <w:tblStyle w:val="Tabellenraster"/>
        <w:tblW w:w="0" w:type="auto"/>
        <w:tblLook w:val="04A0" w:firstRow="1" w:lastRow="0" w:firstColumn="1" w:lastColumn="0" w:noHBand="0" w:noVBand="1"/>
      </w:tblPr>
      <w:tblGrid>
        <w:gridCol w:w="9060"/>
      </w:tblGrid>
      <w:tr w:rsidR="00623AF8" w14:paraId="798AA1CF" w14:textId="77777777" w:rsidTr="00875DD0">
        <w:tc>
          <w:tcPr>
            <w:tcW w:w="9060" w:type="dxa"/>
            <w:tcBorders>
              <w:top w:val="nil"/>
              <w:left w:val="nil"/>
              <w:bottom w:val="nil"/>
              <w:right w:val="nil"/>
            </w:tcBorders>
            <w:shd w:val="clear" w:color="auto" w:fill="D9D9D9" w:themeFill="background1" w:themeFillShade="D9"/>
          </w:tcPr>
          <w:p w14:paraId="4B864825" w14:textId="77777777" w:rsidR="00623AF8" w:rsidRDefault="00623AF8" w:rsidP="00875DD0">
            <w:pPr>
              <w:jc w:val="both"/>
              <w:rPr>
                <w:rFonts w:ascii="Aptos" w:eastAsia="Calibri" w:hAnsi="Aptos" w:cstheme="minorHAnsi"/>
                <w:b/>
                <w:iCs/>
              </w:rPr>
            </w:pPr>
            <w:r w:rsidRPr="005A018F">
              <w:rPr>
                <w:rFonts w:ascii="Aptos" w:hAnsi="Aptos"/>
                <w:b/>
                <w:bCs/>
                <w:sz w:val="22"/>
                <w:szCs w:val="22"/>
              </w:rPr>
              <w:t>Hintergrund</w:t>
            </w:r>
          </w:p>
        </w:tc>
      </w:tr>
    </w:tbl>
    <w:p w14:paraId="566E7164" w14:textId="77777777" w:rsidR="00623AF8" w:rsidRPr="00AC6F52" w:rsidRDefault="00623AF8" w:rsidP="00623AF8">
      <w:pPr>
        <w:jc w:val="both"/>
        <w:rPr>
          <w:rFonts w:ascii="Aptos" w:hAnsi="Aptos" w:cstheme="minorHAnsi"/>
        </w:rPr>
      </w:pPr>
      <w:r w:rsidRPr="00AC6F52">
        <w:rPr>
          <w:rFonts w:ascii="Aptos" w:hAnsi="Aptos" w:cstheme="minorHAnsi"/>
        </w:rPr>
        <w:t xml:space="preserve">Das </w:t>
      </w:r>
      <w:r w:rsidRPr="002B1466">
        <w:rPr>
          <w:rFonts w:ascii="Aptos" w:hAnsi="Aptos" w:cstheme="minorHAnsi"/>
          <w:i/>
          <w:iCs/>
        </w:rPr>
        <w:t>ILO 190 Übereinkommen</w:t>
      </w:r>
      <w:r>
        <w:rPr>
          <w:rStyle w:val="Funotenzeichen"/>
          <w:rFonts w:ascii="Aptos" w:hAnsi="Aptos" w:cstheme="minorHAnsi"/>
          <w:i/>
          <w:iCs/>
        </w:rPr>
        <w:footnoteReference w:id="47"/>
      </w:r>
      <w:r w:rsidRPr="00AC6F52">
        <w:rPr>
          <w:rFonts w:ascii="Aptos" w:hAnsi="Aptos" w:cstheme="minorHAnsi"/>
        </w:rPr>
        <w:t xml:space="preserve"> setzt weltweit ein klares Zeichen, damit jegliches Verhalten, das Menschen im Arbeits</w:t>
      </w:r>
      <w:r w:rsidRPr="00AC6F52">
        <w:rPr>
          <w:rFonts w:ascii="Aptos" w:hAnsi="Aptos" w:cstheme="minorHAnsi"/>
        </w:rPr>
        <w:softHyphen/>
        <w:t>umfeld herabsetzt, demütigt, sexuell belästigt oder auch physisch beziehungsweise psychisch angreift, verboten und damit auch geächtet wird. Das Übereinkommen ist weltweit das erste dieser Art, das Arbeit</w:t>
      </w:r>
      <w:r w:rsidRPr="00AC6F52">
        <w:rPr>
          <w:rFonts w:ascii="Aptos" w:hAnsi="Aptos" w:cstheme="minorHAnsi"/>
        </w:rPr>
        <w:softHyphen/>
        <w:t>nehmer:</w:t>
      </w:r>
      <w:r w:rsidRPr="00AC6F52">
        <w:rPr>
          <w:rFonts w:ascii="Aptos" w:hAnsi="Aptos" w:cstheme="minorHAnsi"/>
        </w:rPr>
        <w:softHyphen/>
        <w:t>innen sowie andere Personen in der Arbeits</w:t>
      </w:r>
      <w:r w:rsidRPr="00AC6F52">
        <w:rPr>
          <w:rFonts w:ascii="Aptos" w:hAnsi="Aptos" w:cstheme="minorHAnsi"/>
        </w:rPr>
        <w:softHyphen/>
        <w:t>welt weitreichenden Schutz vor Gewalt und Belästigung bietet. Ebenso geschützt sind natürliche Personen, die die Befugnisse, Pflichten oder Verantwortlichkeiten einer Arbeitgeberin oder eines Arbeitgebers ausüben.</w:t>
      </w:r>
    </w:p>
    <w:p w14:paraId="6600F872" w14:textId="77777777" w:rsidR="00623AF8" w:rsidRDefault="00623AF8" w:rsidP="00623AF8">
      <w:pPr>
        <w:rPr>
          <w:rFonts w:ascii="Aptos" w:hAnsi="Aptos"/>
          <w:bCs/>
          <w:sz w:val="22"/>
          <w:szCs w:val="22"/>
        </w:rPr>
      </w:pPr>
    </w:p>
    <w:p w14:paraId="4E481590" w14:textId="77777777" w:rsidR="00623AF8" w:rsidRDefault="00623AF8" w:rsidP="00623AF8">
      <w:pPr>
        <w:rPr>
          <w:rFonts w:ascii="Aptos" w:hAnsi="Aptos"/>
          <w:bCs/>
          <w:sz w:val="22"/>
          <w:szCs w:val="22"/>
        </w:rPr>
      </w:pPr>
    </w:p>
    <w:p w14:paraId="3E702196" w14:textId="77777777" w:rsidR="00623AF8" w:rsidRDefault="00623AF8" w:rsidP="00623AF8">
      <w:pPr>
        <w:rPr>
          <w:rFonts w:ascii="Aptos" w:hAnsi="Aptos"/>
          <w:bCs/>
          <w:sz w:val="22"/>
          <w:szCs w:val="22"/>
        </w:rPr>
      </w:pPr>
    </w:p>
    <w:p w14:paraId="6EC53D06" w14:textId="77777777" w:rsidR="00623AF8" w:rsidRDefault="00623AF8" w:rsidP="00623AF8">
      <w:pPr>
        <w:rPr>
          <w:rFonts w:ascii="Aptos" w:hAnsi="Aptos"/>
          <w:bCs/>
          <w:sz w:val="22"/>
          <w:szCs w:val="22"/>
        </w:rPr>
      </w:pPr>
    </w:p>
    <w:p w14:paraId="1FC2FE9A" w14:textId="77777777" w:rsidR="00623AF8" w:rsidRDefault="00623AF8" w:rsidP="00623AF8">
      <w:pPr>
        <w:rPr>
          <w:rFonts w:ascii="Aptos" w:hAnsi="Aptos"/>
          <w:bCs/>
          <w:sz w:val="22"/>
          <w:szCs w:val="22"/>
        </w:rPr>
      </w:pPr>
    </w:p>
    <w:p w14:paraId="16AE1152" w14:textId="77777777" w:rsidR="00623AF8" w:rsidRDefault="00623AF8" w:rsidP="00623AF8">
      <w:pPr>
        <w:rPr>
          <w:rFonts w:ascii="Aptos" w:hAnsi="Aptos"/>
          <w:bCs/>
          <w:sz w:val="22"/>
          <w:szCs w:val="22"/>
        </w:rPr>
      </w:pPr>
    </w:p>
    <w:p w14:paraId="2EDB332F" w14:textId="77777777" w:rsidR="00623AF8" w:rsidRDefault="00623AF8" w:rsidP="00623AF8">
      <w:pPr>
        <w:rPr>
          <w:rFonts w:ascii="Aptos" w:hAnsi="Aptos"/>
          <w:bCs/>
          <w:sz w:val="22"/>
          <w:szCs w:val="22"/>
        </w:rPr>
      </w:pPr>
    </w:p>
    <w:p w14:paraId="2A4754FD" w14:textId="77777777" w:rsidR="00623AF8" w:rsidRDefault="00623AF8" w:rsidP="00623AF8">
      <w:pPr>
        <w:rPr>
          <w:rFonts w:ascii="Aptos" w:hAnsi="Aptos"/>
          <w:bCs/>
          <w:sz w:val="22"/>
          <w:szCs w:val="22"/>
        </w:rPr>
      </w:pPr>
    </w:p>
    <w:p w14:paraId="0D942942" w14:textId="77777777" w:rsidR="00623AF8" w:rsidRDefault="00623AF8" w:rsidP="00623AF8">
      <w:pPr>
        <w:rPr>
          <w:rFonts w:ascii="Aptos" w:hAnsi="Aptos"/>
          <w:bCs/>
          <w:sz w:val="22"/>
          <w:szCs w:val="22"/>
        </w:rPr>
      </w:pPr>
    </w:p>
    <w:p w14:paraId="07FF7710" w14:textId="77777777" w:rsidR="00623AF8" w:rsidRDefault="00623AF8" w:rsidP="00623AF8">
      <w:pPr>
        <w:rPr>
          <w:rFonts w:ascii="Aptos" w:hAnsi="Aptos"/>
          <w:bCs/>
          <w:sz w:val="22"/>
          <w:szCs w:val="22"/>
        </w:rPr>
      </w:pPr>
    </w:p>
    <w:p w14:paraId="6E87491F" w14:textId="77777777" w:rsidR="00623AF8" w:rsidRDefault="00623AF8" w:rsidP="00623AF8">
      <w:pPr>
        <w:rPr>
          <w:rFonts w:ascii="Aptos" w:hAnsi="Aptos"/>
          <w:bCs/>
          <w:sz w:val="22"/>
          <w:szCs w:val="22"/>
        </w:rPr>
      </w:pPr>
    </w:p>
    <w:p w14:paraId="1252098A" w14:textId="77777777" w:rsidR="00594939" w:rsidRDefault="00594939"/>
    <w:sectPr w:rsidR="0059493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857366" w14:textId="77777777" w:rsidR="0028740E" w:rsidRDefault="0028740E" w:rsidP="00623AF8">
      <w:r>
        <w:separator/>
      </w:r>
    </w:p>
  </w:endnote>
  <w:endnote w:type="continuationSeparator" w:id="0">
    <w:p w14:paraId="635DA2B1" w14:textId="77777777" w:rsidR="0028740E" w:rsidRDefault="0028740E" w:rsidP="00623A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Europa Austria">
    <w:altName w:val="Calibri"/>
    <w:charset w:val="00"/>
    <w:family w:val="swiss"/>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ngXian Light">
    <w:charset w:val="86"/>
    <w:family w:val="auto"/>
    <w:pitch w:val="variable"/>
    <w:sig w:usb0="A00002BF" w:usb1="38CF7CFA" w:usb2="00000016" w:usb3="00000000" w:csb0="0004000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2245D8" w14:textId="77777777" w:rsidR="00A66104" w:rsidRDefault="00A6610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3DBBB4" w14:textId="77777777" w:rsidR="00623AF8" w:rsidRPr="0079595E" w:rsidRDefault="00623AF8" w:rsidP="00660A69">
    <w:pPr>
      <w:pStyle w:val="Fuzeile"/>
      <w:rPr>
        <w:rFonts w:ascii="Aptos" w:hAnsi="Aptos"/>
        <w:color w:val="A6A6A6" w:themeColor="background1" w:themeShade="A6"/>
        <w:sz w:val="18"/>
        <w:szCs w:val="18"/>
        <w:lang w:val="en-US"/>
      </w:rPr>
    </w:pPr>
    <w:r w:rsidRPr="007A1DB2">
      <w:rPr>
        <w:sz w:val="22"/>
        <w:szCs w:val="22"/>
      </w:rPr>
      <w:tab/>
    </w:r>
    <w:r w:rsidRPr="007A1DB2">
      <w:rPr>
        <w:sz w:val="22"/>
        <w:szCs w:val="22"/>
      </w:rPr>
      <w:tab/>
    </w:r>
  </w:p>
  <w:p w14:paraId="1156AD07" w14:textId="77777777" w:rsidR="00623AF8" w:rsidRPr="00A5322B" w:rsidRDefault="00623AF8" w:rsidP="009D4B62">
    <w:pPr>
      <w:pStyle w:val="Fuzeile"/>
      <w:rPr>
        <w:rFonts w:ascii="Aptos" w:hAnsi="Aptos"/>
        <w:color w:val="808080" w:themeColor="background1" w:themeShade="80"/>
        <w:sz w:val="18"/>
        <w:szCs w:val="18"/>
        <w:lang w:val="en-US"/>
      </w:rPr>
    </w:pPr>
    <w:r w:rsidRPr="0079595E">
      <w:rPr>
        <w:rFonts w:ascii="Aptos" w:hAnsi="Aptos"/>
        <w:color w:val="808080" w:themeColor="background1" w:themeShade="80"/>
        <w:sz w:val="18"/>
        <w:szCs w:val="18"/>
        <w:lang w:val="en-US"/>
      </w:rPr>
      <w:tab/>
    </w:r>
    <w:r w:rsidRPr="007A1DB2">
      <w:rPr>
        <w:rFonts w:ascii="Aptos" w:hAnsi="Aptos"/>
        <w:color w:val="808080" w:themeColor="background1" w:themeShade="80"/>
        <w:sz w:val="18"/>
        <w:szCs w:val="18"/>
      </w:rPr>
      <w:fldChar w:fldCharType="begin"/>
    </w:r>
    <w:r w:rsidRPr="00A5322B">
      <w:rPr>
        <w:rFonts w:ascii="Aptos" w:hAnsi="Aptos"/>
        <w:color w:val="808080" w:themeColor="background1" w:themeShade="80"/>
        <w:sz w:val="18"/>
        <w:szCs w:val="18"/>
        <w:lang w:val="en-US"/>
      </w:rPr>
      <w:instrText>PAGE   \* MERGEFORMAT</w:instrText>
    </w:r>
    <w:r w:rsidRPr="007A1DB2">
      <w:rPr>
        <w:rFonts w:ascii="Aptos" w:hAnsi="Aptos"/>
        <w:color w:val="808080" w:themeColor="background1" w:themeShade="80"/>
        <w:sz w:val="18"/>
        <w:szCs w:val="18"/>
      </w:rPr>
      <w:fldChar w:fldCharType="separate"/>
    </w:r>
    <w:r w:rsidRPr="00A5322B">
      <w:rPr>
        <w:rFonts w:ascii="Aptos" w:hAnsi="Aptos"/>
        <w:color w:val="808080" w:themeColor="background1" w:themeShade="80"/>
        <w:sz w:val="18"/>
        <w:szCs w:val="18"/>
        <w:lang w:val="en-US"/>
      </w:rPr>
      <w:t>23</w:t>
    </w:r>
    <w:r w:rsidRPr="007A1DB2">
      <w:rPr>
        <w:rFonts w:ascii="Aptos" w:hAnsi="Aptos"/>
        <w:color w:val="808080" w:themeColor="background1" w:themeShade="80"/>
        <w:sz w:val="18"/>
        <w:szCs w:val="18"/>
      </w:rPr>
      <w:fldChar w:fldCharType="end"/>
    </w:r>
    <w:r w:rsidRPr="00A5322B">
      <w:rPr>
        <w:rFonts w:ascii="Aptos" w:hAnsi="Aptos"/>
        <w:color w:val="808080" w:themeColor="background1" w:themeShade="80"/>
        <w:sz w:val="18"/>
        <w:szCs w:val="18"/>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0A090A" w14:textId="77777777" w:rsidR="00A66104" w:rsidRDefault="00A66104">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848A19" w14:textId="58B31779" w:rsidR="00D45823" w:rsidRPr="00C57722" w:rsidRDefault="00623AF8" w:rsidP="00D45823">
    <w:pPr>
      <w:tabs>
        <w:tab w:val="center" w:pos="4536"/>
        <w:tab w:val="right" w:pos="9072"/>
      </w:tabs>
      <w:rPr>
        <w:color w:val="808080" w:themeColor="background1" w:themeShade="80"/>
        <w:sz w:val="22"/>
        <w:szCs w:val="22"/>
        <w:lang w:val="en-GB"/>
      </w:rPr>
    </w:pPr>
    <w:r w:rsidRPr="009D4B62">
      <w:rPr>
        <w:sz w:val="22"/>
        <w:szCs w:val="22"/>
        <w:lang w:val="en-GB"/>
      </w:rPr>
      <w:tab/>
    </w:r>
    <w:r w:rsidRPr="009D4B62">
      <w:rPr>
        <w:sz w:val="22"/>
        <w:szCs w:val="22"/>
        <w:lang w:val="en-GB"/>
      </w:rPr>
      <w:tab/>
    </w:r>
    <w:r w:rsidR="00D45823" w:rsidRPr="00C57722">
      <w:rPr>
        <w:rFonts w:ascii="Aptos" w:hAnsi="Aptos"/>
        <w:color w:val="808080" w:themeColor="background1" w:themeShade="80"/>
        <w:sz w:val="18"/>
        <w:szCs w:val="18"/>
        <w:lang w:val="en-GB"/>
      </w:rPr>
      <w:t>For any inquiries please contact:</w:t>
    </w:r>
  </w:p>
  <w:p w14:paraId="6EB2D272" w14:textId="5EA1C699" w:rsidR="00D45823" w:rsidRPr="00C57722" w:rsidRDefault="00D45823" w:rsidP="00D45823">
    <w:pPr>
      <w:tabs>
        <w:tab w:val="center" w:pos="4536"/>
        <w:tab w:val="right" w:pos="9072"/>
      </w:tabs>
      <w:rPr>
        <w:rFonts w:ascii="Aptos" w:hAnsi="Aptos"/>
        <w:color w:val="808080" w:themeColor="background1" w:themeShade="80"/>
        <w:sz w:val="18"/>
        <w:szCs w:val="18"/>
        <w:lang w:val="en-GB"/>
      </w:rPr>
    </w:pPr>
    <w:r w:rsidRPr="00C57722">
      <w:rPr>
        <w:rFonts w:ascii="Aptos" w:hAnsi="Aptos"/>
        <w:color w:val="808080" w:themeColor="background1" w:themeShade="80"/>
        <w:sz w:val="18"/>
        <w:szCs w:val="18"/>
        <w:lang w:val="en-GB"/>
      </w:rPr>
      <w:tab/>
    </w:r>
    <w:r w:rsidRPr="00C57722">
      <w:rPr>
        <w:rFonts w:ascii="Aptos" w:hAnsi="Aptos"/>
        <w:color w:val="808080" w:themeColor="background1" w:themeShade="80"/>
        <w:sz w:val="18"/>
        <w:szCs w:val="18"/>
        <w:lang w:val="en-GB"/>
      </w:rPr>
      <w:tab/>
    </w:r>
    <w:r w:rsidR="00C57722" w:rsidRPr="00C57722">
      <w:rPr>
        <w:rFonts w:ascii="Aptos" w:hAnsi="Aptos"/>
        <w:color w:val="808080" w:themeColor="background1" w:themeShade="80"/>
        <w:sz w:val="18"/>
        <w:szCs w:val="18"/>
        <w:lang w:val="en-GB"/>
      </w:rPr>
      <w:t>Virginia Hagn</w:t>
    </w:r>
  </w:p>
  <w:p w14:paraId="49608871" w14:textId="061688E1" w:rsidR="00623AF8" w:rsidRPr="00C57722" w:rsidRDefault="00D45823" w:rsidP="00D45823">
    <w:pPr>
      <w:tabs>
        <w:tab w:val="center" w:pos="4536"/>
        <w:tab w:val="right" w:pos="9072"/>
      </w:tabs>
      <w:rPr>
        <w:rFonts w:ascii="Aptos" w:hAnsi="Aptos"/>
        <w:color w:val="808080" w:themeColor="background1" w:themeShade="80"/>
        <w:sz w:val="18"/>
        <w:szCs w:val="18"/>
        <w:lang w:val="en-GB"/>
      </w:rPr>
    </w:pPr>
    <w:r w:rsidRPr="00C57722">
      <w:rPr>
        <w:rFonts w:ascii="Aptos" w:hAnsi="Aptos"/>
        <w:color w:val="808080" w:themeColor="background1" w:themeShade="80"/>
        <w:sz w:val="18"/>
        <w:szCs w:val="18"/>
        <w:lang w:val="en-GB"/>
      </w:rPr>
      <w:tab/>
    </w:r>
    <w:r w:rsidRPr="00C57722">
      <w:rPr>
        <w:rFonts w:ascii="Aptos" w:hAnsi="Aptos"/>
        <w:color w:val="808080" w:themeColor="background1" w:themeShade="80"/>
        <w:sz w:val="18"/>
        <w:szCs w:val="18"/>
        <w:lang w:val="en-GB"/>
      </w:rPr>
      <w:tab/>
    </w:r>
    <w:hyperlink r:id="rId1" w:history="1">
      <w:r w:rsidR="00C57722" w:rsidRPr="00C57722">
        <w:rPr>
          <w:rStyle w:val="Hyperlink"/>
          <w:rFonts w:ascii="Aptos" w:hAnsi="Aptos"/>
          <w:color w:val="808080" w:themeColor="background1" w:themeShade="80"/>
          <w:sz w:val="18"/>
          <w:szCs w:val="18"/>
          <w:lang w:val="en-GB"/>
        </w:rPr>
        <w:t>virginia.hagn@voewg.at</w:t>
      </w:r>
    </w:hyperlink>
  </w:p>
  <w:p w14:paraId="175F231B" w14:textId="274387C1" w:rsidR="00623AF8" w:rsidRPr="00100495" w:rsidRDefault="00623AF8" w:rsidP="00100495">
    <w:pPr>
      <w:tabs>
        <w:tab w:val="center" w:pos="4536"/>
        <w:tab w:val="right" w:pos="9072"/>
      </w:tabs>
      <w:rPr>
        <w:rFonts w:ascii="Aptos" w:hAnsi="Aptos"/>
        <w:color w:val="808080" w:themeColor="background1" w:themeShade="80"/>
        <w:sz w:val="18"/>
        <w:szCs w:val="18"/>
        <w:lang w:val="en-GB"/>
      </w:rPr>
    </w:pPr>
    <w:r w:rsidRPr="00C57722">
      <w:rPr>
        <w:rFonts w:ascii="Aptos" w:hAnsi="Aptos"/>
        <w:color w:val="808080" w:themeColor="background1" w:themeShade="80"/>
        <w:sz w:val="18"/>
        <w:szCs w:val="18"/>
        <w:lang w:val="en-GB"/>
      </w:rPr>
      <w:tab/>
    </w:r>
    <w:r w:rsidRPr="00C57722">
      <w:rPr>
        <w:rFonts w:ascii="Aptos" w:hAnsi="Aptos"/>
        <w:color w:val="808080" w:themeColor="background1" w:themeShade="80"/>
        <w:sz w:val="18"/>
        <w:szCs w:val="18"/>
      </w:rPr>
      <w:fldChar w:fldCharType="begin"/>
    </w:r>
    <w:r w:rsidRPr="00C57722">
      <w:rPr>
        <w:rFonts w:ascii="Aptos" w:hAnsi="Aptos"/>
        <w:color w:val="808080" w:themeColor="background1" w:themeShade="80"/>
        <w:sz w:val="18"/>
        <w:szCs w:val="18"/>
        <w:lang w:val="en-GB"/>
      </w:rPr>
      <w:instrText>PAGE   \* MERGEFORMAT</w:instrText>
    </w:r>
    <w:r w:rsidRPr="00C57722">
      <w:rPr>
        <w:rFonts w:ascii="Aptos" w:hAnsi="Aptos"/>
        <w:color w:val="808080" w:themeColor="background1" w:themeShade="80"/>
        <w:sz w:val="18"/>
        <w:szCs w:val="18"/>
      </w:rPr>
      <w:fldChar w:fldCharType="separate"/>
    </w:r>
    <w:r w:rsidRPr="00C57722">
      <w:rPr>
        <w:rFonts w:ascii="Aptos" w:hAnsi="Aptos"/>
        <w:color w:val="808080" w:themeColor="background1" w:themeShade="80"/>
        <w:sz w:val="18"/>
        <w:szCs w:val="18"/>
        <w:lang w:val="en-US"/>
      </w:rPr>
      <w:t>23</w:t>
    </w:r>
    <w:r w:rsidRPr="00C57722">
      <w:rPr>
        <w:rFonts w:ascii="Aptos" w:hAnsi="Aptos"/>
        <w:color w:val="808080" w:themeColor="background1" w:themeShade="80"/>
        <w:sz w:val="18"/>
        <w:szCs w:val="18"/>
      </w:rPr>
      <w:fldChar w:fldCharType="end"/>
    </w:r>
    <w:r w:rsidRPr="00C57722">
      <w:rPr>
        <w:rFonts w:ascii="Aptos" w:hAnsi="Aptos"/>
        <w:color w:val="808080" w:themeColor="background1" w:themeShade="80"/>
        <w:sz w:val="18"/>
        <w:szCs w:val="18"/>
        <w:lang w:val="en-GB"/>
      </w:rPr>
      <w:tab/>
    </w:r>
    <w:r w:rsidR="00D45823" w:rsidRPr="00C57722">
      <w:rPr>
        <w:rFonts w:ascii="Aptos" w:hAnsi="Aptos"/>
        <w:color w:val="808080" w:themeColor="background1" w:themeShade="80"/>
        <w:sz w:val="18"/>
        <w:szCs w:val="18"/>
        <w:lang w:val="en-GB"/>
      </w:rPr>
      <w:t>+43 1 408 2202-</w:t>
    </w:r>
    <w:r w:rsidR="00C57722">
      <w:rPr>
        <w:rFonts w:ascii="Aptos" w:hAnsi="Aptos"/>
        <w:color w:val="808080" w:themeColor="background1" w:themeShade="80"/>
        <w:sz w:val="18"/>
        <w:szCs w:val="18"/>
        <w:lang w:val="en-GB"/>
      </w:rPr>
      <w:t>20</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1F217" w14:textId="77777777" w:rsidR="00623AF8" w:rsidRDefault="00623AF8">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170ED4" w14:textId="77777777" w:rsidR="00100495" w:rsidRPr="00C57722" w:rsidRDefault="00100495" w:rsidP="00100495">
    <w:pPr>
      <w:tabs>
        <w:tab w:val="center" w:pos="4536"/>
        <w:tab w:val="right" w:pos="9072"/>
      </w:tabs>
      <w:rPr>
        <w:color w:val="808080" w:themeColor="background1" w:themeShade="80"/>
        <w:sz w:val="22"/>
        <w:szCs w:val="22"/>
        <w:lang w:val="en-GB"/>
      </w:rPr>
    </w:pPr>
    <w:r w:rsidRPr="009D4B62">
      <w:rPr>
        <w:sz w:val="22"/>
        <w:szCs w:val="22"/>
        <w:lang w:val="en-GB"/>
      </w:rPr>
      <w:tab/>
    </w:r>
    <w:r w:rsidRPr="009D4B62">
      <w:rPr>
        <w:sz w:val="22"/>
        <w:szCs w:val="22"/>
        <w:lang w:val="en-GB"/>
      </w:rPr>
      <w:tab/>
    </w:r>
    <w:r w:rsidRPr="00C57722">
      <w:rPr>
        <w:rFonts w:ascii="Aptos" w:hAnsi="Aptos"/>
        <w:color w:val="808080" w:themeColor="background1" w:themeShade="80"/>
        <w:sz w:val="18"/>
        <w:szCs w:val="18"/>
        <w:lang w:val="en-GB"/>
      </w:rPr>
      <w:t>For any inquiries please contact:</w:t>
    </w:r>
  </w:p>
  <w:p w14:paraId="3EA0E290" w14:textId="77777777" w:rsidR="00100495" w:rsidRPr="00C57722" w:rsidRDefault="00100495" w:rsidP="00100495">
    <w:pPr>
      <w:tabs>
        <w:tab w:val="center" w:pos="4536"/>
        <w:tab w:val="right" w:pos="9072"/>
      </w:tabs>
      <w:rPr>
        <w:rFonts w:ascii="Aptos" w:hAnsi="Aptos"/>
        <w:color w:val="808080" w:themeColor="background1" w:themeShade="80"/>
        <w:sz w:val="18"/>
        <w:szCs w:val="18"/>
        <w:lang w:val="en-GB"/>
      </w:rPr>
    </w:pPr>
    <w:r w:rsidRPr="00C57722">
      <w:rPr>
        <w:rFonts w:ascii="Aptos" w:hAnsi="Aptos"/>
        <w:color w:val="808080" w:themeColor="background1" w:themeShade="80"/>
        <w:sz w:val="18"/>
        <w:szCs w:val="18"/>
        <w:lang w:val="en-GB"/>
      </w:rPr>
      <w:tab/>
    </w:r>
    <w:r w:rsidRPr="00C57722">
      <w:rPr>
        <w:rFonts w:ascii="Aptos" w:hAnsi="Aptos"/>
        <w:color w:val="808080" w:themeColor="background1" w:themeShade="80"/>
        <w:sz w:val="18"/>
        <w:szCs w:val="18"/>
        <w:lang w:val="en-GB"/>
      </w:rPr>
      <w:tab/>
      <w:t>Virginia Hagn</w:t>
    </w:r>
  </w:p>
  <w:p w14:paraId="3D20786B" w14:textId="77777777" w:rsidR="00100495" w:rsidRPr="00C57722" w:rsidRDefault="00100495" w:rsidP="00100495">
    <w:pPr>
      <w:tabs>
        <w:tab w:val="center" w:pos="4536"/>
        <w:tab w:val="right" w:pos="9072"/>
      </w:tabs>
      <w:rPr>
        <w:rFonts w:ascii="Aptos" w:hAnsi="Aptos"/>
        <w:color w:val="808080" w:themeColor="background1" w:themeShade="80"/>
        <w:sz w:val="18"/>
        <w:szCs w:val="18"/>
        <w:lang w:val="en-GB"/>
      </w:rPr>
    </w:pPr>
    <w:r w:rsidRPr="00C57722">
      <w:rPr>
        <w:rFonts w:ascii="Aptos" w:hAnsi="Aptos"/>
        <w:color w:val="808080" w:themeColor="background1" w:themeShade="80"/>
        <w:sz w:val="18"/>
        <w:szCs w:val="18"/>
        <w:lang w:val="en-GB"/>
      </w:rPr>
      <w:tab/>
    </w:r>
    <w:r w:rsidRPr="00C57722">
      <w:rPr>
        <w:rFonts w:ascii="Aptos" w:hAnsi="Aptos"/>
        <w:color w:val="808080" w:themeColor="background1" w:themeShade="80"/>
        <w:sz w:val="18"/>
        <w:szCs w:val="18"/>
        <w:lang w:val="en-GB"/>
      </w:rPr>
      <w:tab/>
    </w:r>
    <w:hyperlink r:id="rId1" w:history="1">
      <w:r w:rsidRPr="00C57722">
        <w:rPr>
          <w:rStyle w:val="Hyperlink"/>
          <w:rFonts w:ascii="Aptos" w:hAnsi="Aptos"/>
          <w:color w:val="808080" w:themeColor="background1" w:themeShade="80"/>
          <w:sz w:val="18"/>
          <w:szCs w:val="18"/>
          <w:lang w:val="en-GB"/>
        </w:rPr>
        <w:t>virginia.hagn@voewg.at</w:t>
      </w:r>
    </w:hyperlink>
  </w:p>
  <w:p w14:paraId="6615C2C1" w14:textId="6BDD639E" w:rsidR="00100495" w:rsidRPr="00100495" w:rsidRDefault="00100495" w:rsidP="00100495">
    <w:pPr>
      <w:tabs>
        <w:tab w:val="center" w:pos="4536"/>
        <w:tab w:val="right" w:pos="9072"/>
      </w:tabs>
      <w:rPr>
        <w:rFonts w:ascii="Aptos" w:hAnsi="Aptos"/>
        <w:color w:val="808080" w:themeColor="background1" w:themeShade="80"/>
        <w:sz w:val="18"/>
        <w:szCs w:val="18"/>
        <w:lang w:val="en-GB"/>
      </w:rPr>
    </w:pPr>
    <w:r w:rsidRPr="00C57722">
      <w:rPr>
        <w:rFonts w:ascii="Aptos" w:hAnsi="Aptos"/>
        <w:color w:val="808080" w:themeColor="background1" w:themeShade="80"/>
        <w:sz w:val="18"/>
        <w:szCs w:val="18"/>
        <w:lang w:val="en-GB"/>
      </w:rPr>
      <w:tab/>
    </w:r>
    <w:r w:rsidRPr="00C57722">
      <w:rPr>
        <w:rFonts w:ascii="Aptos" w:hAnsi="Aptos"/>
        <w:color w:val="808080" w:themeColor="background1" w:themeShade="80"/>
        <w:sz w:val="18"/>
        <w:szCs w:val="18"/>
      </w:rPr>
      <w:fldChar w:fldCharType="begin"/>
    </w:r>
    <w:r w:rsidRPr="00C57722">
      <w:rPr>
        <w:rFonts w:ascii="Aptos" w:hAnsi="Aptos"/>
        <w:color w:val="808080" w:themeColor="background1" w:themeShade="80"/>
        <w:sz w:val="18"/>
        <w:szCs w:val="18"/>
        <w:lang w:val="en-GB"/>
      </w:rPr>
      <w:instrText>PAGE   \* MERGEFORMAT</w:instrText>
    </w:r>
    <w:r w:rsidRPr="00C57722">
      <w:rPr>
        <w:rFonts w:ascii="Aptos" w:hAnsi="Aptos"/>
        <w:color w:val="808080" w:themeColor="background1" w:themeShade="80"/>
        <w:sz w:val="18"/>
        <w:szCs w:val="18"/>
      </w:rPr>
      <w:fldChar w:fldCharType="separate"/>
    </w:r>
    <w:r>
      <w:rPr>
        <w:rFonts w:ascii="Aptos" w:hAnsi="Aptos"/>
        <w:color w:val="808080" w:themeColor="background1" w:themeShade="80"/>
        <w:sz w:val="18"/>
        <w:szCs w:val="18"/>
      </w:rPr>
      <w:t>28</w:t>
    </w:r>
    <w:r w:rsidRPr="00C57722">
      <w:rPr>
        <w:rFonts w:ascii="Aptos" w:hAnsi="Aptos"/>
        <w:color w:val="808080" w:themeColor="background1" w:themeShade="80"/>
        <w:sz w:val="18"/>
        <w:szCs w:val="18"/>
      </w:rPr>
      <w:fldChar w:fldCharType="end"/>
    </w:r>
    <w:r w:rsidRPr="00C57722">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20</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5DA02B" w14:textId="77777777" w:rsidR="00100495" w:rsidRPr="00C57722" w:rsidRDefault="00100495" w:rsidP="00100495">
    <w:pPr>
      <w:tabs>
        <w:tab w:val="center" w:pos="4536"/>
        <w:tab w:val="right" w:pos="9072"/>
      </w:tabs>
      <w:rPr>
        <w:color w:val="808080" w:themeColor="background1" w:themeShade="80"/>
        <w:sz w:val="22"/>
        <w:szCs w:val="22"/>
        <w:lang w:val="en-GB"/>
      </w:rPr>
    </w:pPr>
    <w:r w:rsidRPr="009D4B62">
      <w:rPr>
        <w:sz w:val="22"/>
        <w:szCs w:val="22"/>
        <w:lang w:val="en-GB"/>
      </w:rPr>
      <w:tab/>
    </w:r>
    <w:r w:rsidRPr="009D4B62">
      <w:rPr>
        <w:sz w:val="22"/>
        <w:szCs w:val="22"/>
        <w:lang w:val="en-GB"/>
      </w:rPr>
      <w:tab/>
    </w:r>
    <w:r w:rsidRPr="00C57722">
      <w:rPr>
        <w:rFonts w:ascii="Aptos" w:hAnsi="Aptos"/>
        <w:color w:val="808080" w:themeColor="background1" w:themeShade="80"/>
        <w:sz w:val="18"/>
        <w:szCs w:val="18"/>
        <w:lang w:val="en-GB"/>
      </w:rPr>
      <w:t>For any inquiries please contact:</w:t>
    </w:r>
  </w:p>
  <w:p w14:paraId="55D682B0" w14:textId="77777777" w:rsidR="00100495" w:rsidRPr="00C57722" w:rsidRDefault="00100495" w:rsidP="00100495">
    <w:pPr>
      <w:tabs>
        <w:tab w:val="center" w:pos="4536"/>
        <w:tab w:val="right" w:pos="9072"/>
      </w:tabs>
      <w:rPr>
        <w:rFonts w:ascii="Aptos" w:hAnsi="Aptos"/>
        <w:color w:val="808080" w:themeColor="background1" w:themeShade="80"/>
        <w:sz w:val="18"/>
        <w:szCs w:val="18"/>
        <w:lang w:val="en-GB"/>
      </w:rPr>
    </w:pPr>
    <w:r w:rsidRPr="00C57722">
      <w:rPr>
        <w:rFonts w:ascii="Aptos" w:hAnsi="Aptos"/>
        <w:color w:val="808080" w:themeColor="background1" w:themeShade="80"/>
        <w:sz w:val="18"/>
        <w:szCs w:val="18"/>
        <w:lang w:val="en-GB"/>
      </w:rPr>
      <w:tab/>
    </w:r>
    <w:r w:rsidRPr="00C57722">
      <w:rPr>
        <w:rFonts w:ascii="Aptos" w:hAnsi="Aptos"/>
        <w:color w:val="808080" w:themeColor="background1" w:themeShade="80"/>
        <w:sz w:val="18"/>
        <w:szCs w:val="18"/>
        <w:lang w:val="en-GB"/>
      </w:rPr>
      <w:tab/>
      <w:t>Virginia Hagn</w:t>
    </w:r>
  </w:p>
  <w:p w14:paraId="21607773" w14:textId="77777777" w:rsidR="00100495" w:rsidRPr="00C57722" w:rsidRDefault="00100495" w:rsidP="00100495">
    <w:pPr>
      <w:tabs>
        <w:tab w:val="center" w:pos="4536"/>
        <w:tab w:val="right" w:pos="9072"/>
      </w:tabs>
      <w:rPr>
        <w:rFonts w:ascii="Aptos" w:hAnsi="Aptos"/>
        <w:color w:val="808080" w:themeColor="background1" w:themeShade="80"/>
        <w:sz w:val="18"/>
        <w:szCs w:val="18"/>
        <w:lang w:val="en-GB"/>
      </w:rPr>
    </w:pPr>
    <w:r w:rsidRPr="00C57722">
      <w:rPr>
        <w:rFonts w:ascii="Aptos" w:hAnsi="Aptos"/>
        <w:color w:val="808080" w:themeColor="background1" w:themeShade="80"/>
        <w:sz w:val="18"/>
        <w:szCs w:val="18"/>
        <w:lang w:val="en-GB"/>
      </w:rPr>
      <w:tab/>
    </w:r>
    <w:r w:rsidRPr="00C57722">
      <w:rPr>
        <w:rFonts w:ascii="Aptos" w:hAnsi="Aptos"/>
        <w:color w:val="808080" w:themeColor="background1" w:themeShade="80"/>
        <w:sz w:val="18"/>
        <w:szCs w:val="18"/>
        <w:lang w:val="en-GB"/>
      </w:rPr>
      <w:tab/>
    </w:r>
    <w:hyperlink r:id="rId1" w:history="1">
      <w:r w:rsidRPr="00C57722">
        <w:rPr>
          <w:rStyle w:val="Hyperlink"/>
          <w:rFonts w:ascii="Aptos" w:hAnsi="Aptos"/>
          <w:color w:val="808080" w:themeColor="background1" w:themeShade="80"/>
          <w:sz w:val="18"/>
          <w:szCs w:val="18"/>
          <w:lang w:val="en-GB"/>
        </w:rPr>
        <w:t>virginia.hagn@voewg.at</w:t>
      </w:r>
    </w:hyperlink>
  </w:p>
  <w:p w14:paraId="20C03E47" w14:textId="3A23506C" w:rsidR="00623AF8" w:rsidRDefault="00100495" w:rsidP="00100495">
    <w:pPr>
      <w:tabs>
        <w:tab w:val="center" w:pos="4536"/>
        <w:tab w:val="right" w:pos="9072"/>
      </w:tabs>
      <w:rPr>
        <w:rFonts w:ascii="Aptos" w:hAnsi="Aptos"/>
        <w:color w:val="808080" w:themeColor="background1" w:themeShade="80"/>
        <w:sz w:val="18"/>
        <w:szCs w:val="18"/>
        <w:lang w:val="en-GB"/>
      </w:rPr>
    </w:pPr>
    <w:r w:rsidRPr="00C57722">
      <w:rPr>
        <w:rFonts w:ascii="Aptos" w:hAnsi="Aptos"/>
        <w:color w:val="808080" w:themeColor="background1" w:themeShade="80"/>
        <w:sz w:val="18"/>
        <w:szCs w:val="18"/>
        <w:lang w:val="en-GB"/>
      </w:rPr>
      <w:tab/>
    </w:r>
    <w:r w:rsidRPr="00C57722">
      <w:rPr>
        <w:rFonts w:ascii="Aptos" w:hAnsi="Aptos"/>
        <w:color w:val="808080" w:themeColor="background1" w:themeShade="80"/>
        <w:sz w:val="18"/>
        <w:szCs w:val="18"/>
      </w:rPr>
      <w:fldChar w:fldCharType="begin"/>
    </w:r>
    <w:r w:rsidRPr="00C57722">
      <w:rPr>
        <w:rFonts w:ascii="Aptos" w:hAnsi="Aptos"/>
        <w:color w:val="808080" w:themeColor="background1" w:themeShade="80"/>
        <w:sz w:val="18"/>
        <w:szCs w:val="18"/>
        <w:lang w:val="en-GB"/>
      </w:rPr>
      <w:instrText>PAGE   \* MERGEFORMAT</w:instrText>
    </w:r>
    <w:r w:rsidRPr="00C57722">
      <w:rPr>
        <w:rFonts w:ascii="Aptos" w:hAnsi="Aptos"/>
        <w:color w:val="808080" w:themeColor="background1" w:themeShade="80"/>
        <w:sz w:val="18"/>
        <w:szCs w:val="18"/>
      </w:rPr>
      <w:fldChar w:fldCharType="separate"/>
    </w:r>
    <w:r>
      <w:rPr>
        <w:rFonts w:ascii="Aptos" w:hAnsi="Aptos"/>
        <w:color w:val="808080" w:themeColor="background1" w:themeShade="80"/>
        <w:sz w:val="18"/>
        <w:szCs w:val="18"/>
      </w:rPr>
      <w:t>28</w:t>
    </w:r>
    <w:r w:rsidRPr="00C57722">
      <w:rPr>
        <w:rFonts w:ascii="Aptos" w:hAnsi="Aptos"/>
        <w:color w:val="808080" w:themeColor="background1" w:themeShade="80"/>
        <w:sz w:val="18"/>
        <w:szCs w:val="18"/>
      </w:rPr>
      <w:fldChar w:fldCharType="end"/>
    </w:r>
    <w:r w:rsidRPr="00C57722">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20</w:t>
    </w:r>
  </w:p>
  <w:p w14:paraId="2C8216A7" w14:textId="77777777" w:rsidR="00100495" w:rsidRPr="00100495" w:rsidRDefault="00100495" w:rsidP="00100495">
    <w:pPr>
      <w:tabs>
        <w:tab w:val="center" w:pos="4536"/>
        <w:tab w:val="right" w:pos="9072"/>
      </w:tabs>
      <w:rPr>
        <w:rFonts w:ascii="Aptos" w:hAnsi="Aptos"/>
        <w:color w:val="808080" w:themeColor="background1" w:themeShade="80"/>
        <w:sz w:val="18"/>
        <w:szCs w:val="18"/>
        <w:lang w:val="en-GB"/>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57C0B5" w14:textId="77777777" w:rsidR="00100495" w:rsidRPr="00100495" w:rsidRDefault="00100495" w:rsidP="00100495">
    <w:pPr>
      <w:tabs>
        <w:tab w:val="center" w:pos="4536"/>
        <w:tab w:val="right" w:pos="9072"/>
      </w:tabs>
      <w:rPr>
        <w:color w:val="808080" w:themeColor="background1" w:themeShade="80"/>
        <w:sz w:val="22"/>
        <w:szCs w:val="22"/>
        <w:lang w:val="en-GB"/>
      </w:rPr>
    </w:pPr>
    <w:r w:rsidRPr="009D4B62">
      <w:rPr>
        <w:sz w:val="22"/>
        <w:szCs w:val="22"/>
        <w:lang w:val="en-GB"/>
      </w:rPr>
      <w:tab/>
    </w:r>
    <w:r w:rsidRPr="009D4B62">
      <w:rPr>
        <w:sz w:val="22"/>
        <w:szCs w:val="22"/>
        <w:lang w:val="en-GB"/>
      </w:rPr>
      <w:tab/>
    </w:r>
    <w:r w:rsidRPr="00100495">
      <w:rPr>
        <w:rFonts w:ascii="Aptos" w:hAnsi="Aptos"/>
        <w:color w:val="808080" w:themeColor="background1" w:themeShade="80"/>
        <w:sz w:val="18"/>
        <w:szCs w:val="18"/>
        <w:lang w:val="en-GB"/>
      </w:rPr>
      <w:t>For any inquiries please contact:</w:t>
    </w:r>
  </w:p>
  <w:p w14:paraId="2E88C5A8" w14:textId="2CD3AD9D" w:rsidR="00100495" w:rsidRPr="00100495" w:rsidRDefault="00100495" w:rsidP="00100495">
    <w:pPr>
      <w:tabs>
        <w:tab w:val="center" w:pos="4536"/>
        <w:tab w:val="right" w:pos="9072"/>
      </w:tabs>
      <w:rPr>
        <w:rFonts w:ascii="Aptos" w:hAnsi="Aptos"/>
        <w:color w:val="808080" w:themeColor="background1" w:themeShade="80"/>
        <w:sz w:val="18"/>
        <w:szCs w:val="18"/>
        <w:lang w:val="en-GB"/>
      </w:rPr>
    </w:pPr>
    <w:r w:rsidRPr="00100495">
      <w:rPr>
        <w:rFonts w:ascii="Aptos" w:hAnsi="Aptos"/>
        <w:color w:val="808080" w:themeColor="background1" w:themeShade="80"/>
        <w:sz w:val="18"/>
        <w:szCs w:val="18"/>
        <w:lang w:val="en-GB"/>
      </w:rPr>
      <w:tab/>
    </w:r>
    <w:r w:rsidRPr="00100495">
      <w:rPr>
        <w:rFonts w:ascii="Aptos" w:hAnsi="Aptos"/>
        <w:color w:val="808080" w:themeColor="background1" w:themeShade="80"/>
        <w:sz w:val="18"/>
        <w:szCs w:val="18"/>
        <w:lang w:val="en-GB"/>
      </w:rPr>
      <w:tab/>
      <w:t>Hanna Buchinger</w:t>
    </w:r>
  </w:p>
  <w:p w14:paraId="50139912" w14:textId="65CA0D3B" w:rsidR="00100495" w:rsidRPr="00100495" w:rsidRDefault="00100495" w:rsidP="00100495">
    <w:pPr>
      <w:tabs>
        <w:tab w:val="center" w:pos="4536"/>
        <w:tab w:val="right" w:pos="9072"/>
      </w:tabs>
      <w:rPr>
        <w:rFonts w:ascii="Aptos" w:hAnsi="Aptos"/>
        <w:color w:val="808080" w:themeColor="background1" w:themeShade="80"/>
        <w:sz w:val="18"/>
        <w:szCs w:val="18"/>
        <w:lang w:val="en-GB"/>
      </w:rPr>
    </w:pPr>
    <w:r w:rsidRPr="00100495">
      <w:rPr>
        <w:rFonts w:ascii="Aptos" w:hAnsi="Aptos"/>
        <w:color w:val="808080" w:themeColor="background1" w:themeShade="80"/>
        <w:sz w:val="18"/>
        <w:szCs w:val="18"/>
        <w:lang w:val="en-GB"/>
      </w:rPr>
      <w:tab/>
    </w:r>
    <w:r w:rsidRPr="00100495">
      <w:rPr>
        <w:rFonts w:ascii="Aptos" w:hAnsi="Aptos"/>
        <w:color w:val="808080" w:themeColor="background1" w:themeShade="80"/>
        <w:sz w:val="18"/>
        <w:szCs w:val="18"/>
        <w:lang w:val="en-GB"/>
      </w:rPr>
      <w:tab/>
    </w:r>
    <w:hyperlink r:id="rId1" w:history="1">
      <w:r w:rsidRPr="00100495">
        <w:rPr>
          <w:rStyle w:val="Hyperlink"/>
          <w:rFonts w:ascii="Aptos" w:hAnsi="Aptos"/>
          <w:color w:val="808080" w:themeColor="background1" w:themeShade="80"/>
          <w:sz w:val="18"/>
          <w:szCs w:val="18"/>
          <w:lang w:val="en-GB"/>
        </w:rPr>
        <w:t>hanna.buchinger@voewg.at</w:t>
      </w:r>
    </w:hyperlink>
  </w:p>
  <w:p w14:paraId="1AE4159E" w14:textId="6C9FC0C6" w:rsidR="00100495" w:rsidRPr="00100495" w:rsidRDefault="00100495" w:rsidP="00100495">
    <w:pPr>
      <w:tabs>
        <w:tab w:val="center" w:pos="4536"/>
        <w:tab w:val="right" w:pos="9072"/>
      </w:tabs>
      <w:rPr>
        <w:rFonts w:ascii="Aptos" w:hAnsi="Aptos"/>
        <w:color w:val="808080" w:themeColor="background1" w:themeShade="80"/>
        <w:sz w:val="18"/>
        <w:szCs w:val="18"/>
        <w:lang w:val="en-GB"/>
      </w:rPr>
    </w:pPr>
    <w:r w:rsidRPr="00100495">
      <w:rPr>
        <w:rFonts w:ascii="Aptos" w:hAnsi="Aptos"/>
        <w:color w:val="808080" w:themeColor="background1" w:themeShade="80"/>
        <w:sz w:val="18"/>
        <w:szCs w:val="18"/>
        <w:lang w:val="en-GB"/>
      </w:rPr>
      <w:tab/>
    </w:r>
    <w:r w:rsidRPr="00100495">
      <w:rPr>
        <w:rFonts w:ascii="Aptos" w:hAnsi="Aptos"/>
        <w:color w:val="808080" w:themeColor="background1" w:themeShade="80"/>
        <w:sz w:val="18"/>
        <w:szCs w:val="18"/>
      </w:rPr>
      <w:fldChar w:fldCharType="begin"/>
    </w:r>
    <w:r w:rsidRPr="00100495">
      <w:rPr>
        <w:rFonts w:ascii="Aptos" w:hAnsi="Aptos"/>
        <w:color w:val="808080" w:themeColor="background1" w:themeShade="80"/>
        <w:sz w:val="18"/>
        <w:szCs w:val="18"/>
        <w:lang w:val="en-GB"/>
      </w:rPr>
      <w:instrText>PAGE   \* MERGEFORMAT</w:instrText>
    </w:r>
    <w:r w:rsidRPr="00100495">
      <w:rPr>
        <w:rFonts w:ascii="Aptos" w:hAnsi="Aptos"/>
        <w:color w:val="808080" w:themeColor="background1" w:themeShade="80"/>
        <w:sz w:val="18"/>
        <w:szCs w:val="18"/>
      </w:rPr>
      <w:fldChar w:fldCharType="separate"/>
    </w:r>
    <w:r w:rsidRPr="00100495">
      <w:rPr>
        <w:rFonts w:ascii="Aptos" w:hAnsi="Aptos"/>
        <w:color w:val="808080" w:themeColor="background1" w:themeShade="80"/>
        <w:sz w:val="18"/>
        <w:szCs w:val="18"/>
      </w:rPr>
      <w:t>28</w:t>
    </w:r>
    <w:r w:rsidRPr="00100495">
      <w:rPr>
        <w:rFonts w:ascii="Aptos" w:hAnsi="Aptos"/>
        <w:color w:val="808080" w:themeColor="background1" w:themeShade="80"/>
        <w:sz w:val="18"/>
        <w:szCs w:val="18"/>
      </w:rPr>
      <w:fldChar w:fldCharType="end"/>
    </w:r>
    <w:r w:rsidRPr="00100495">
      <w:rPr>
        <w:rFonts w:ascii="Aptos" w:hAnsi="Aptos"/>
        <w:color w:val="808080" w:themeColor="background1" w:themeShade="80"/>
        <w:sz w:val="18"/>
        <w:szCs w:val="18"/>
        <w:lang w:val="en-GB"/>
      </w:rPr>
      <w:tab/>
      <w:t>+43 1 408 2202-2</w:t>
    </w:r>
    <w:r>
      <w:rPr>
        <w:rFonts w:ascii="Aptos" w:hAnsi="Aptos"/>
        <w:color w:val="808080" w:themeColor="background1" w:themeShade="80"/>
        <w:sz w:val="18"/>
        <w:szCs w:val="18"/>
        <w:lang w:val="en-GB"/>
      </w:rPr>
      <w:t>2</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693818" w14:textId="77777777" w:rsidR="00100495" w:rsidRPr="00100495" w:rsidRDefault="00100495" w:rsidP="00100495">
    <w:pPr>
      <w:tabs>
        <w:tab w:val="center" w:pos="4536"/>
        <w:tab w:val="right" w:pos="9072"/>
      </w:tabs>
      <w:rPr>
        <w:color w:val="808080" w:themeColor="background1" w:themeShade="80"/>
        <w:sz w:val="22"/>
        <w:szCs w:val="22"/>
        <w:lang w:val="en-GB"/>
      </w:rPr>
    </w:pPr>
    <w:r w:rsidRPr="009D4B62">
      <w:rPr>
        <w:sz w:val="22"/>
        <w:szCs w:val="22"/>
        <w:lang w:val="en-GB"/>
      </w:rPr>
      <w:tab/>
    </w:r>
    <w:r w:rsidRPr="009D4B62">
      <w:rPr>
        <w:sz w:val="22"/>
        <w:szCs w:val="22"/>
        <w:lang w:val="en-GB"/>
      </w:rPr>
      <w:tab/>
    </w:r>
    <w:r w:rsidRPr="00100495">
      <w:rPr>
        <w:rFonts w:ascii="Aptos" w:hAnsi="Aptos"/>
        <w:color w:val="808080" w:themeColor="background1" w:themeShade="80"/>
        <w:sz w:val="18"/>
        <w:szCs w:val="18"/>
        <w:lang w:val="en-GB"/>
      </w:rPr>
      <w:t>For any inquiries please contact:</w:t>
    </w:r>
  </w:p>
  <w:p w14:paraId="0A99C1F2" w14:textId="57485D36" w:rsidR="00100495" w:rsidRPr="00100495" w:rsidRDefault="00100495" w:rsidP="00100495">
    <w:pPr>
      <w:tabs>
        <w:tab w:val="center" w:pos="4536"/>
        <w:tab w:val="right" w:pos="9072"/>
      </w:tabs>
      <w:rPr>
        <w:rFonts w:ascii="Aptos" w:hAnsi="Aptos"/>
        <w:color w:val="808080" w:themeColor="background1" w:themeShade="80"/>
        <w:sz w:val="18"/>
        <w:szCs w:val="18"/>
        <w:lang w:val="en-GB"/>
      </w:rPr>
    </w:pPr>
    <w:r w:rsidRPr="00100495">
      <w:rPr>
        <w:rFonts w:ascii="Aptos" w:hAnsi="Aptos"/>
        <w:color w:val="808080" w:themeColor="background1" w:themeShade="80"/>
        <w:sz w:val="18"/>
        <w:szCs w:val="18"/>
        <w:lang w:val="en-GB"/>
      </w:rPr>
      <w:tab/>
    </w:r>
    <w:r w:rsidRPr="00100495">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Jeremias Jobst</w:t>
    </w:r>
  </w:p>
  <w:p w14:paraId="47B2107E" w14:textId="0D8F1651" w:rsidR="00100495" w:rsidRPr="00100495" w:rsidRDefault="00100495" w:rsidP="00100495">
    <w:pPr>
      <w:tabs>
        <w:tab w:val="center" w:pos="4536"/>
        <w:tab w:val="right" w:pos="9072"/>
      </w:tabs>
      <w:rPr>
        <w:rFonts w:ascii="Aptos" w:hAnsi="Aptos"/>
        <w:color w:val="808080" w:themeColor="background1" w:themeShade="80"/>
        <w:sz w:val="18"/>
        <w:szCs w:val="18"/>
        <w:lang w:val="en-GB"/>
      </w:rPr>
    </w:pPr>
    <w:r w:rsidRPr="00100495">
      <w:rPr>
        <w:rFonts w:ascii="Aptos" w:hAnsi="Aptos"/>
        <w:color w:val="808080" w:themeColor="background1" w:themeShade="80"/>
        <w:sz w:val="18"/>
        <w:szCs w:val="18"/>
        <w:lang w:val="en-GB"/>
      </w:rPr>
      <w:tab/>
    </w:r>
    <w:r w:rsidRPr="00100495">
      <w:rPr>
        <w:rFonts w:ascii="Aptos" w:hAnsi="Aptos"/>
        <w:color w:val="808080" w:themeColor="background1" w:themeShade="80"/>
        <w:sz w:val="18"/>
        <w:szCs w:val="18"/>
        <w:lang w:val="en-GB"/>
      </w:rPr>
      <w:tab/>
    </w:r>
    <w:hyperlink r:id="rId1" w:history="1">
      <w:r w:rsidR="00A66104" w:rsidRPr="00A66104">
        <w:rPr>
          <w:rStyle w:val="Hyperlink"/>
          <w:rFonts w:ascii="Aptos" w:hAnsi="Aptos"/>
          <w:color w:val="808080" w:themeColor="background1" w:themeShade="80"/>
          <w:sz w:val="18"/>
          <w:szCs w:val="18"/>
          <w:lang w:val="en-GB"/>
        </w:rPr>
        <w:t>jeremias.jobst@voewg.at</w:t>
      </w:r>
    </w:hyperlink>
  </w:p>
  <w:p w14:paraId="152F98BA" w14:textId="054BD7E6" w:rsidR="00100495" w:rsidRPr="00100495" w:rsidRDefault="00100495" w:rsidP="00100495">
    <w:pPr>
      <w:tabs>
        <w:tab w:val="center" w:pos="4536"/>
        <w:tab w:val="right" w:pos="9072"/>
      </w:tabs>
      <w:rPr>
        <w:rFonts w:ascii="Aptos" w:hAnsi="Aptos"/>
        <w:color w:val="808080" w:themeColor="background1" w:themeShade="80"/>
        <w:sz w:val="18"/>
        <w:szCs w:val="18"/>
        <w:lang w:val="en-GB"/>
      </w:rPr>
    </w:pPr>
    <w:r w:rsidRPr="00100495">
      <w:rPr>
        <w:rFonts w:ascii="Aptos" w:hAnsi="Aptos"/>
        <w:color w:val="808080" w:themeColor="background1" w:themeShade="80"/>
        <w:sz w:val="18"/>
        <w:szCs w:val="18"/>
        <w:lang w:val="en-GB"/>
      </w:rPr>
      <w:tab/>
    </w:r>
    <w:r w:rsidRPr="00100495">
      <w:rPr>
        <w:rFonts w:ascii="Aptos" w:hAnsi="Aptos"/>
        <w:color w:val="808080" w:themeColor="background1" w:themeShade="80"/>
        <w:sz w:val="18"/>
        <w:szCs w:val="18"/>
      </w:rPr>
      <w:fldChar w:fldCharType="begin"/>
    </w:r>
    <w:r w:rsidRPr="00100495">
      <w:rPr>
        <w:rFonts w:ascii="Aptos" w:hAnsi="Aptos"/>
        <w:color w:val="808080" w:themeColor="background1" w:themeShade="80"/>
        <w:sz w:val="18"/>
        <w:szCs w:val="18"/>
        <w:lang w:val="en-GB"/>
      </w:rPr>
      <w:instrText>PAGE   \* MERGEFORMAT</w:instrText>
    </w:r>
    <w:r w:rsidRPr="00100495">
      <w:rPr>
        <w:rFonts w:ascii="Aptos" w:hAnsi="Aptos"/>
        <w:color w:val="808080" w:themeColor="background1" w:themeShade="80"/>
        <w:sz w:val="18"/>
        <w:szCs w:val="18"/>
      </w:rPr>
      <w:fldChar w:fldCharType="separate"/>
    </w:r>
    <w:r w:rsidRPr="00100495">
      <w:rPr>
        <w:rFonts w:ascii="Aptos" w:hAnsi="Aptos"/>
        <w:color w:val="808080" w:themeColor="background1" w:themeShade="80"/>
        <w:sz w:val="18"/>
        <w:szCs w:val="18"/>
      </w:rPr>
      <w:t>28</w:t>
    </w:r>
    <w:r w:rsidRPr="00100495">
      <w:rPr>
        <w:rFonts w:ascii="Aptos" w:hAnsi="Aptos"/>
        <w:color w:val="808080" w:themeColor="background1" w:themeShade="80"/>
        <w:sz w:val="18"/>
        <w:szCs w:val="18"/>
      </w:rPr>
      <w:fldChar w:fldCharType="end"/>
    </w:r>
    <w:r w:rsidRPr="00100495">
      <w:rPr>
        <w:rFonts w:ascii="Aptos" w:hAnsi="Aptos"/>
        <w:color w:val="808080" w:themeColor="background1" w:themeShade="80"/>
        <w:sz w:val="18"/>
        <w:szCs w:val="18"/>
        <w:lang w:val="en-GB"/>
      </w:rPr>
      <w:tab/>
      <w:t>+43 1 408 2202-2</w:t>
    </w:r>
    <w:r w:rsidR="00A66104">
      <w:rPr>
        <w:rFonts w:ascii="Aptos" w:hAnsi="Aptos"/>
        <w:color w:val="808080" w:themeColor="background1" w:themeShade="80"/>
        <w:sz w:val="18"/>
        <w:szCs w:val="18"/>
        <w:lang w:val="en-GB"/>
      </w:rPr>
      <w:t>6</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7AAB0B" w14:textId="77777777" w:rsidR="00623AF8" w:rsidRDefault="00623AF8">
    <w:pPr>
      <w:pStyle w:val="Fuzeile"/>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9BA2C9" w14:textId="77777777" w:rsidR="00623AF8" w:rsidRDefault="00623AF8">
    <w:pPr>
      <w:pStyle w:val="Fuzeile"/>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5459FB" w14:textId="77777777" w:rsidR="00623AF8" w:rsidRDefault="00623AF8">
    <w:pPr>
      <w:pStyle w:val="Fuzeile"/>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7566C4" w14:textId="77777777" w:rsidR="00623AF8" w:rsidRDefault="00623AF8">
    <w:pPr>
      <w:pStyle w:val="Fuzeile"/>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939AC" w14:textId="77777777" w:rsidR="00623AF8" w:rsidRDefault="00623AF8">
    <w:pPr>
      <w:pStyle w:val="Fuzeile"/>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1DEE84" w14:textId="77777777" w:rsidR="00623AF8" w:rsidRDefault="00623AF8">
    <w:pPr>
      <w:pStyle w:val="Fuzeile"/>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01757D" w14:textId="77777777" w:rsidR="00623AF8" w:rsidRDefault="00623AF8">
    <w:pPr>
      <w:pStyle w:val="Fuzeile"/>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6E7DAF" w14:textId="77777777" w:rsidR="00623AF8" w:rsidRDefault="00623AF8">
    <w:pPr>
      <w:pStyle w:val="Fuzeile"/>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9A03EB" w14:textId="77777777" w:rsidR="00623AF8" w:rsidRDefault="00623AF8">
    <w:pPr>
      <w:pStyle w:val="Fuzeile"/>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3BDAAD" w14:textId="77777777" w:rsidR="00623AF8" w:rsidRDefault="00623AF8">
    <w:pPr>
      <w:pStyle w:val="Fuzeile"/>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EA1492" w14:textId="77777777" w:rsidR="00623AF8" w:rsidRDefault="00623AF8">
    <w:pPr>
      <w:pStyle w:val="Fuzeile"/>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3D877E" w14:textId="77777777" w:rsidR="00623AF8" w:rsidRDefault="00623AF8">
    <w:pPr>
      <w:pStyle w:val="Fuzeile"/>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9FB153" w14:textId="77777777" w:rsidR="00623AF8" w:rsidRDefault="00623AF8">
    <w:pPr>
      <w:pStyle w:val="Fuzeile"/>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2785C6" w14:textId="77777777" w:rsidR="00623AF8" w:rsidRDefault="00623AF8">
    <w:pPr>
      <w:pStyle w:val="Fuzeile"/>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064933" w14:textId="77777777" w:rsidR="00623AF8" w:rsidRDefault="00623AF8">
    <w:pPr>
      <w:pStyle w:val="Fuzeile"/>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F49FF" w14:textId="77777777" w:rsidR="00623AF8" w:rsidRDefault="00623AF8">
    <w:pPr>
      <w:pStyle w:val="Fuzeile"/>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4AD8DA" w14:textId="77777777" w:rsidR="00623AF8" w:rsidRDefault="00623AF8">
    <w:pPr>
      <w:pStyle w:val="Fuzeile"/>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670DCC" w14:textId="66F7D87E" w:rsidR="00A66104" w:rsidRPr="00100495" w:rsidRDefault="00A66104" w:rsidP="00A66104">
    <w:pPr>
      <w:tabs>
        <w:tab w:val="center" w:pos="4536"/>
        <w:tab w:val="right" w:pos="9072"/>
      </w:tabs>
      <w:rPr>
        <w:color w:val="808080" w:themeColor="background1" w:themeShade="80"/>
        <w:sz w:val="22"/>
        <w:szCs w:val="22"/>
        <w:lang w:val="en-GB"/>
      </w:rPr>
    </w:pPr>
    <w:r w:rsidRPr="009D4B62">
      <w:rPr>
        <w:sz w:val="22"/>
        <w:szCs w:val="22"/>
        <w:lang w:val="en-GB"/>
      </w:rPr>
      <w:tab/>
    </w:r>
    <w:r w:rsidRPr="009D4B62">
      <w:rPr>
        <w:sz w:val="22"/>
        <w:szCs w:val="22"/>
        <w:lang w:val="en-GB"/>
      </w:rPr>
      <w:tab/>
    </w:r>
    <w:r w:rsidRPr="00100495">
      <w:rPr>
        <w:rFonts w:ascii="Aptos" w:hAnsi="Aptos"/>
        <w:color w:val="808080" w:themeColor="background1" w:themeShade="80"/>
        <w:sz w:val="18"/>
        <w:szCs w:val="18"/>
        <w:lang w:val="en-GB"/>
      </w:rPr>
      <w:t>For any inquiries please contact:</w:t>
    </w:r>
  </w:p>
  <w:p w14:paraId="1D8924CD" w14:textId="77777777" w:rsidR="00A66104" w:rsidRPr="00100495" w:rsidRDefault="00A66104" w:rsidP="00A66104">
    <w:pPr>
      <w:tabs>
        <w:tab w:val="center" w:pos="4536"/>
        <w:tab w:val="right" w:pos="9072"/>
      </w:tabs>
      <w:rPr>
        <w:rFonts w:ascii="Aptos" w:hAnsi="Aptos"/>
        <w:color w:val="808080" w:themeColor="background1" w:themeShade="80"/>
        <w:sz w:val="18"/>
        <w:szCs w:val="18"/>
        <w:lang w:val="en-GB"/>
      </w:rPr>
    </w:pPr>
    <w:r w:rsidRPr="00100495">
      <w:rPr>
        <w:rFonts w:ascii="Aptos" w:hAnsi="Aptos"/>
        <w:color w:val="808080" w:themeColor="background1" w:themeShade="80"/>
        <w:sz w:val="18"/>
        <w:szCs w:val="18"/>
        <w:lang w:val="en-GB"/>
      </w:rPr>
      <w:tab/>
    </w:r>
    <w:r w:rsidRPr="00100495">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Jeremias Jobst</w:t>
    </w:r>
  </w:p>
  <w:p w14:paraId="31559036" w14:textId="77777777" w:rsidR="00A66104" w:rsidRPr="00100495" w:rsidRDefault="00A66104" w:rsidP="00A66104">
    <w:pPr>
      <w:tabs>
        <w:tab w:val="center" w:pos="4536"/>
        <w:tab w:val="right" w:pos="9072"/>
      </w:tabs>
      <w:rPr>
        <w:rFonts w:ascii="Aptos" w:hAnsi="Aptos"/>
        <w:color w:val="808080" w:themeColor="background1" w:themeShade="80"/>
        <w:sz w:val="18"/>
        <w:szCs w:val="18"/>
        <w:lang w:val="en-GB"/>
      </w:rPr>
    </w:pPr>
    <w:r w:rsidRPr="00100495">
      <w:rPr>
        <w:rFonts w:ascii="Aptos" w:hAnsi="Aptos"/>
        <w:color w:val="808080" w:themeColor="background1" w:themeShade="80"/>
        <w:sz w:val="18"/>
        <w:szCs w:val="18"/>
        <w:lang w:val="en-GB"/>
      </w:rPr>
      <w:tab/>
    </w:r>
    <w:r w:rsidRPr="00100495">
      <w:rPr>
        <w:rFonts w:ascii="Aptos" w:hAnsi="Aptos"/>
        <w:color w:val="808080" w:themeColor="background1" w:themeShade="80"/>
        <w:sz w:val="18"/>
        <w:szCs w:val="18"/>
        <w:lang w:val="en-GB"/>
      </w:rPr>
      <w:tab/>
    </w:r>
    <w:hyperlink r:id="rId1" w:history="1">
      <w:r w:rsidRPr="00A66104">
        <w:rPr>
          <w:rStyle w:val="Hyperlink"/>
          <w:rFonts w:ascii="Aptos" w:hAnsi="Aptos"/>
          <w:color w:val="808080" w:themeColor="background1" w:themeShade="80"/>
          <w:sz w:val="18"/>
          <w:szCs w:val="18"/>
          <w:lang w:val="en-GB"/>
        </w:rPr>
        <w:t>jeremias.jobst@voewg.at</w:t>
      </w:r>
    </w:hyperlink>
  </w:p>
  <w:p w14:paraId="3A8A22E3" w14:textId="77777777" w:rsidR="00A66104" w:rsidRPr="00100495" w:rsidRDefault="00A66104" w:rsidP="00A66104">
    <w:pPr>
      <w:tabs>
        <w:tab w:val="center" w:pos="4536"/>
        <w:tab w:val="right" w:pos="9072"/>
      </w:tabs>
      <w:rPr>
        <w:rFonts w:ascii="Aptos" w:hAnsi="Aptos"/>
        <w:color w:val="808080" w:themeColor="background1" w:themeShade="80"/>
        <w:sz w:val="18"/>
        <w:szCs w:val="18"/>
        <w:lang w:val="en-GB"/>
      </w:rPr>
    </w:pPr>
    <w:r w:rsidRPr="00100495">
      <w:rPr>
        <w:rFonts w:ascii="Aptos" w:hAnsi="Aptos"/>
        <w:color w:val="808080" w:themeColor="background1" w:themeShade="80"/>
        <w:sz w:val="18"/>
        <w:szCs w:val="18"/>
        <w:lang w:val="en-GB"/>
      </w:rPr>
      <w:tab/>
    </w:r>
    <w:r w:rsidRPr="00100495">
      <w:rPr>
        <w:rFonts w:ascii="Aptos" w:hAnsi="Aptos"/>
        <w:color w:val="808080" w:themeColor="background1" w:themeShade="80"/>
        <w:sz w:val="18"/>
        <w:szCs w:val="18"/>
      </w:rPr>
      <w:fldChar w:fldCharType="begin"/>
    </w:r>
    <w:r w:rsidRPr="00100495">
      <w:rPr>
        <w:rFonts w:ascii="Aptos" w:hAnsi="Aptos"/>
        <w:color w:val="808080" w:themeColor="background1" w:themeShade="80"/>
        <w:sz w:val="18"/>
        <w:szCs w:val="18"/>
        <w:lang w:val="en-GB"/>
      </w:rPr>
      <w:instrText>PAGE   \* MERGEFORMAT</w:instrText>
    </w:r>
    <w:r w:rsidRPr="00100495">
      <w:rPr>
        <w:rFonts w:ascii="Aptos" w:hAnsi="Aptos"/>
        <w:color w:val="808080" w:themeColor="background1" w:themeShade="80"/>
        <w:sz w:val="18"/>
        <w:szCs w:val="18"/>
      </w:rPr>
      <w:fldChar w:fldCharType="separate"/>
    </w:r>
    <w:r>
      <w:rPr>
        <w:rFonts w:ascii="Aptos" w:hAnsi="Aptos"/>
        <w:color w:val="808080" w:themeColor="background1" w:themeShade="80"/>
        <w:sz w:val="18"/>
        <w:szCs w:val="18"/>
      </w:rPr>
      <w:t>177</w:t>
    </w:r>
    <w:r w:rsidRPr="00100495">
      <w:rPr>
        <w:rFonts w:ascii="Aptos" w:hAnsi="Aptos"/>
        <w:color w:val="808080" w:themeColor="background1" w:themeShade="80"/>
        <w:sz w:val="18"/>
        <w:szCs w:val="18"/>
      </w:rPr>
      <w:fldChar w:fldCharType="end"/>
    </w:r>
    <w:r w:rsidRPr="00100495">
      <w:rPr>
        <w:rFonts w:ascii="Aptos" w:hAnsi="Aptos"/>
        <w:color w:val="808080" w:themeColor="background1" w:themeShade="80"/>
        <w:sz w:val="18"/>
        <w:szCs w:val="18"/>
        <w:lang w:val="en-GB"/>
      </w:rPr>
      <w:tab/>
      <w:t>+43 1 408 2202-2</w:t>
    </w:r>
    <w:r>
      <w:rPr>
        <w:rFonts w:ascii="Aptos" w:hAnsi="Aptos"/>
        <w:color w:val="808080" w:themeColor="background1" w:themeShade="80"/>
        <w:sz w:val="18"/>
        <w:szCs w:val="18"/>
        <w:lang w:val="en-GB"/>
      </w:rPr>
      <w:t>6</w:t>
    </w:r>
  </w:p>
  <w:p w14:paraId="0794E9D3" w14:textId="5C5293AA" w:rsidR="00623AF8" w:rsidRDefault="00623AF8" w:rsidP="00A66104">
    <w:pPr>
      <w:pStyle w:val="Fuzeile"/>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05306A" w14:textId="77777777" w:rsidR="00A66104" w:rsidRPr="00100495" w:rsidRDefault="00A66104" w:rsidP="00100495">
    <w:pPr>
      <w:tabs>
        <w:tab w:val="center" w:pos="4536"/>
        <w:tab w:val="right" w:pos="9072"/>
      </w:tabs>
      <w:rPr>
        <w:color w:val="808080" w:themeColor="background1" w:themeShade="80"/>
        <w:sz w:val="22"/>
        <w:szCs w:val="22"/>
        <w:lang w:val="en-GB"/>
      </w:rPr>
    </w:pPr>
    <w:r w:rsidRPr="009D4B62">
      <w:rPr>
        <w:sz w:val="22"/>
        <w:szCs w:val="22"/>
        <w:lang w:val="en-GB"/>
      </w:rPr>
      <w:tab/>
    </w:r>
    <w:r w:rsidRPr="009D4B62">
      <w:rPr>
        <w:sz w:val="22"/>
        <w:szCs w:val="22"/>
        <w:lang w:val="en-GB"/>
      </w:rPr>
      <w:tab/>
    </w:r>
    <w:r w:rsidRPr="00100495">
      <w:rPr>
        <w:rFonts w:ascii="Aptos" w:hAnsi="Aptos"/>
        <w:color w:val="808080" w:themeColor="background1" w:themeShade="80"/>
        <w:sz w:val="18"/>
        <w:szCs w:val="18"/>
        <w:lang w:val="en-GB"/>
      </w:rPr>
      <w:t>For any inquiries please contact:</w:t>
    </w:r>
  </w:p>
  <w:p w14:paraId="011F2B74" w14:textId="72C79730" w:rsidR="00A66104" w:rsidRPr="00A66104" w:rsidRDefault="00A66104" w:rsidP="00100495">
    <w:pPr>
      <w:tabs>
        <w:tab w:val="center" w:pos="4536"/>
        <w:tab w:val="right" w:pos="9072"/>
      </w:tabs>
      <w:rPr>
        <w:rFonts w:ascii="Aptos" w:hAnsi="Aptos"/>
        <w:color w:val="808080" w:themeColor="background1" w:themeShade="80"/>
        <w:sz w:val="18"/>
        <w:szCs w:val="18"/>
      </w:rPr>
    </w:pPr>
    <w:r w:rsidRPr="00100495">
      <w:rPr>
        <w:rFonts w:ascii="Aptos" w:hAnsi="Aptos"/>
        <w:color w:val="808080" w:themeColor="background1" w:themeShade="80"/>
        <w:sz w:val="18"/>
        <w:szCs w:val="18"/>
        <w:lang w:val="en-GB"/>
      </w:rPr>
      <w:tab/>
    </w:r>
    <w:r w:rsidRPr="00100495">
      <w:rPr>
        <w:rFonts w:ascii="Aptos" w:hAnsi="Aptos"/>
        <w:color w:val="808080" w:themeColor="background1" w:themeShade="80"/>
        <w:sz w:val="18"/>
        <w:szCs w:val="18"/>
        <w:lang w:val="en-GB"/>
      </w:rPr>
      <w:tab/>
    </w:r>
    <w:r w:rsidRPr="00A66104">
      <w:rPr>
        <w:rFonts w:ascii="Aptos" w:hAnsi="Aptos"/>
        <w:color w:val="808080" w:themeColor="background1" w:themeShade="80"/>
        <w:sz w:val="18"/>
        <w:szCs w:val="18"/>
      </w:rPr>
      <w:t>Josef Wirth</w:t>
    </w:r>
  </w:p>
  <w:p w14:paraId="23D2A58F" w14:textId="040C4334" w:rsidR="00A66104" w:rsidRPr="001E5682" w:rsidRDefault="00A66104" w:rsidP="00100495">
    <w:pPr>
      <w:tabs>
        <w:tab w:val="center" w:pos="4536"/>
        <w:tab w:val="right" w:pos="9072"/>
      </w:tabs>
      <w:rPr>
        <w:rFonts w:ascii="Aptos" w:hAnsi="Aptos"/>
        <w:color w:val="808080" w:themeColor="background1" w:themeShade="80"/>
        <w:sz w:val="18"/>
        <w:szCs w:val="18"/>
      </w:rPr>
    </w:pPr>
    <w:r w:rsidRPr="00A66104">
      <w:rPr>
        <w:rFonts w:ascii="Aptos" w:hAnsi="Aptos"/>
        <w:color w:val="808080" w:themeColor="background1" w:themeShade="80"/>
        <w:sz w:val="18"/>
        <w:szCs w:val="18"/>
      </w:rPr>
      <w:tab/>
    </w:r>
    <w:r w:rsidRPr="00A66104">
      <w:rPr>
        <w:rFonts w:ascii="Aptos" w:hAnsi="Aptos"/>
        <w:color w:val="808080" w:themeColor="background1" w:themeShade="80"/>
        <w:sz w:val="18"/>
        <w:szCs w:val="18"/>
      </w:rPr>
      <w:tab/>
    </w:r>
    <w:hyperlink r:id="rId1" w:history="1">
      <w:r w:rsidRPr="001E5682">
        <w:rPr>
          <w:rStyle w:val="Hyperlink"/>
          <w:rFonts w:ascii="Aptos" w:hAnsi="Aptos"/>
          <w:color w:val="808080" w:themeColor="background1" w:themeShade="80"/>
          <w:sz w:val="18"/>
          <w:szCs w:val="18"/>
        </w:rPr>
        <w:t>josef.wirth@voewg.at</w:t>
      </w:r>
    </w:hyperlink>
  </w:p>
  <w:p w14:paraId="63261D10" w14:textId="08B0A026" w:rsidR="00A66104" w:rsidRPr="001E5682" w:rsidRDefault="00A66104" w:rsidP="00100495">
    <w:pPr>
      <w:tabs>
        <w:tab w:val="center" w:pos="4536"/>
        <w:tab w:val="right" w:pos="9072"/>
      </w:tabs>
      <w:rPr>
        <w:rFonts w:ascii="Aptos" w:hAnsi="Aptos"/>
        <w:color w:val="808080" w:themeColor="background1" w:themeShade="80"/>
        <w:sz w:val="18"/>
        <w:szCs w:val="18"/>
        <w:lang w:val="en-GB"/>
      </w:rPr>
    </w:pPr>
    <w:r w:rsidRPr="001E5682">
      <w:rPr>
        <w:rFonts w:ascii="Aptos" w:hAnsi="Aptos"/>
        <w:color w:val="808080" w:themeColor="background1" w:themeShade="80"/>
        <w:sz w:val="18"/>
        <w:szCs w:val="18"/>
      </w:rPr>
      <w:tab/>
    </w:r>
    <w:r w:rsidRPr="001E5682">
      <w:rPr>
        <w:rFonts w:ascii="Aptos" w:hAnsi="Aptos"/>
        <w:color w:val="808080" w:themeColor="background1" w:themeShade="80"/>
        <w:sz w:val="18"/>
        <w:szCs w:val="18"/>
      </w:rPr>
      <w:fldChar w:fldCharType="begin"/>
    </w:r>
    <w:r w:rsidRPr="001E5682">
      <w:rPr>
        <w:rFonts w:ascii="Aptos" w:hAnsi="Aptos"/>
        <w:color w:val="808080" w:themeColor="background1" w:themeShade="80"/>
        <w:sz w:val="18"/>
        <w:szCs w:val="18"/>
        <w:lang w:val="en-GB"/>
      </w:rPr>
      <w:instrText>PAGE   \* MERGEFORMAT</w:instrText>
    </w:r>
    <w:r w:rsidRPr="001E5682">
      <w:rPr>
        <w:rFonts w:ascii="Aptos" w:hAnsi="Aptos"/>
        <w:color w:val="808080" w:themeColor="background1" w:themeShade="80"/>
        <w:sz w:val="18"/>
        <w:szCs w:val="18"/>
      </w:rPr>
      <w:fldChar w:fldCharType="separate"/>
    </w:r>
    <w:r w:rsidRPr="001E5682">
      <w:rPr>
        <w:rFonts w:ascii="Aptos" w:hAnsi="Aptos"/>
        <w:color w:val="808080" w:themeColor="background1" w:themeShade="80"/>
        <w:sz w:val="18"/>
        <w:szCs w:val="18"/>
      </w:rPr>
      <w:t>28</w:t>
    </w:r>
    <w:r w:rsidRPr="001E5682">
      <w:rPr>
        <w:rFonts w:ascii="Aptos" w:hAnsi="Aptos"/>
        <w:color w:val="808080" w:themeColor="background1" w:themeShade="80"/>
        <w:sz w:val="18"/>
        <w:szCs w:val="18"/>
      </w:rPr>
      <w:fldChar w:fldCharType="end"/>
    </w:r>
    <w:r w:rsidRPr="001E5682">
      <w:rPr>
        <w:rFonts w:ascii="Aptos" w:hAnsi="Aptos"/>
        <w:color w:val="808080" w:themeColor="background1" w:themeShade="80"/>
        <w:sz w:val="18"/>
        <w:szCs w:val="18"/>
        <w:lang w:val="en-GB"/>
      </w:rPr>
      <w:tab/>
      <w:t>+43 1 408 2202-</w:t>
    </w:r>
    <w:r w:rsidR="001E5682" w:rsidRPr="001E5682">
      <w:rPr>
        <w:rFonts w:ascii="Aptos" w:hAnsi="Aptos"/>
        <w:color w:val="808080" w:themeColor="background1" w:themeShade="80"/>
        <w:sz w:val="18"/>
        <w:szCs w:val="18"/>
        <w:lang w:val="en-GB"/>
      </w:rPr>
      <w:t>15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8D39C5" w14:textId="77777777" w:rsidR="0028740E" w:rsidRDefault="0028740E" w:rsidP="00623AF8">
      <w:r>
        <w:separator/>
      </w:r>
    </w:p>
  </w:footnote>
  <w:footnote w:type="continuationSeparator" w:id="0">
    <w:p w14:paraId="1D0248F1" w14:textId="77777777" w:rsidR="0028740E" w:rsidRDefault="0028740E" w:rsidP="00623AF8">
      <w:r>
        <w:continuationSeparator/>
      </w:r>
    </w:p>
  </w:footnote>
  <w:footnote w:id="1">
    <w:p w14:paraId="2D8ABB58" w14:textId="77777777" w:rsidR="00623AF8" w:rsidRPr="002E0FFE" w:rsidRDefault="00623AF8" w:rsidP="00623AF8">
      <w:pPr>
        <w:pStyle w:val="Funotentext"/>
        <w:rPr>
          <w:lang w:val="de-AT"/>
        </w:rPr>
      </w:pPr>
      <w:r>
        <w:rPr>
          <w:rStyle w:val="Funotenzeichen"/>
        </w:rPr>
        <w:footnoteRef/>
      </w:r>
      <w:r w:rsidRPr="002E0FFE">
        <w:rPr>
          <w:lang w:val="de-AT"/>
        </w:rPr>
        <w:t xml:space="preserve"> Europäisches Parlament. (2023, November). </w:t>
      </w:r>
      <w:r w:rsidRPr="002E0FFE">
        <w:rPr>
          <w:i/>
          <w:iCs/>
          <w:lang w:val="de-AT"/>
        </w:rPr>
        <w:t>Vergabe öffentlicher Aufträge</w:t>
      </w:r>
      <w:r w:rsidRPr="002E0FFE">
        <w:rPr>
          <w:lang w:val="de-AT"/>
        </w:rPr>
        <w:t xml:space="preserve">. Europäisches Parlament. </w:t>
      </w:r>
      <w:hyperlink r:id="rId1" w:history="1">
        <w:r w:rsidRPr="002E0FFE">
          <w:rPr>
            <w:rStyle w:val="Hyperlink"/>
            <w:lang w:val="de-AT"/>
          </w:rPr>
          <w:t>https://www.europarl.europa.eu/factsheets/de/sheet/34/vergabe-offentlicher-auftrage</w:t>
        </w:r>
      </w:hyperlink>
    </w:p>
    <w:p w14:paraId="3E41E2B4" w14:textId="77777777" w:rsidR="00623AF8" w:rsidRPr="002E0FFE" w:rsidRDefault="00623AF8" w:rsidP="00623AF8">
      <w:pPr>
        <w:pStyle w:val="Funotentext"/>
        <w:rPr>
          <w:lang w:val="de-AT"/>
        </w:rPr>
      </w:pPr>
    </w:p>
  </w:footnote>
  <w:footnote w:id="2">
    <w:p w14:paraId="00A2F507" w14:textId="77777777" w:rsidR="00623AF8" w:rsidRPr="00D669D9" w:rsidRDefault="00623AF8" w:rsidP="00623AF8">
      <w:pPr>
        <w:pStyle w:val="Funotentext"/>
        <w:ind w:left="0" w:firstLine="0"/>
        <w:rPr>
          <w:lang w:val="de-AT"/>
        </w:rPr>
      </w:pPr>
      <w:r>
        <w:rPr>
          <w:rStyle w:val="Funotenzeichen"/>
        </w:rPr>
        <w:footnoteRef/>
      </w:r>
      <w:r w:rsidRPr="0085204A">
        <w:rPr>
          <w:lang w:val="de-AT"/>
        </w:rPr>
        <w:t> </w:t>
      </w:r>
      <w:hyperlink r:id="rId2" w:history="1">
        <w:r w:rsidRPr="0085204A">
          <w:rPr>
            <w:rStyle w:val="Hyperlink"/>
            <w:rFonts w:ascii="Aptos" w:hAnsi="Aptos"/>
            <w:sz w:val="16"/>
            <w:szCs w:val="16"/>
            <w:lang w:val="de-AT"/>
          </w:rPr>
          <w:t>https://www.eea.europa.eu/de/signale/signale-2023/artikel/wasserqualitaet-und-wassermenge-sind-der</w:t>
        </w:r>
      </w:hyperlink>
      <w:r w:rsidRPr="0085204A">
        <w:rPr>
          <w:rFonts w:ascii="Aptos" w:hAnsi="Aptos"/>
          <w:sz w:val="16"/>
          <w:szCs w:val="16"/>
          <w:lang w:val="de-AT"/>
        </w:rPr>
        <w:t xml:space="preserve">  (17.06.2024)</w:t>
      </w:r>
    </w:p>
  </w:footnote>
  <w:footnote w:id="3">
    <w:p w14:paraId="069EB4A9" w14:textId="77777777" w:rsidR="00623AF8" w:rsidRPr="00B908B0" w:rsidRDefault="00623AF8" w:rsidP="00623AF8">
      <w:pPr>
        <w:pStyle w:val="Funotentext"/>
        <w:rPr>
          <w:rFonts w:ascii="Aptos" w:hAnsi="Aptos"/>
          <w:lang w:val="de-AT"/>
        </w:rPr>
      </w:pPr>
      <w:r w:rsidRPr="00B908B0">
        <w:rPr>
          <w:rStyle w:val="Funotenzeichen"/>
          <w:rFonts w:ascii="Aptos" w:hAnsi="Aptos"/>
          <w:sz w:val="18"/>
          <w:szCs w:val="18"/>
        </w:rPr>
        <w:footnoteRef/>
      </w:r>
      <w:r w:rsidRPr="00B908B0">
        <w:rPr>
          <w:rFonts w:ascii="Aptos" w:hAnsi="Aptos"/>
          <w:sz w:val="18"/>
          <w:szCs w:val="18"/>
          <w:lang w:val="de-AT"/>
        </w:rPr>
        <w:t xml:space="preserve"> </w:t>
      </w:r>
      <w:hyperlink r:id="rId3" w:history="1">
        <w:r w:rsidRPr="00B908B0">
          <w:rPr>
            <w:rStyle w:val="Hyperlink"/>
            <w:rFonts w:ascii="Aptos" w:hAnsi="Aptos"/>
            <w:sz w:val="18"/>
            <w:szCs w:val="18"/>
            <w:lang w:val="de-AT"/>
          </w:rPr>
          <w:t>https://www.dvgw.de/medien/dvgw/leistungen/publikationen/h2o-fuer-elektrolyse-dvgw-factsheet.pdf</w:t>
        </w:r>
      </w:hyperlink>
      <w:r w:rsidRPr="00B908B0">
        <w:rPr>
          <w:rFonts w:ascii="Aptos" w:hAnsi="Aptos"/>
          <w:sz w:val="18"/>
          <w:szCs w:val="18"/>
          <w:lang w:val="de-AT"/>
        </w:rPr>
        <w:t xml:space="preserve">, S. 6 </w:t>
      </w:r>
    </w:p>
  </w:footnote>
  <w:footnote w:id="4">
    <w:p w14:paraId="118563D5" w14:textId="77777777" w:rsidR="00623AF8" w:rsidRPr="00E66FF6" w:rsidRDefault="00623AF8" w:rsidP="00623AF8">
      <w:pPr>
        <w:pStyle w:val="Funotentext"/>
        <w:ind w:left="0" w:hanging="11"/>
        <w:rPr>
          <w:lang w:val="de-AT"/>
        </w:rPr>
      </w:pPr>
      <w:r>
        <w:rPr>
          <w:rStyle w:val="Funotenzeichen"/>
        </w:rPr>
        <w:footnoteRef/>
      </w:r>
      <w:r>
        <w:rPr>
          <w:lang w:val="de-AT"/>
        </w:rPr>
        <w:t> </w:t>
      </w:r>
      <w:hyperlink r:id="rId4" w:history="1">
        <w:r w:rsidRPr="009C51AE">
          <w:rPr>
            <w:rStyle w:val="Hyperlink"/>
            <w:rFonts w:ascii="Aptos" w:hAnsi="Aptos"/>
            <w:sz w:val="16"/>
            <w:szCs w:val="16"/>
            <w:lang w:val="de-AT"/>
          </w:rPr>
          <w:t>https://water.europa.eu/freshwater/europe-freshwater/water-framework-directive/surface-water-ecological-status-pressures</w:t>
        </w:r>
      </w:hyperlink>
      <w:r>
        <w:rPr>
          <w:rFonts w:ascii="Aptos" w:hAnsi="Aptos"/>
          <w:sz w:val="16"/>
          <w:szCs w:val="16"/>
          <w:lang w:val="de-AT"/>
        </w:rPr>
        <w:t xml:space="preserve"> (17.06.2024)</w:t>
      </w:r>
    </w:p>
  </w:footnote>
  <w:footnote w:id="5">
    <w:p w14:paraId="45539656" w14:textId="77777777" w:rsidR="00623AF8" w:rsidRPr="00497AB8" w:rsidRDefault="00623AF8" w:rsidP="00623AF8">
      <w:pPr>
        <w:pStyle w:val="Funotentext"/>
        <w:ind w:left="0" w:firstLine="0"/>
        <w:rPr>
          <w:lang w:val="de-AT"/>
        </w:rPr>
      </w:pPr>
      <w:r>
        <w:rPr>
          <w:rStyle w:val="Funotenzeichen"/>
        </w:rPr>
        <w:footnoteRef/>
      </w:r>
      <w:r>
        <w:rPr>
          <w:lang w:val="de-AT"/>
        </w:rPr>
        <w:t> </w:t>
      </w:r>
      <w:hyperlink r:id="rId5" w:history="1">
        <w:r w:rsidRPr="00431893">
          <w:rPr>
            <w:rStyle w:val="Hyperlink"/>
            <w:rFonts w:ascii="Aptos" w:hAnsi="Aptos"/>
            <w:sz w:val="16"/>
            <w:szCs w:val="16"/>
            <w:lang w:val="de-AT"/>
          </w:rPr>
          <w:t>https://www.etuc.org/sites/default/files/publication/file/2024-04/Publication%20-%20Fiscal%20Rules%20Report.pdf</w:t>
        </w:r>
      </w:hyperlink>
      <w:r w:rsidRPr="00497AB8">
        <w:rPr>
          <w:rFonts w:ascii="Aptos" w:hAnsi="Aptos"/>
          <w:sz w:val="16"/>
          <w:szCs w:val="16"/>
          <w:lang w:val="de-AT"/>
        </w:rPr>
        <w:t xml:space="preserve"> (19.06.2024)</w:t>
      </w:r>
    </w:p>
  </w:footnote>
  <w:footnote w:id="6">
    <w:p w14:paraId="32BB4567" w14:textId="77777777" w:rsidR="00623AF8" w:rsidRPr="00D36F26" w:rsidRDefault="00623AF8" w:rsidP="00623AF8">
      <w:pPr>
        <w:pStyle w:val="Funotentext"/>
        <w:ind w:left="0" w:firstLine="0"/>
        <w:rPr>
          <w:lang w:val="de-AT"/>
        </w:rPr>
      </w:pPr>
      <w:r>
        <w:rPr>
          <w:rStyle w:val="Funotenzeichen"/>
        </w:rPr>
        <w:footnoteRef/>
      </w:r>
      <w:r w:rsidRPr="00D36F26">
        <w:rPr>
          <w:lang w:val="de-AT"/>
        </w:rPr>
        <w:t xml:space="preserve"> </w:t>
      </w:r>
      <w:hyperlink r:id="rId6" w:history="1">
        <w:r w:rsidRPr="00D36F26">
          <w:rPr>
            <w:rStyle w:val="Hyperlink"/>
            <w:rFonts w:ascii="Aptos" w:hAnsi="Aptos"/>
            <w:sz w:val="16"/>
            <w:szCs w:val="16"/>
            <w:lang w:val="de-AT"/>
          </w:rPr>
          <w:t>https://www.staedtetag.de/files/dst/docs/Dezernat-1/Europa-und-Internationales/2024/240124-bruesseler-erklaerung-europaeischer-buergermeister_innen.pdf</w:t>
        </w:r>
      </w:hyperlink>
      <w:r w:rsidRPr="00D36F26">
        <w:rPr>
          <w:rFonts w:ascii="Aptos" w:hAnsi="Aptos"/>
          <w:sz w:val="16"/>
          <w:szCs w:val="16"/>
          <w:lang w:val="de-AT"/>
        </w:rPr>
        <w:t xml:space="preserve"> (19.06.2024)</w:t>
      </w:r>
    </w:p>
  </w:footnote>
  <w:footnote w:id="7">
    <w:p w14:paraId="55625C81" w14:textId="77777777" w:rsidR="00623AF8" w:rsidRPr="00936B41" w:rsidRDefault="00623AF8" w:rsidP="00623AF8">
      <w:pPr>
        <w:rPr>
          <w:rFonts w:ascii="Aptos" w:hAnsi="Aptos"/>
          <w:sz w:val="20"/>
          <w:szCs w:val="20"/>
          <w:lang w:val="en-GB"/>
        </w:rPr>
      </w:pPr>
      <w:r>
        <w:rPr>
          <w:rStyle w:val="Funotenzeichen"/>
        </w:rPr>
        <w:footnoteRef/>
      </w:r>
      <w:r w:rsidRPr="00936B41">
        <w:rPr>
          <w:lang w:val="en-US"/>
        </w:rPr>
        <w:t xml:space="preserve"> </w:t>
      </w:r>
      <w:r w:rsidRPr="00936B41">
        <w:rPr>
          <w:rFonts w:ascii="Aptos" w:hAnsi="Aptos"/>
          <w:sz w:val="20"/>
          <w:szCs w:val="20"/>
          <w:lang w:val="en-GB"/>
        </w:rPr>
        <w:t xml:space="preserve">European Comission 2024 Carbon Border Adjustment Mechanism </w:t>
      </w:r>
    </w:p>
    <w:p w14:paraId="3983A3C5" w14:textId="77777777" w:rsidR="00623AF8" w:rsidRPr="00936B41" w:rsidRDefault="00AC460E" w:rsidP="00623AF8">
      <w:pPr>
        <w:pStyle w:val="Funotentext"/>
      </w:pPr>
      <w:hyperlink r:id="rId7" w:history="1">
        <w:r w:rsidR="00623AF8" w:rsidRPr="00936B41">
          <w:rPr>
            <w:rStyle w:val="Hyperlink"/>
            <w:rFonts w:ascii="Aptos" w:hAnsi="Aptos"/>
          </w:rPr>
          <w:t>https://taxation-customs.ec.europa.eu/carbon-border-adjustment-mechanism_en</w:t>
        </w:r>
      </w:hyperlink>
    </w:p>
  </w:footnote>
  <w:footnote w:id="8">
    <w:p w14:paraId="0A2E8D6B" w14:textId="77777777" w:rsidR="00623AF8" w:rsidRPr="00010C2C" w:rsidRDefault="00623AF8" w:rsidP="00623AF8">
      <w:pPr>
        <w:rPr>
          <w:rFonts w:ascii="Aptos" w:hAnsi="Aptos"/>
          <w:sz w:val="20"/>
          <w:szCs w:val="20"/>
        </w:rPr>
      </w:pPr>
      <w:r>
        <w:rPr>
          <w:rStyle w:val="Funotenzeichen"/>
        </w:rPr>
        <w:footnoteRef/>
      </w:r>
      <w:r>
        <w:t xml:space="preserve"> </w:t>
      </w:r>
      <w:r w:rsidRPr="00010C2C">
        <w:rPr>
          <w:rFonts w:ascii="Aptos" w:hAnsi="Aptos"/>
          <w:sz w:val="20"/>
          <w:szCs w:val="20"/>
        </w:rPr>
        <w:t>Armin Truger 2015: Die Implementierung der Goldenen Regel für öffentliche Investitionen in Europa - Sicherung der öffentlichen Investitionen und Unterstützung der Konjunktur (Zusammenfassung)</w:t>
      </w:r>
    </w:p>
    <w:p w14:paraId="36F3F4F9" w14:textId="77777777" w:rsidR="00623AF8" w:rsidRPr="00010C2C" w:rsidRDefault="00623AF8" w:rsidP="00623AF8">
      <w:pPr>
        <w:pStyle w:val="Funotentext"/>
        <w:rPr>
          <w:lang w:val="de-AT"/>
        </w:rPr>
      </w:pPr>
      <w:r w:rsidRPr="00010C2C">
        <w:rPr>
          <w:rStyle w:val="Hyperlink"/>
          <w:rFonts w:ascii="Aptos" w:hAnsi="Aptos"/>
          <w:lang w:val="de-AT"/>
        </w:rPr>
        <w:t>https://www.arbeiterkammer.at/infopool/wien/Studie_Golden_Rule_kurz.pdf</w:t>
      </w:r>
    </w:p>
  </w:footnote>
  <w:footnote w:id="9">
    <w:p w14:paraId="4809C9A6" w14:textId="77777777" w:rsidR="00623AF8" w:rsidRPr="00010C2C" w:rsidRDefault="00623AF8" w:rsidP="00623AF8">
      <w:pPr>
        <w:rPr>
          <w:rFonts w:ascii="Aptos" w:hAnsi="Aptos"/>
          <w:sz w:val="20"/>
          <w:szCs w:val="20"/>
          <w:lang w:val="en-GB"/>
        </w:rPr>
      </w:pPr>
      <w:r>
        <w:rPr>
          <w:rStyle w:val="Funotenzeichen"/>
        </w:rPr>
        <w:footnoteRef/>
      </w:r>
      <w:r w:rsidRPr="00010C2C">
        <w:rPr>
          <w:lang w:val="en-US"/>
        </w:rPr>
        <w:t xml:space="preserve"> </w:t>
      </w:r>
      <w:r w:rsidRPr="00010C2C">
        <w:rPr>
          <w:rFonts w:ascii="Aptos" w:hAnsi="Aptos"/>
          <w:sz w:val="20"/>
          <w:szCs w:val="20"/>
          <w:lang w:val="en-GB"/>
        </w:rPr>
        <w:t xml:space="preserve">Kalin Anev Janse 2023: </w:t>
      </w:r>
      <w:r w:rsidRPr="00010C2C">
        <w:rPr>
          <w:sz w:val="20"/>
          <w:szCs w:val="20"/>
          <w:lang w:val="en-GB"/>
        </w:rPr>
        <w:t>Developing European Safe Assets</w:t>
      </w:r>
    </w:p>
    <w:p w14:paraId="3A89D34D" w14:textId="77777777" w:rsidR="00623AF8" w:rsidRPr="00010C2C" w:rsidRDefault="00623AF8" w:rsidP="00623AF8">
      <w:pPr>
        <w:pStyle w:val="Funotentext"/>
      </w:pPr>
      <w:r w:rsidRPr="00010C2C">
        <w:rPr>
          <w:rStyle w:val="Hyperlink"/>
          <w:rFonts w:ascii="Aptos" w:hAnsi="Aptos"/>
        </w:rPr>
        <w:t>https://www.esm.europa.eu/articles-and-op-eds/developing-european-safe-assets-article-intereconomics</w:t>
      </w:r>
    </w:p>
  </w:footnote>
  <w:footnote w:id="10">
    <w:p w14:paraId="547BFD53" w14:textId="77777777" w:rsidR="00623AF8" w:rsidRPr="00587C00" w:rsidRDefault="00623AF8" w:rsidP="00623AF8">
      <w:pPr>
        <w:rPr>
          <w:rFonts w:ascii="Aptos" w:hAnsi="Aptos"/>
          <w:sz w:val="18"/>
          <w:szCs w:val="18"/>
        </w:rPr>
      </w:pPr>
      <w:r>
        <w:rPr>
          <w:rStyle w:val="Funotenzeichen"/>
        </w:rPr>
        <w:footnoteRef/>
      </w:r>
      <w:r>
        <w:t xml:space="preserve"> </w:t>
      </w:r>
      <w:r w:rsidRPr="00587C00">
        <w:rPr>
          <w:rFonts w:ascii="Aptos" w:hAnsi="Aptos"/>
          <w:sz w:val="18"/>
          <w:szCs w:val="18"/>
        </w:rPr>
        <w:t>Franz Nauschnigg 2015: Die österreischische Infrastrukturgesellschaft ASFINAG als verkehrspolitisches Modell</w:t>
      </w:r>
    </w:p>
    <w:p w14:paraId="33B23684" w14:textId="77777777" w:rsidR="00623AF8" w:rsidRPr="00587C00" w:rsidRDefault="00623AF8" w:rsidP="00623AF8">
      <w:pPr>
        <w:pStyle w:val="Funotentext"/>
        <w:rPr>
          <w:lang w:val="de-AT"/>
        </w:rPr>
      </w:pPr>
      <w:r w:rsidRPr="00587C00">
        <w:rPr>
          <w:rStyle w:val="Hyperlink"/>
          <w:rFonts w:ascii="Aptos" w:hAnsi="Aptos"/>
          <w:sz w:val="18"/>
          <w:szCs w:val="18"/>
          <w:lang w:val="de-AT"/>
        </w:rPr>
        <w:t>https://www.wirtschaftsdienst.eu/pdf-download/jahr/2015/heft/5/beitrag/die-oesterreichische-infrastrukturgesellschaft-asfinag-als-verkehrspolitisches-modell.html</w:t>
      </w:r>
    </w:p>
  </w:footnote>
  <w:footnote w:id="11">
    <w:p w14:paraId="56E225DE" w14:textId="77777777" w:rsidR="00623AF8" w:rsidRPr="00DE229E" w:rsidRDefault="00623AF8" w:rsidP="00623AF8">
      <w:pPr>
        <w:rPr>
          <w:rFonts w:ascii="Aptos" w:hAnsi="Aptos"/>
          <w:sz w:val="20"/>
          <w:szCs w:val="20"/>
          <w:lang w:val="en-GB"/>
        </w:rPr>
      </w:pPr>
      <w:r>
        <w:rPr>
          <w:rStyle w:val="Funotenzeichen"/>
        </w:rPr>
        <w:footnoteRef/>
      </w:r>
      <w:r w:rsidRPr="00DE229E">
        <w:rPr>
          <w:lang w:val="en-US"/>
        </w:rPr>
        <w:t xml:space="preserve"> </w:t>
      </w:r>
      <w:r w:rsidRPr="00DE229E">
        <w:rPr>
          <w:rFonts w:ascii="Aptos" w:hAnsi="Aptos"/>
          <w:sz w:val="20"/>
          <w:szCs w:val="20"/>
          <w:lang w:val="en-GB"/>
        </w:rPr>
        <w:t>Eurostat  2013: European system of accounts ESA 2010.:</w:t>
      </w:r>
    </w:p>
    <w:p w14:paraId="3CD38D2A" w14:textId="77777777" w:rsidR="00623AF8" w:rsidRPr="00DE229E" w:rsidRDefault="00AC460E" w:rsidP="00623AF8">
      <w:pPr>
        <w:pStyle w:val="Listenabsatz"/>
        <w:ind w:left="360"/>
        <w:rPr>
          <w:rFonts w:ascii="Aptos" w:hAnsi="Aptos"/>
          <w:color w:val="0000FF"/>
          <w:sz w:val="20"/>
          <w:szCs w:val="20"/>
          <w:u w:val="single"/>
          <w:lang w:val="en-GB"/>
        </w:rPr>
      </w:pPr>
      <w:hyperlink r:id="rId8" w:history="1">
        <w:r w:rsidR="00623AF8" w:rsidRPr="00DE229E">
          <w:rPr>
            <w:rStyle w:val="Hyperlink"/>
            <w:rFonts w:ascii="Aptos" w:hAnsi="Aptos"/>
            <w:sz w:val="20"/>
            <w:szCs w:val="20"/>
            <w:lang w:val="en-GB"/>
          </w:rPr>
          <w:t>https://ec.europa.eu/eurostat/documents/3859598/5925693/KS-02-13-269-EN.PDF.pdf/44cd9d01-bc64-40e5-bd40-d17df0c69334?t=1414781932000</w:t>
        </w:r>
      </w:hyperlink>
    </w:p>
  </w:footnote>
  <w:footnote w:id="12">
    <w:p w14:paraId="1ADB6418" w14:textId="77777777" w:rsidR="00623AF8" w:rsidRPr="00E66BEA" w:rsidRDefault="00623AF8" w:rsidP="00623AF8">
      <w:pPr>
        <w:widowControl w:val="0"/>
        <w:autoSpaceDE w:val="0"/>
        <w:autoSpaceDN w:val="0"/>
        <w:rPr>
          <w:rFonts w:ascii="Aptos" w:hAnsi="Aptos"/>
          <w:sz w:val="20"/>
          <w:szCs w:val="20"/>
          <w:lang w:val="en-GB"/>
        </w:rPr>
      </w:pPr>
      <w:r>
        <w:rPr>
          <w:rStyle w:val="Funotenzeichen"/>
        </w:rPr>
        <w:footnoteRef/>
      </w:r>
      <w:r w:rsidRPr="00E66BEA">
        <w:rPr>
          <w:lang w:val="en-US"/>
        </w:rPr>
        <w:t xml:space="preserve"> </w:t>
      </w:r>
      <w:r w:rsidRPr="00E66BEA">
        <w:rPr>
          <w:rFonts w:ascii="Aptos" w:hAnsi="Aptos"/>
          <w:sz w:val="20"/>
          <w:szCs w:val="20"/>
          <w:lang w:val="en-GB"/>
        </w:rPr>
        <w:t>Eurostat  2013: European system of accounts ESA 2010.:</w:t>
      </w:r>
    </w:p>
    <w:p w14:paraId="6D9BAC68" w14:textId="77777777" w:rsidR="00623AF8" w:rsidRPr="00E66BEA" w:rsidRDefault="00AC460E" w:rsidP="00623AF8">
      <w:pPr>
        <w:pStyle w:val="Listenabsatz"/>
        <w:ind w:left="360"/>
        <w:rPr>
          <w:rFonts w:ascii="Aptos" w:hAnsi="Aptos"/>
          <w:color w:val="0000FF"/>
          <w:sz w:val="20"/>
          <w:szCs w:val="20"/>
          <w:u w:val="single"/>
          <w:lang w:val="en-GB"/>
        </w:rPr>
      </w:pPr>
      <w:hyperlink r:id="rId9" w:history="1">
        <w:r w:rsidR="00623AF8" w:rsidRPr="00E66BEA">
          <w:rPr>
            <w:rStyle w:val="Hyperlink"/>
            <w:rFonts w:ascii="Aptos" w:hAnsi="Aptos"/>
            <w:sz w:val="20"/>
            <w:szCs w:val="20"/>
            <w:lang w:val="en-GB"/>
          </w:rPr>
          <w:t>https://ec.europa.eu/eurostat/documents/3859598/5925693/KS-02-13-269-EN.PDF.pdf/44cd9d01-bc64-40e5-bd40-d17df0c69334?t=1414781932000</w:t>
        </w:r>
      </w:hyperlink>
    </w:p>
  </w:footnote>
  <w:footnote w:id="13">
    <w:p w14:paraId="0831FAC2" w14:textId="77777777" w:rsidR="00623AF8" w:rsidRPr="00B45C03" w:rsidRDefault="00623AF8" w:rsidP="00623AF8">
      <w:pPr>
        <w:rPr>
          <w:rFonts w:ascii="Aptos" w:hAnsi="Aptos"/>
          <w:sz w:val="20"/>
          <w:szCs w:val="20"/>
          <w:lang w:val="en-GB"/>
        </w:rPr>
      </w:pPr>
      <w:r>
        <w:rPr>
          <w:rStyle w:val="Funotenzeichen"/>
        </w:rPr>
        <w:footnoteRef/>
      </w:r>
      <w:r w:rsidRPr="00B45C03">
        <w:rPr>
          <w:lang w:val="en-US"/>
        </w:rPr>
        <w:t xml:space="preserve"> </w:t>
      </w:r>
      <w:r w:rsidRPr="00B45C03">
        <w:rPr>
          <w:rFonts w:ascii="Aptos" w:hAnsi="Aptos"/>
          <w:sz w:val="20"/>
          <w:szCs w:val="20"/>
          <w:lang w:val="en-GB"/>
        </w:rPr>
        <w:t>EIB 2022: Investment Survey 2022 – European Union overview</w:t>
      </w:r>
    </w:p>
    <w:p w14:paraId="006DAA64" w14:textId="77777777" w:rsidR="00623AF8" w:rsidRPr="00B45C03" w:rsidRDefault="00623AF8" w:rsidP="00623AF8">
      <w:pPr>
        <w:pStyle w:val="Listenabsatz"/>
        <w:ind w:left="360"/>
        <w:rPr>
          <w:rStyle w:val="Hyperlink"/>
          <w:rFonts w:ascii="Aptos" w:hAnsi="Aptos"/>
          <w:sz w:val="20"/>
          <w:szCs w:val="20"/>
          <w:lang w:val="en-GB"/>
        </w:rPr>
      </w:pPr>
      <w:r w:rsidRPr="00B45C03">
        <w:rPr>
          <w:rFonts w:ascii="Aptos" w:hAnsi="Aptos"/>
          <w:sz w:val="20"/>
          <w:szCs w:val="20"/>
        </w:rPr>
        <w:fldChar w:fldCharType="begin"/>
      </w:r>
      <w:r w:rsidRPr="00B45C03">
        <w:rPr>
          <w:rFonts w:ascii="Aptos" w:hAnsi="Aptos"/>
          <w:sz w:val="20"/>
          <w:szCs w:val="20"/>
          <w:lang w:val="en-GB"/>
        </w:rPr>
        <w:instrText>HYPERLINK "https://www.eib.org/attachments/lucalli/20220219_econ_eibis_2022_eu_en.phttps:/www.eib.org/attachments/lucalli/20220219_econ_eibis_2022_eu_en.pdf"</w:instrText>
      </w:r>
      <w:r w:rsidRPr="00B45C03">
        <w:rPr>
          <w:rFonts w:ascii="Aptos" w:hAnsi="Aptos"/>
          <w:sz w:val="20"/>
          <w:szCs w:val="20"/>
        </w:rPr>
      </w:r>
      <w:r w:rsidRPr="00B45C03">
        <w:rPr>
          <w:rFonts w:ascii="Aptos" w:hAnsi="Aptos"/>
          <w:sz w:val="20"/>
          <w:szCs w:val="20"/>
        </w:rPr>
        <w:fldChar w:fldCharType="separate"/>
      </w:r>
      <w:r w:rsidRPr="00B45C03">
        <w:rPr>
          <w:rStyle w:val="Hyperlink"/>
          <w:rFonts w:ascii="Aptos" w:hAnsi="Aptos"/>
          <w:sz w:val="20"/>
          <w:szCs w:val="20"/>
          <w:lang w:val="en-GB"/>
        </w:rPr>
        <w:t>https://ec.europa.eu/eurostat/documents/3859598/5925693/KS-02-13-269-EN.PDF.pdf/44cd9d01-bc64-40e5-bd40-d17df0c69334?t=1414781932000</w:t>
      </w:r>
    </w:p>
    <w:p w14:paraId="0A2E5D80" w14:textId="77777777" w:rsidR="00623AF8" w:rsidRPr="00843695" w:rsidRDefault="00623AF8" w:rsidP="00623AF8">
      <w:pPr>
        <w:pStyle w:val="Funotentext"/>
        <w:ind w:left="0" w:firstLine="0"/>
      </w:pPr>
      <w:r w:rsidRPr="00B45C03">
        <w:rPr>
          <w:rFonts w:ascii="Aptos" w:hAnsi="Aptos"/>
        </w:rPr>
        <w:fldChar w:fldCharType="end"/>
      </w:r>
    </w:p>
  </w:footnote>
  <w:footnote w:id="14">
    <w:p w14:paraId="2FC5C08F" w14:textId="77777777" w:rsidR="00623AF8" w:rsidRPr="008C122D" w:rsidRDefault="00623AF8" w:rsidP="00623AF8">
      <w:pPr>
        <w:rPr>
          <w:rFonts w:ascii="Aptos" w:hAnsi="Aptos"/>
          <w:sz w:val="20"/>
          <w:szCs w:val="20"/>
          <w:lang w:val="en-GB"/>
        </w:rPr>
      </w:pPr>
      <w:r>
        <w:rPr>
          <w:rStyle w:val="Funotenzeichen"/>
        </w:rPr>
        <w:footnoteRef/>
      </w:r>
      <w:r w:rsidRPr="008C122D">
        <w:rPr>
          <w:lang w:val="en-US"/>
        </w:rPr>
        <w:t xml:space="preserve"> </w:t>
      </w:r>
      <w:r w:rsidRPr="008C122D">
        <w:rPr>
          <w:rFonts w:ascii="Aptos" w:hAnsi="Aptos"/>
          <w:sz w:val="20"/>
          <w:szCs w:val="20"/>
          <w:lang w:val="en-GB"/>
        </w:rPr>
        <w:t>European Commission - Press release, 21.2.2024.: Halfway through its lifetime, the Recovery and Resilience Facility continues to deliver across the EU through ambitious reforms and investments</w:t>
      </w:r>
      <w:r w:rsidRPr="008C122D">
        <w:rPr>
          <w:rFonts w:ascii="Aptos" w:hAnsi="Aptos"/>
          <w:sz w:val="20"/>
          <w:szCs w:val="20"/>
          <w:lang w:val="en-GB"/>
        </w:rPr>
        <w:cr/>
      </w:r>
      <w:hyperlink r:id="rId10" w:history="1">
        <w:r w:rsidRPr="008C122D">
          <w:rPr>
            <w:rStyle w:val="Hyperlink"/>
            <w:rFonts w:ascii="Aptos" w:hAnsi="Aptos"/>
            <w:sz w:val="20"/>
            <w:szCs w:val="20"/>
            <w:lang w:val="en-GB"/>
          </w:rPr>
          <w:t>https://ec.europa.eu/commission/presscorner/api/files/document/print/en/ip_24_943/IP_24_943_EN.pdf</w:t>
        </w:r>
      </w:hyperlink>
    </w:p>
  </w:footnote>
  <w:footnote w:id="15">
    <w:p w14:paraId="5078F0BF" w14:textId="77777777" w:rsidR="00623AF8" w:rsidRPr="00FC3AA3" w:rsidRDefault="00623AF8" w:rsidP="00623AF8">
      <w:pPr>
        <w:rPr>
          <w:rFonts w:ascii="Aptos" w:hAnsi="Aptos"/>
          <w:bCs/>
          <w:iCs/>
          <w:sz w:val="20"/>
          <w:szCs w:val="20"/>
        </w:rPr>
      </w:pPr>
      <w:r>
        <w:rPr>
          <w:rStyle w:val="Funotenzeichen"/>
        </w:rPr>
        <w:footnoteRef/>
      </w:r>
      <w:r>
        <w:t xml:space="preserve"> </w:t>
      </w:r>
      <w:r w:rsidRPr="00FC3AA3">
        <w:rPr>
          <w:rFonts w:ascii="Aptos" w:hAnsi="Aptos"/>
          <w:sz w:val="20"/>
          <w:szCs w:val="20"/>
        </w:rPr>
        <w:t>Europäische Kommission: Amtsblatt der Europäischen Union 20.05.2023.:</w:t>
      </w:r>
    </w:p>
    <w:p w14:paraId="4AB8B9D2" w14:textId="77777777" w:rsidR="00623AF8" w:rsidRPr="00FC3AA3" w:rsidRDefault="00623AF8" w:rsidP="00623AF8">
      <w:pPr>
        <w:pStyle w:val="Listenabsatz"/>
        <w:ind w:left="360"/>
        <w:rPr>
          <w:rFonts w:ascii="Aptos" w:hAnsi="Aptos"/>
          <w:bCs/>
          <w:iCs/>
          <w:sz w:val="20"/>
          <w:szCs w:val="20"/>
        </w:rPr>
      </w:pPr>
      <w:r w:rsidRPr="00FC3AA3">
        <w:rPr>
          <w:rFonts w:ascii="Aptos" w:hAnsi="Aptos"/>
          <w:sz w:val="20"/>
          <w:szCs w:val="20"/>
        </w:rPr>
        <w:t xml:space="preserve"> </w:t>
      </w:r>
      <w:hyperlink r:id="rId11" w:history="1">
        <w:r w:rsidRPr="00FC3AA3">
          <w:rPr>
            <w:rStyle w:val="Hyperlink"/>
            <w:rFonts w:ascii="Aptos" w:hAnsi="Aptos"/>
            <w:bCs/>
            <w:iCs/>
            <w:sz w:val="20"/>
            <w:szCs w:val="20"/>
          </w:rPr>
          <w:t>http://eur-lex.europa.eu/legal-content/DE/TXT/PDF/?uri=CELEX:32003H0361&amp;from=EN</w:t>
        </w:r>
      </w:hyperlink>
      <w:r w:rsidRPr="00FC3AA3">
        <w:rPr>
          <w:rFonts w:ascii="Aptos" w:hAnsi="Aptos"/>
          <w:bCs/>
          <w:iCs/>
          <w:sz w:val="20"/>
          <w:szCs w:val="20"/>
        </w:rPr>
        <w:t xml:space="preserve"> </w:t>
      </w:r>
    </w:p>
  </w:footnote>
  <w:footnote w:id="16">
    <w:p w14:paraId="2BBD9B23" w14:textId="77777777" w:rsidR="00623AF8" w:rsidRPr="000A7C46" w:rsidRDefault="00623AF8" w:rsidP="00623AF8">
      <w:pPr>
        <w:ind w:left="238" w:hanging="238"/>
        <w:rPr>
          <w:rFonts w:ascii="Times New Roman" w:eastAsia="Times New Roman" w:hAnsi="Times New Roman" w:cs="Times New Roman"/>
          <w:lang w:eastAsia="zh-CN"/>
        </w:rPr>
      </w:pPr>
      <w:r w:rsidRPr="000A7C46">
        <w:rPr>
          <w:rStyle w:val="Funotenzeichen"/>
          <w:rFonts w:ascii="Aptos" w:hAnsi="Aptos"/>
          <w:sz w:val="18"/>
          <w:szCs w:val="18"/>
        </w:rPr>
        <w:footnoteRef/>
      </w:r>
      <w:r w:rsidRPr="000A7C46">
        <w:rPr>
          <w:rFonts w:ascii="Aptos" w:hAnsi="Aptos"/>
          <w:sz w:val="18"/>
          <w:szCs w:val="18"/>
        </w:rPr>
        <w:t xml:space="preserve"> </w:t>
      </w:r>
      <w:r w:rsidRPr="000A7C46">
        <w:rPr>
          <w:rFonts w:ascii="Aptos" w:eastAsia="Times New Roman" w:hAnsi="Aptos" w:cs="Times New Roman"/>
          <w:sz w:val="18"/>
          <w:szCs w:val="18"/>
          <w:lang w:eastAsia="zh-CN"/>
        </w:rPr>
        <w:t xml:space="preserve">Plank, L., Volmary, H., Krenn, M., &amp; Blaas, W. (2023). </w:t>
      </w:r>
      <w:r w:rsidRPr="000A7C46">
        <w:rPr>
          <w:rFonts w:ascii="Aptos" w:eastAsia="Times New Roman" w:hAnsi="Aptos" w:cs="Times New Roman"/>
          <w:i/>
          <w:iCs/>
          <w:sz w:val="18"/>
          <w:szCs w:val="18"/>
          <w:lang w:eastAsia="zh-CN"/>
        </w:rPr>
        <w:t>Shareholderorientierte transnationale Investoren in der kritischen sozialen Infrastruktur</w:t>
      </w:r>
      <w:r w:rsidRPr="000A7C46">
        <w:rPr>
          <w:rFonts w:ascii="Aptos" w:eastAsia="Times New Roman" w:hAnsi="Aptos" w:cs="Times New Roman"/>
          <w:sz w:val="18"/>
          <w:szCs w:val="18"/>
          <w:lang w:eastAsia="zh-CN"/>
        </w:rPr>
        <w:t xml:space="preserve">. Verlag Arbeiterkammer Wien. </w:t>
      </w:r>
      <w:hyperlink r:id="rId12" w:history="1">
        <w:r w:rsidRPr="004413E9">
          <w:rPr>
            <w:rStyle w:val="Hyperlink"/>
            <w:rFonts w:ascii="Aptos" w:eastAsia="Times New Roman" w:hAnsi="Aptos" w:cs="Times New Roman"/>
            <w:sz w:val="18"/>
            <w:szCs w:val="18"/>
            <w:lang w:eastAsia="zh-CN"/>
          </w:rPr>
          <w:t>https://emedien.arbeiterkammer.at/resolver?urn=urn:nbn:at:at-akw:g-5867757</w:t>
        </w:r>
      </w:hyperlink>
      <w:r>
        <w:rPr>
          <w:rFonts w:ascii="Aptos" w:eastAsia="Times New Roman" w:hAnsi="Aptos" w:cs="Times New Roman"/>
          <w:sz w:val="18"/>
          <w:szCs w:val="18"/>
          <w:lang w:eastAsia="zh-CN"/>
        </w:rPr>
        <w:t xml:space="preserve"> </w:t>
      </w:r>
    </w:p>
    <w:p w14:paraId="23F54C22" w14:textId="77777777" w:rsidR="00623AF8" w:rsidRPr="000A7C46" w:rsidRDefault="00623AF8" w:rsidP="00623AF8">
      <w:pPr>
        <w:pStyle w:val="Funotentext"/>
        <w:rPr>
          <w:lang w:val="de-AT"/>
        </w:rPr>
      </w:pPr>
    </w:p>
  </w:footnote>
  <w:footnote w:id="17">
    <w:p w14:paraId="14767398" w14:textId="77777777" w:rsidR="00623AF8" w:rsidRPr="00AD71F0" w:rsidRDefault="00623AF8" w:rsidP="00623AF8">
      <w:pPr>
        <w:pStyle w:val="Funotentext"/>
        <w:rPr>
          <w:rFonts w:ascii="Aptos" w:hAnsi="Aptos"/>
          <w:sz w:val="18"/>
          <w:szCs w:val="18"/>
        </w:rPr>
      </w:pPr>
      <w:r w:rsidRPr="00AD71F0">
        <w:rPr>
          <w:rStyle w:val="Funotenzeichen"/>
          <w:rFonts w:ascii="Aptos" w:hAnsi="Aptos"/>
          <w:sz w:val="18"/>
          <w:szCs w:val="18"/>
        </w:rPr>
        <w:footnoteRef/>
      </w:r>
      <w:r w:rsidRPr="00AD71F0">
        <w:rPr>
          <w:rFonts w:ascii="Aptos" w:hAnsi="Aptos"/>
          <w:sz w:val="18"/>
          <w:szCs w:val="18"/>
        </w:rPr>
        <w:t xml:space="preserve"> Eur</w:t>
      </w:r>
      <w:r>
        <w:rPr>
          <w:rFonts w:ascii="Aptos" w:hAnsi="Aptos"/>
          <w:sz w:val="18"/>
          <w:szCs w:val="18"/>
        </w:rPr>
        <w:t>opäische Kommission</w:t>
      </w:r>
      <w:r w:rsidRPr="00AD71F0">
        <w:rPr>
          <w:rFonts w:ascii="Aptos" w:hAnsi="Aptos"/>
          <w:sz w:val="18"/>
          <w:szCs w:val="18"/>
        </w:rPr>
        <w:t>. (2021). The 2021 ageing report: economic &amp; budgetary projections for the EU Member States</w:t>
      </w:r>
      <w:r>
        <w:rPr>
          <w:rFonts w:ascii="Aptos" w:hAnsi="Aptos"/>
          <w:sz w:val="18"/>
          <w:szCs w:val="18"/>
        </w:rPr>
        <w:t xml:space="preserve"> </w:t>
      </w:r>
      <w:r w:rsidRPr="00AD71F0">
        <w:rPr>
          <w:rFonts w:ascii="Aptos" w:hAnsi="Aptos"/>
          <w:sz w:val="18"/>
          <w:szCs w:val="18"/>
        </w:rPr>
        <w:t xml:space="preserve">(2019 2070). Publications Office. </w:t>
      </w:r>
      <w:hyperlink r:id="rId13" w:history="1">
        <w:r w:rsidRPr="00AD71F0">
          <w:rPr>
            <w:rStyle w:val="Hyperlink"/>
            <w:rFonts w:ascii="Aptos" w:hAnsi="Aptos"/>
            <w:sz w:val="18"/>
            <w:szCs w:val="18"/>
          </w:rPr>
          <w:t>https://data.europa.eu/doi/10.2765/84455</w:t>
        </w:r>
      </w:hyperlink>
      <w:r w:rsidRPr="00AD71F0">
        <w:rPr>
          <w:rFonts w:ascii="Aptos" w:hAnsi="Aptos"/>
          <w:sz w:val="18"/>
          <w:szCs w:val="18"/>
        </w:rPr>
        <w:t xml:space="preserve"> </w:t>
      </w:r>
    </w:p>
    <w:p w14:paraId="1F3D4D63" w14:textId="77777777" w:rsidR="00623AF8" w:rsidRPr="0010091C" w:rsidRDefault="00623AF8" w:rsidP="00623AF8">
      <w:pPr>
        <w:pStyle w:val="Funotentext"/>
        <w:rPr>
          <w:rFonts w:ascii="Aptos" w:hAnsi="Aptos"/>
          <w:sz w:val="18"/>
          <w:szCs w:val="18"/>
          <w:lang w:val="en-US"/>
        </w:rPr>
      </w:pPr>
    </w:p>
  </w:footnote>
  <w:footnote w:id="18">
    <w:p w14:paraId="0DCE872A" w14:textId="77777777" w:rsidR="00623AF8" w:rsidRPr="00F11DDA" w:rsidRDefault="00623AF8" w:rsidP="00623AF8">
      <w:pPr>
        <w:pStyle w:val="Funotentext"/>
      </w:pPr>
      <w:r>
        <w:rPr>
          <w:rStyle w:val="Funotenzeichen"/>
        </w:rPr>
        <w:footnoteRef/>
      </w:r>
      <w:r w:rsidRPr="00B3081A">
        <w:rPr>
          <w:lang w:val="en-US"/>
        </w:rPr>
        <w:t xml:space="preserve"> Alström, V. (2023, Oktober 2). Vård och omsorg nytt riskområde för organiserad brottslighet. </w:t>
      </w:r>
      <w:r w:rsidRPr="00B3081A">
        <w:rPr>
          <w:i/>
          <w:iCs/>
          <w:lang w:val="en-US"/>
        </w:rPr>
        <w:t>SVT Nyheter</w:t>
      </w:r>
      <w:r w:rsidRPr="00B3081A">
        <w:rPr>
          <w:lang w:val="en-US"/>
        </w:rPr>
        <w:t xml:space="preserve">. </w:t>
      </w:r>
      <w:hyperlink r:id="rId14" w:history="1">
        <w:r w:rsidRPr="00F11DDA">
          <w:rPr>
            <w:rStyle w:val="Hyperlink"/>
          </w:rPr>
          <w:t>https://www.svt.se/nyheter/inrikes/vard-och-valfard-ett-nytt-affarsomrade-for-den-organiserade-brottsligheten</w:t>
        </w:r>
      </w:hyperlink>
    </w:p>
  </w:footnote>
  <w:footnote w:id="19">
    <w:p w14:paraId="47241293" w14:textId="77777777" w:rsidR="00623AF8" w:rsidRPr="0010091C" w:rsidRDefault="00623AF8" w:rsidP="00623AF8">
      <w:pPr>
        <w:pStyle w:val="Funotentext"/>
        <w:rPr>
          <w:lang w:val="de-AT"/>
        </w:rPr>
      </w:pPr>
      <w:r>
        <w:rPr>
          <w:rStyle w:val="Funotenzeichen"/>
        </w:rPr>
        <w:footnoteRef/>
      </w:r>
      <w:r w:rsidRPr="00F11DDA">
        <w:rPr>
          <w:lang w:val="de-AT"/>
        </w:rPr>
        <w:t xml:space="preserve"> </w:t>
      </w:r>
      <w:r w:rsidRPr="00396C0C">
        <w:rPr>
          <w:lang w:val="de-AT"/>
        </w:rPr>
        <w:t xml:space="preserve">Klintö, C., &amp; Tidningen Näringslivet. (2023, November 13). Miljarder till kriminella – så ska det stoppas. </w:t>
      </w:r>
      <w:r w:rsidRPr="00396C0C">
        <w:rPr>
          <w:i/>
          <w:iCs/>
          <w:lang w:val="de-AT"/>
        </w:rPr>
        <w:t>Tidningen Näringslivet</w:t>
      </w:r>
      <w:r w:rsidRPr="00396C0C">
        <w:rPr>
          <w:lang w:val="de-AT"/>
        </w:rPr>
        <w:t xml:space="preserve">. </w:t>
      </w:r>
      <w:hyperlink r:id="rId15" w:history="1">
        <w:r w:rsidRPr="00396C0C">
          <w:rPr>
            <w:rStyle w:val="Hyperlink"/>
            <w:lang w:val="de-AT"/>
          </w:rPr>
          <w:t>https://www.tn.se/article/33266/miljarder-till-kriminella-sa-ska-det-stoppas/</w:t>
        </w:r>
      </w:hyperlink>
    </w:p>
    <w:p w14:paraId="4DE973B5" w14:textId="77777777" w:rsidR="00623AF8" w:rsidRPr="00F11DDA" w:rsidRDefault="00623AF8" w:rsidP="00623AF8">
      <w:pPr>
        <w:pStyle w:val="Funotentext"/>
        <w:rPr>
          <w:lang w:val="de-AT"/>
        </w:rPr>
      </w:pPr>
    </w:p>
  </w:footnote>
  <w:footnote w:id="20">
    <w:p w14:paraId="1008CC96" w14:textId="77777777" w:rsidR="00623AF8" w:rsidRPr="00B3081A" w:rsidRDefault="00623AF8" w:rsidP="00623AF8">
      <w:pPr>
        <w:pStyle w:val="Funotentext"/>
      </w:pPr>
      <w:r>
        <w:rPr>
          <w:rStyle w:val="Funotenzeichen"/>
        </w:rPr>
        <w:footnoteRef/>
      </w:r>
      <w:r>
        <w:t xml:space="preserve"> </w:t>
      </w:r>
      <w:r w:rsidRPr="00F4588D">
        <w:rPr>
          <w:lang w:val="en-US"/>
        </w:rPr>
        <w:t xml:space="preserve">European Commission. (2024, Juni 14). </w:t>
      </w:r>
      <w:r w:rsidRPr="00F4588D">
        <w:rPr>
          <w:i/>
          <w:iCs/>
          <w:lang w:val="en-US"/>
        </w:rPr>
        <w:t>New EU rules on substances of human origin</w:t>
      </w:r>
      <w:r w:rsidRPr="00F4588D">
        <w:rPr>
          <w:lang w:val="en-US"/>
        </w:rPr>
        <w:t xml:space="preserve">. </w:t>
      </w:r>
      <w:hyperlink r:id="rId16" w:history="1">
        <w:r w:rsidRPr="00B3081A">
          <w:rPr>
            <w:rStyle w:val="Hyperlink"/>
          </w:rPr>
          <w:t>https://health.ec.europa.eu/blood-tissues-cells-and-organs/overview/new-eu-rules-substances-human-origin_en</w:t>
        </w:r>
      </w:hyperlink>
    </w:p>
    <w:p w14:paraId="3C9D4433" w14:textId="77777777" w:rsidR="00623AF8" w:rsidRPr="00B3081A" w:rsidRDefault="00623AF8" w:rsidP="00623AF8">
      <w:pPr>
        <w:pStyle w:val="Funotentext"/>
      </w:pPr>
    </w:p>
  </w:footnote>
  <w:footnote w:id="21">
    <w:p w14:paraId="784E2AB8" w14:textId="77777777" w:rsidR="00623AF8" w:rsidRPr="00622754" w:rsidRDefault="00623AF8" w:rsidP="00623AF8">
      <w:pPr>
        <w:pStyle w:val="Funotentext"/>
      </w:pPr>
      <w:r>
        <w:rPr>
          <w:rStyle w:val="Funotenzeichen"/>
        </w:rPr>
        <w:footnoteRef/>
      </w:r>
      <w:r w:rsidRPr="00857AA7">
        <w:rPr>
          <w:lang w:val="en-US"/>
        </w:rPr>
        <w:t xml:space="preserve"> </w:t>
      </w:r>
      <w:r w:rsidRPr="00622754">
        <w:t xml:space="preserve">European Commission. (2023). </w:t>
      </w:r>
      <w:r w:rsidRPr="00622754">
        <w:rPr>
          <w:i/>
          <w:iCs/>
        </w:rPr>
        <w:t>Employment and social developments in Europe 2023</w:t>
      </w:r>
      <w:r w:rsidRPr="00622754">
        <w:t xml:space="preserve">. Publications Office of the European Union. </w:t>
      </w:r>
      <w:hyperlink r:id="rId17" w:history="1">
        <w:r w:rsidRPr="00622754">
          <w:rPr>
            <w:rStyle w:val="Hyperlink"/>
          </w:rPr>
          <w:t>https://data.europa.eu/doi/10.2767/089698</w:t>
        </w:r>
      </w:hyperlink>
    </w:p>
    <w:p w14:paraId="69C9DF02" w14:textId="77777777" w:rsidR="00623AF8" w:rsidRPr="00622754" w:rsidRDefault="00623AF8" w:rsidP="00623AF8">
      <w:pPr>
        <w:pStyle w:val="Funotentext"/>
        <w:rPr>
          <w:lang w:val="en-US"/>
        </w:rPr>
      </w:pPr>
    </w:p>
  </w:footnote>
  <w:footnote w:id="22">
    <w:p w14:paraId="007D4DD6" w14:textId="77777777" w:rsidR="00623AF8" w:rsidRPr="00622466" w:rsidRDefault="00623AF8" w:rsidP="00623AF8">
      <w:pPr>
        <w:pStyle w:val="Funotentext"/>
      </w:pPr>
      <w:r>
        <w:rPr>
          <w:rStyle w:val="Funotenzeichen"/>
        </w:rPr>
        <w:footnoteRef/>
      </w:r>
      <w:r w:rsidRPr="00622466">
        <w:rPr>
          <w:lang w:val="en-US"/>
        </w:rPr>
        <w:t xml:space="preserve"> </w:t>
      </w:r>
      <w:r w:rsidRPr="00622466">
        <w:t xml:space="preserve">European Commission. (2023, November 15). </w:t>
      </w:r>
      <w:r w:rsidRPr="00622466">
        <w:rPr>
          <w:i/>
          <w:iCs/>
        </w:rPr>
        <w:t>Commission proposes an EU Talent Pool to help address labour shortages across Europe</w:t>
      </w:r>
      <w:r w:rsidRPr="00622466">
        <w:t xml:space="preserve">. </w:t>
      </w:r>
      <w:hyperlink r:id="rId18" w:history="1">
        <w:r w:rsidRPr="00622466">
          <w:rPr>
            <w:rStyle w:val="Hyperlink"/>
          </w:rPr>
          <w:t>https://home-affairs.ec.europa.eu/news/commission-proposes-eu-talent-pool-help-address-labour-shortages-across-europe-2023-11-15_en</w:t>
        </w:r>
      </w:hyperlink>
    </w:p>
    <w:p w14:paraId="621FB2C1" w14:textId="77777777" w:rsidR="00623AF8" w:rsidRPr="00622466" w:rsidRDefault="00623AF8" w:rsidP="00623AF8">
      <w:pPr>
        <w:pStyle w:val="Funotentext"/>
      </w:pPr>
    </w:p>
  </w:footnote>
  <w:footnote w:id="23">
    <w:p w14:paraId="75196FCD" w14:textId="77777777" w:rsidR="00623AF8" w:rsidRPr="00B3081A" w:rsidRDefault="00623AF8" w:rsidP="00623AF8">
      <w:pPr>
        <w:pStyle w:val="Funotentext"/>
        <w:rPr>
          <w:lang w:val="en-US"/>
        </w:rPr>
      </w:pPr>
      <w:r>
        <w:rPr>
          <w:rStyle w:val="Funotenzeichen"/>
        </w:rPr>
        <w:footnoteRef/>
      </w:r>
      <w:r w:rsidRPr="00622466">
        <w:rPr>
          <w:lang w:val="de-AT"/>
        </w:rPr>
        <w:t xml:space="preserve"> </w:t>
      </w:r>
      <w:r w:rsidRPr="00D04EA2">
        <w:rPr>
          <w:lang w:val="de-AT"/>
        </w:rPr>
        <w:t xml:space="preserve">European Commission. (2022, April 27). </w:t>
      </w:r>
      <w:r w:rsidRPr="00D04EA2">
        <w:rPr>
          <w:i/>
          <w:iCs/>
          <w:lang w:val="de-AT"/>
        </w:rPr>
        <w:t>Legale Migration: Anwerbung qualifizierter Fachkräfte aus Drittländern</w:t>
      </w:r>
      <w:r w:rsidRPr="00D04EA2">
        <w:rPr>
          <w:lang w:val="de-AT"/>
        </w:rPr>
        <w:t xml:space="preserve"> [Text]. </w:t>
      </w:r>
      <w:hyperlink r:id="rId19" w:history="1">
        <w:r w:rsidRPr="00B3081A">
          <w:rPr>
            <w:rStyle w:val="Hyperlink"/>
            <w:lang w:val="en-US"/>
          </w:rPr>
          <w:t>https://ec.europa.eu/commission/presscorner/detail/de/ip_22_2654</w:t>
        </w:r>
      </w:hyperlink>
    </w:p>
    <w:p w14:paraId="6BE30108" w14:textId="77777777" w:rsidR="00623AF8" w:rsidRPr="00B3081A" w:rsidRDefault="00623AF8" w:rsidP="00623AF8">
      <w:pPr>
        <w:pStyle w:val="Funotentext"/>
        <w:rPr>
          <w:lang w:val="en-US"/>
        </w:rPr>
      </w:pPr>
    </w:p>
  </w:footnote>
  <w:footnote w:id="24">
    <w:p w14:paraId="7EAB8FF5" w14:textId="77777777" w:rsidR="00623AF8" w:rsidRPr="00D04EA2" w:rsidRDefault="00623AF8" w:rsidP="00623AF8">
      <w:pPr>
        <w:pStyle w:val="Funotentext"/>
      </w:pPr>
      <w:r>
        <w:rPr>
          <w:rStyle w:val="Funotenzeichen"/>
        </w:rPr>
        <w:footnoteRef/>
      </w:r>
      <w:r w:rsidRPr="00D04EA2">
        <w:rPr>
          <w:lang w:val="en-US"/>
        </w:rPr>
        <w:t xml:space="preserve"> </w:t>
      </w:r>
      <w:r w:rsidRPr="00D04EA2">
        <w:t xml:space="preserve">European Council, &amp; Council of the EU. (2024, Mai 15). </w:t>
      </w:r>
      <w:r w:rsidRPr="00D04EA2">
        <w:rPr>
          <w:i/>
          <w:iCs/>
        </w:rPr>
        <w:t>Migration and asylum pact</w:t>
      </w:r>
      <w:r w:rsidRPr="00D04EA2">
        <w:t xml:space="preserve">. </w:t>
      </w:r>
      <w:hyperlink r:id="rId20" w:history="1">
        <w:r w:rsidRPr="00D04EA2">
          <w:rPr>
            <w:rStyle w:val="Hyperlink"/>
          </w:rPr>
          <w:t>https://www.consilium.europa.eu/en/policies/eu-migration-policy/eu-migration-asylum-reform-pact/</w:t>
        </w:r>
      </w:hyperlink>
    </w:p>
    <w:p w14:paraId="16BE942E" w14:textId="77777777" w:rsidR="00623AF8" w:rsidRPr="00D04EA2" w:rsidRDefault="00623AF8" w:rsidP="00623AF8">
      <w:pPr>
        <w:pStyle w:val="Funotentext"/>
      </w:pPr>
    </w:p>
  </w:footnote>
  <w:footnote w:id="25">
    <w:p w14:paraId="28476B06" w14:textId="77777777" w:rsidR="00623AF8" w:rsidRDefault="00623AF8" w:rsidP="00623AF8">
      <w:pPr>
        <w:pStyle w:val="Funotentext"/>
        <w:jc w:val="left"/>
        <w:rPr>
          <w:rFonts w:ascii="Aptos" w:hAnsi="Aptos"/>
          <w:lang w:val="de-AT"/>
        </w:rPr>
      </w:pPr>
      <w:r>
        <w:rPr>
          <w:rStyle w:val="Funotenzeichen"/>
        </w:rPr>
        <w:footnoteRef/>
      </w:r>
      <w:r w:rsidRPr="00EE2586">
        <w:rPr>
          <w:lang w:val="de-AT"/>
        </w:rPr>
        <w:t xml:space="preserve"> </w:t>
      </w:r>
      <w:r w:rsidRPr="00EE2586">
        <w:rPr>
          <w:rFonts w:ascii="Aptos" w:hAnsi="Aptos"/>
          <w:lang w:val="de-AT"/>
        </w:rPr>
        <w:t>Richtlinie zur Qualifizierungs- und Beratungsförderung des Landes Kärnten im Rahmen des Just Transition Fund (JTF) 13.12.2023</w:t>
      </w:r>
      <w:r>
        <w:rPr>
          <w:rFonts w:ascii="Aptos" w:hAnsi="Aptos"/>
          <w:lang w:val="de-AT"/>
        </w:rPr>
        <w:t xml:space="preserve"> </w:t>
      </w:r>
      <w:hyperlink r:id="rId21" w:history="1">
        <w:r w:rsidRPr="00F94B1A">
          <w:rPr>
            <w:rStyle w:val="Hyperlink"/>
            <w:rFonts w:ascii="Aptos" w:hAnsi="Aptos"/>
            <w:lang w:val="de-AT"/>
          </w:rPr>
          <w:t>https://www.ktn.gv.at/DE/repos/files/ktn.gv.at/Abteilungen/Abt11/Dateien/ESF/JTF/JTF-%20Richtlinie%20Version%2020240207.pdf?exp=1428897&amp;fps=b9894ca421aacef52d823c6b5e47e3741b68c3d5</w:t>
        </w:r>
      </w:hyperlink>
    </w:p>
    <w:p w14:paraId="56E19580" w14:textId="77777777" w:rsidR="00623AF8" w:rsidRPr="00EE2586" w:rsidRDefault="00623AF8" w:rsidP="00623AF8">
      <w:pPr>
        <w:pStyle w:val="Funotentext"/>
        <w:rPr>
          <w:lang w:val="de-AT"/>
        </w:rPr>
      </w:pPr>
    </w:p>
  </w:footnote>
  <w:footnote w:id="26">
    <w:p w14:paraId="273144EA" w14:textId="77777777" w:rsidR="00623AF8" w:rsidRPr="00117B31" w:rsidRDefault="00623AF8" w:rsidP="00623AF8">
      <w:pPr>
        <w:pStyle w:val="Funotentext"/>
        <w:rPr>
          <w:lang w:val="de-AT"/>
        </w:rPr>
      </w:pPr>
      <w:r>
        <w:rPr>
          <w:rStyle w:val="Funotenzeichen"/>
        </w:rPr>
        <w:footnoteRef/>
      </w:r>
      <w:r w:rsidRPr="00117B31">
        <w:rPr>
          <w:lang w:val="en-US"/>
        </w:rPr>
        <w:t xml:space="preserve"> </w:t>
      </w:r>
      <w:r w:rsidRPr="00117B31">
        <w:t xml:space="preserve">Hallaert, J.-J., Vassileva, I., &amp; Chen, T. (2024, Juni 30). </w:t>
      </w:r>
      <w:r w:rsidRPr="00117B31">
        <w:rPr>
          <w:i/>
          <w:iCs/>
        </w:rPr>
        <w:t>Rising Child Poverty in Europe: Mitigating the Scarring from the COVID-19 Pandemic</w:t>
      </w:r>
      <w:r w:rsidRPr="00117B31">
        <w:t xml:space="preserve">. </w:t>
      </w:r>
      <w:r w:rsidRPr="00117B31">
        <w:rPr>
          <w:lang w:val="de-AT"/>
        </w:rPr>
        <w:t xml:space="preserve">IMF. </w:t>
      </w:r>
      <w:hyperlink r:id="rId22" w:history="1">
        <w:r w:rsidRPr="00117B31">
          <w:rPr>
            <w:rStyle w:val="Hyperlink"/>
            <w:lang w:val="de-AT"/>
          </w:rPr>
          <w:t>https://www.imf.org/en/Publications/WP/Issues/2023/06/29/Rising-Child-Poverty-in-Europe-Mitigating-the-Scarring-from-the-COVID-19-Pandemic-534331</w:t>
        </w:r>
      </w:hyperlink>
    </w:p>
    <w:p w14:paraId="282D90B0" w14:textId="77777777" w:rsidR="00623AF8" w:rsidRPr="00117B31" w:rsidRDefault="00623AF8" w:rsidP="00623AF8">
      <w:pPr>
        <w:pStyle w:val="Funotentext"/>
        <w:rPr>
          <w:lang w:val="de-AT"/>
        </w:rPr>
      </w:pPr>
    </w:p>
  </w:footnote>
  <w:footnote w:id="27">
    <w:p w14:paraId="771474F2" w14:textId="77777777" w:rsidR="00623AF8" w:rsidRPr="00E01A69" w:rsidRDefault="00623AF8" w:rsidP="00623AF8">
      <w:pPr>
        <w:pStyle w:val="Funotentext"/>
        <w:rPr>
          <w:lang w:val="de-AT"/>
        </w:rPr>
      </w:pPr>
      <w:r>
        <w:rPr>
          <w:rStyle w:val="Funotenzeichen"/>
        </w:rPr>
        <w:footnoteRef/>
      </w:r>
      <w:r w:rsidRPr="00E01A69">
        <w:rPr>
          <w:lang w:val="en-US"/>
        </w:rPr>
        <w:t xml:space="preserve"> </w:t>
      </w:r>
      <w:r w:rsidRPr="00117B31">
        <w:t xml:space="preserve">European Commission. (o. J.). </w:t>
      </w:r>
      <w:r w:rsidRPr="00117B31">
        <w:rPr>
          <w:i/>
          <w:iCs/>
        </w:rPr>
        <w:t>The EU Strategy on the Rights of the Child and the European Child Guarantee</w:t>
      </w:r>
      <w:r w:rsidRPr="00117B31">
        <w:t xml:space="preserve">. </w:t>
      </w:r>
      <w:r w:rsidRPr="00E01A69">
        <w:rPr>
          <w:lang w:val="de-AT"/>
        </w:rPr>
        <w:t xml:space="preserve">Abgerufen 24. Juni 2024, von </w:t>
      </w:r>
      <w:hyperlink r:id="rId23" w:history="1">
        <w:r w:rsidRPr="00E01A69">
          <w:rPr>
            <w:rStyle w:val="Hyperlink"/>
            <w:lang w:val="de-AT"/>
          </w:rPr>
          <w:t>https://commission.europa.eu/strategy-and-policy/policies/justice-and-fundamental-rights/rights-child/eu-strategy-rights-child-and-european-child-guarantee_en</w:t>
        </w:r>
      </w:hyperlink>
    </w:p>
    <w:p w14:paraId="66D74CEA" w14:textId="77777777" w:rsidR="00623AF8" w:rsidRPr="00117B31" w:rsidRDefault="00623AF8" w:rsidP="00623AF8">
      <w:pPr>
        <w:pStyle w:val="Funotentext"/>
        <w:rPr>
          <w:lang w:val="de-AT"/>
        </w:rPr>
      </w:pPr>
    </w:p>
  </w:footnote>
  <w:footnote w:id="28">
    <w:p w14:paraId="6CAEA783" w14:textId="77777777" w:rsidR="00623AF8" w:rsidRPr="008D7B1F" w:rsidRDefault="00623AF8" w:rsidP="00623AF8">
      <w:pPr>
        <w:pStyle w:val="Funotentext"/>
        <w:rPr>
          <w:lang w:val="de-AT"/>
        </w:rPr>
      </w:pPr>
      <w:r>
        <w:rPr>
          <w:rStyle w:val="Funotenzeichen"/>
        </w:rPr>
        <w:footnoteRef/>
      </w:r>
      <w:r w:rsidRPr="009E25DF">
        <w:rPr>
          <w:lang w:val="de-AT"/>
        </w:rPr>
        <w:t xml:space="preserve"> </w:t>
      </w:r>
      <w:r w:rsidRPr="008D7B1F">
        <w:rPr>
          <w:lang w:val="de-AT"/>
        </w:rPr>
        <w:t xml:space="preserve">Reidl, S., Streicher, J., Hock, M., Hausner, B., Waibel, G., &amp; Gürtl, F. (2020). Digitale Ungleichheit: Wie sie entsteht, was sie bewirkt … und was dagegen hilft. </w:t>
      </w:r>
      <w:r w:rsidRPr="008D7B1F">
        <w:rPr>
          <w:i/>
          <w:iCs/>
          <w:lang w:val="de-AT"/>
        </w:rPr>
        <w:t>Programm Laura Bassi 4.0 - Frauen gestalten chancengerechte Digitalisierung!</w:t>
      </w:r>
      <w:r w:rsidRPr="008D7B1F">
        <w:rPr>
          <w:lang w:val="de-AT"/>
        </w:rPr>
        <w:t xml:space="preserve"> </w:t>
      </w:r>
      <w:hyperlink r:id="rId24" w:history="1">
        <w:r w:rsidRPr="008D7B1F">
          <w:rPr>
            <w:rStyle w:val="Hyperlink"/>
            <w:lang w:val="de-AT"/>
          </w:rPr>
          <w:t>https://www.ffg.at/laura-bassi-4.0-digitalisierung-und-chancengerechtigkeit</w:t>
        </w:r>
      </w:hyperlink>
    </w:p>
    <w:p w14:paraId="035D4C1F" w14:textId="77777777" w:rsidR="00623AF8" w:rsidRPr="009E25DF" w:rsidRDefault="00623AF8" w:rsidP="00623AF8">
      <w:pPr>
        <w:pStyle w:val="Funotentext"/>
        <w:rPr>
          <w:lang w:val="de-AT"/>
        </w:rPr>
      </w:pPr>
    </w:p>
    <w:p w14:paraId="2D3DFABC" w14:textId="77777777" w:rsidR="00623AF8" w:rsidRPr="009E25DF" w:rsidRDefault="00623AF8" w:rsidP="00623AF8">
      <w:pPr>
        <w:pStyle w:val="Funotentext"/>
        <w:rPr>
          <w:lang w:val="de-DE"/>
        </w:rPr>
      </w:pPr>
    </w:p>
  </w:footnote>
  <w:footnote w:id="29">
    <w:p w14:paraId="3DC8BDFD" w14:textId="77777777" w:rsidR="00623AF8" w:rsidRPr="00BE6074" w:rsidRDefault="00623AF8" w:rsidP="00623AF8">
      <w:pPr>
        <w:pStyle w:val="Funotentext"/>
        <w:rPr>
          <w:lang w:val="de-AT"/>
        </w:rPr>
      </w:pPr>
      <w:r>
        <w:rPr>
          <w:rStyle w:val="Funotenzeichen"/>
        </w:rPr>
        <w:footnoteRef/>
      </w:r>
      <w:r w:rsidRPr="00BE6074">
        <w:rPr>
          <w:lang w:val="de-AT"/>
        </w:rPr>
        <w:t xml:space="preserve"> </w:t>
      </w:r>
      <w:r>
        <w:rPr>
          <w:lang w:val="de-DE"/>
        </w:rPr>
        <w:t xml:space="preserve">Ein Beispiel dafür: </w:t>
      </w:r>
      <w:r w:rsidRPr="00BE6074">
        <w:rPr>
          <w:lang w:val="de-AT"/>
        </w:rPr>
        <w:t xml:space="preserve">AMS NÖ. (2020, Oktober 22). </w:t>
      </w:r>
      <w:r w:rsidRPr="00BE6074">
        <w:rPr>
          <w:i/>
          <w:iCs/>
          <w:lang w:val="de-AT"/>
        </w:rPr>
        <w:t>AMS NÖ startet wektweit erstes Modellprojekt einer Arbeitsplatzgarantie</w:t>
      </w:r>
      <w:r w:rsidRPr="00BE6074">
        <w:rPr>
          <w:lang w:val="de-AT"/>
        </w:rPr>
        <w:t xml:space="preserve">. Arbeitsmarktservice Österreich. </w:t>
      </w:r>
      <w:hyperlink r:id="rId25" w:history="1">
        <w:r w:rsidRPr="00BE6074">
          <w:rPr>
            <w:rStyle w:val="Hyperlink"/>
            <w:lang w:val="de-AT"/>
          </w:rPr>
          <w:t>https://www.ams.at/regionen/niederoesterreich/news/2020/10/ams-noe-startet-weltweit-erstes-modellprojekt-einer-arbeitsplatz</w:t>
        </w:r>
      </w:hyperlink>
    </w:p>
    <w:p w14:paraId="592D5585" w14:textId="77777777" w:rsidR="00623AF8" w:rsidRPr="00BE6074" w:rsidRDefault="00623AF8" w:rsidP="00623AF8">
      <w:pPr>
        <w:pStyle w:val="Funotentext"/>
        <w:rPr>
          <w:lang w:val="de-AT"/>
        </w:rPr>
      </w:pPr>
    </w:p>
  </w:footnote>
  <w:footnote w:id="30">
    <w:p w14:paraId="3B36BB83" w14:textId="77777777" w:rsidR="00623AF8" w:rsidRPr="00196A3A" w:rsidRDefault="00623AF8" w:rsidP="00623AF8">
      <w:pPr>
        <w:pStyle w:val="Funotentext"/>
        <w:rPr>
          <w:lang w:val="en-US"/>
        </w:rPr>
      </w:pPr>
      <w:r>
        <w:rPr>
          <w:rStyle w:val="Funotenzeichen"/>
        </w:rPr>
        <w:footnoteRef/>
      </w:r>
      <w:r w:rsidRPr="003D792A">
        <w:rPr>
          <w:lang w:val="en-US"/>
        </w:rPr>
        <w:t xml:space="preserve"> Enache, C. (2024, Juni 4). </w:t>
      </w:r>
      <w:r w:rsidRPr="00196A3A">
        <w:rPr>
          <w:i/>
          <w:iCs/>
          <w:lang w:val="en-US"/>
        </w:rPr>
        <w:t>Tax Burden on Labor in Europe</w:t>
      </w:r>
      <w:r w:rsidRPr="00196A3A">
        <w:rPr>
          <w:lang w:val="en-US"/>
        </w:rPr>
        <w:t xml:space="preserve">. Tax Foundation. </w:t>
      </w:r>
      <w:hyperlink r:id="rId26" w:history="1">
        <w:r w:rsidRPr="00196A3A">
          <w:rPr>
            <w:rStyle w:val="Hyperlink"/>
            <w:lang w:val="en-US"/>
          </w:rPr>
          <w:t>https://taxfoundation.org/data/all/eu/tax-burden-labor-europe-2024/</w:t>
        </w:r>
      </w:hyperlink>
    </w:p>
    <w:p w14:paraId="3DC47585" w14:textId="77777777" w:rsidR="00623AF8" w:rsidRPr="00B730BB" w:rsidRDefault="00623AF8" w:rsidP="00623AF8">
      <w:pPr>
        <w:pStyle w:val="Funotentext"/>
        <w:rPr>
          <w:lang w:val="en-US"/>
        </w:rPr>
      </w:pPr>
    </w:p>
  </w:footnote>
  <w:footnote w:id="31">
    <w:p w14:paraId="34DD3C7E" w14:textId="77777777" w:rsidR="00623AF8" w:rsidRPr="00B67EB1" w:rsidRDefault="00623AF8" w:rsidP="00623AF8">
      <w:pPr>
        <w:pStyle w:val="Funotentext"/>
        <w:rPr>
          <w:lang w:val="de-AT"/>
        </w:rPr>
      </w:pPr>
      <w:r>
        <w:rPr>
          <w:rStyle w:val="Funotenzeichen"/>
        </w:rPr>
        <w:footnoteRef/>
      </w:r>
      <w:r>
        <w:t xml:space="preserve"> </w:t>
      </w:r>
      <w:r w:rsidRPr="00B817CA">
        <w:rPr>
          <w:lang w:val="en-US"/>
        </w:rPr>
        <w:t xml:space="preserve">Müller, T. (2024). Dawn of a new era? The impact of the European Directive on adequate minimum wages in 2024. </w:t>
      </w:r>
      <w:r w:rsidRPr="00B67EB1">
        <w:rPr>
          <w:i/>
          <w:iCs/>
          <w:lang w:val="de-AT"/>
        </w:rPr>
        <w:t>SSRN Electronic Journal</w:t>
      </w:r>
      <w:r w:rsidRPr="00B67EB1">
        <w:rPr>
          <w:lang w:val="de-AT"/>
        </w:rPr>
        <w:t xml:space="preserve">. </w:t>
      </w:r>
      <w:hyperlink r:id="rId27" w:history="1">
        <w:r w:rsidRPr="00B67EB1">
          <w:rPr>
            <w:rStyle w:val="Hyperlink"/>
            <w:lang w:val="de-AT"/>
          </w:rPr>
          <w:t>https://doi.org/10.2139/ssrn.4752544</w:t>
        </w:r>
      </w:hyperlink>
    </w:p>
    <w:p w14:paraId="26668B10" w14:textId="77777777" w:rsidR="00623AF8" w:rsidRPr="00CD5FFD" w:rsidRDefault="00623AF8" w:rsidP="00623AF8">
      <w:pPr>
        <w:pStyle w:val="Funotentext"/>
        <w:rPr>
          <w:lang w:val="de-DE"/>
        </w:rPr>
      </w:pPr>
    </w:p>
  </w:footnote>
  <w:footnote w:id="32">
    <w:p w14:paraId="46F19DC2" w14:textId="77777777" w:rsidR="00623AF8" w:rsidRPr="007A2ED4" w:rsidRDefault="00623AF8" w:rsidP="00623AF8">
      <w:pPr>
        <w:pStyle w:val="Funotentext"/>
        <w:rPr>
          <w:lang w:val="de-AT"/>
        </w:rPr>
      </w:pPr>
      <w:r>
        <w:rPr>
          <w:rStyle w:val="Funotenzeichen"/>
        </w:rPr>
        <w:footnoteRef/>
      </w:r>
      <w:r w:rsidRPr="007A2ED4">
        <w:rPr>
          <w:lang w:val="de-AT"/>
        </w:rPr>
        <w:t xml:space="preserve"> RICHTLINIE (EU) 2022/2041 DES EUROPÄISCHEN PARLAMENTS UND DES RATES vom 19. Oktober 2022 über angemessene Mindestlöhne in der Europäischen Union. Abgerufen 24. Juni 2024, von </w:t>
      </w:r>
      <w:hyperlink r:id="rId28" w:history="1">
        <w:r w:rsidRPr="007A2ED4">
          <w:rPr>
            <w:rStyle w:val="Hyperlink"/>
            <w:lang w:val="de-AT"/>
          </w:rPr>
          <w:t>https://eur-lex.europa.eu/legal-content/DE/TXT/HTML/?uri=CELEX%3A32022L2041</w:t>
        </w:r>
      </w:hyperlink>
    </w:p>
    <w:p w14:paraId="3E3DF71D" w14:textId="77777777" w:rsidR="00623AF8" w:rsidRPr="007A2ED4" w:rsidRDefault="00623AF8" w:rsidP="00623AF8">
      <w:pPr>
        <w:pStyle w:val="Funotentext"/>
        <w:rPr>
          <w:lang w:val="de-AT"/>
        </w:rPr>
      </w:pPr>
    </w:p>
  </w:footnote>
  <w:footnote w:id="33">
    <w:p w14:paraId="6A3DF2FE" w14:textId="77777777" w:rsidR="00623AF8" w:rsidRPr="0088196D" w:rsidRDefault="00623AF8" w:rsidP="00623AF8">
      <w:pPr>
        <w:pStyle w:val="Funotentext"/>
        <w:rPr>
          <w:lang w:val="de-AT"/>
        </w:rPr>
      </w:pPr>
      <w:r>
        <w:rPr>
          <w:rStyle w:val="Funotenzeichen"/>
        </w:rPr>
        <w:footnoteRef/>
      </w:r>
      <w:r>
        <w:t xml:space="preserve"> </w:t>
      </w:r>
      <w:r w:rsidRPr="0088196D">
        <w:rPr>
          <w:lang w:val="en-US"/>
        </w:rPr>
        <w:t xml:space="preserve">Oyvat, C. (2023). Minimum wage, aggregate demand and employment: A demand-led model. </w:t>
      </w:r>
      <w:r w:rsidRPr="0088196D">
        <w:rPr>
          <w:i/>
          <w:iCs/>
          <w:lang w:val="de-AT"/>
        </w:rPr>
        <w:t>Institut Für Makroökonomie Und Konjunkturforschung</w:t>
      </w:r>
      <w:r w:rsidRPr="0088196D">
        <w:rPr>
          <w:lang w:val="de-AT"/>
        </w:rPr>
        <w:t xml:space="preserve">. </w:t>
      </w:r>
      <w:hyperlink r:id="rId29" w:history="1">
        <w:r w:rsidRPr="0088196D">
          <w:rPr>
            <w:rStyle w:val="Hyperlink"/>
            <w:lang w:val="de-AT"/>
          </w:rPr>
          <w:t>https://www.imk-boeckler.de/data/downloads/IMK/FMM%20Konferenz%202023/v_2023_10_20_oyvat.pdf</w:t>
        </w:r>
      </w:hyperlink>
    </w:p>
    <w:p w14:paraId="659FE3D8" w14:textId="77777777" w:rsidR="00623AF8" w:rsidRPr="0088196D" w:rsidRDefault="00623AF8" w:rsidP="00623AF8">
      <w:pPr>
        <w:pStyle w:val="Funotentext"/>
        <w:ind w:left="0" w:firstLine="0"/>
        <w:rPr>
          <w:lang w:val="de-AT"/>
        </w:rPr>
      </w:pPr>
    </w:p>
  </w:footnote>
  <w:footnote w:id="34">
    <w:p w14:paraId="41F4D30C" w14:textId="77777777" w:rsidR="00623AF8" w:rsidRPr="00627FE4" w:rsidRDefault="00623AF8" w:rsidP="00623AF8">
      <w:pPr>
        <w:pStyle w:val="Funotentext"/>
        <w:jc w:val="left"/>
        <w:rPr>
          <w:lang w:val="en-US"/>
        </w:rPr>
      </w:pPr>
      <w:r>
        <w:rPr>
          <w:rStyle w:val="Funotenzeichen"/>
        </w:rPr>
        <w:footnoteRef/>
      </w:r>
      <w:r>
        <w:t xml:space="preserve"> </w:t>
      </w:r>
      <w:r w:rsidRPr="00C40C94">
        <w:rPr>
          <w:lang w:val="en-US"/>
        </w:rPr>
        <w:t xml:space="preserve">TU Delft. (2024). </w:t>
      </w:r>
      <w:r w:rsidRPr="00C40C94">
        <w:rPr>
          <w:i/>
          <w:iCs/>
          <w:lang w:val="en-US"/>
        </w:rPr>
        <w:t>Socio-Economic Segregation in European Capital Cities</w:t>
      </w:r>
      <w:r w:rsidRPr="00C40C94">
        <w:rPr>
          <w:lang w:val="en-US"/>
        </w:rPr>
        <w:t xml:space="preserve">. </w:t>
      </w:r>
      <w:r w:rsidRPr="00627FE4">
        <w:rPr>
          <w:lang w:val="en-US"/>
        </w:rPr>
        <w:t xml:space="preserve">Segregation Europe. </w:t>
      </w:r>
      <w:hyperlink r:id="rId30" w:history="1">
        <w:r w:rsidRPr="00627FE4">
          <w:rPr>
            <w:rStyle w:val="Hyperlink"/>
            <w:lang w:val="en-US"/>
          </w:rPr>
          <w:t>http://segregationeurope.tudelft.nl/</w:t>
        </w:r>
      </w:hyperlink>
    </w:p>
    <w:p w14:paraId="68515DAE" w14:textId="77777777" w:rsidR="00623AF8" w:rsidRPr="00627FE4" w:rsidRDefault="00623AF8" w:rsidP="00623AF8">
      <w:pPr>
        <w:pStyle w:val="Funotentext"/>
        <w:rPr>
          <w:lang w:val="en-US"/>
        </w:rPr>
      </w:pPr>
    </w:p>
  </w:footnote>
  <w:footnote w:id="35">
    <w:p w14:paraId="1483D2C0" w14:textId="77777777" w:rsidR="00623AF8" w:rsidRPr="00C40C94" w:rsidRDefault="00623AF8" w:rsidP="00623AF8">
      <w:pPr>
        <w:pStyle w:val="Funotentext"/>
      </w:pPr>
      <w:r>
        <w:rPr>
          <w:rStyle w:val="Funotenzeichen"/>
        </w:rPr>
        <w:footnoteRef/>
      </w:r>
      <w:r w:rsidRPr="00C40C94">
        <w:rPr>
          <w:lang w:val="en-US"/>
        </w:rPr>
        <w:t xml:space="preserve"> </w:t>
      </w:r>
      <w:r w:rsidRPr="00C40C94">
        <w:t xml:space="preserve">Corvalan, A., &amp; Vargas, M. (2015). Segregation and conflict: An empirical analysis. </w:t>
      </w:r>
      <w:r w:rsidRPr="00C40C94">
        <w:rPr>
          <w:i/>
          <w:iCs/>
        </w:rPr>
        <w:t>Journal of Development Economics</w:t>
      </w:r>
      <w:r w:rsidRPr="00C40C94">
        <w:t xml:space="preserve">, </w:t>
      </w:r>
      <w:r w:rsidRPr="00C40C94">
        <w:rPr>
          <w:i/>
          <w:iCs/>
        </w:rPr>
        <w:t>116</w:t>
      </w:r>
      <w:r w:rsidRPr="00C40C94">
        <w:t xml:space="preserve">, 212–222. </w:t>
      </w:r>
      <w:hyperlink r:id="rId31" w:history="1">
        <w:r w:rsidRPr="00C40C94">
          <w:rPr>
            <w:rStyle w:val="Hyperlink"/>
          </w:rPr>
          <w:t>https://doi.org/10.1016/j.jdeveco.2015.05.002</w:t>
        </w:r>
      </w:hyperlink>
    </w:p>
    <w:p w14:paraId="2038D0DD" w14:textId="77777777" w:rsidR="00623AF8" w:rsidRPr="00C76F95" w:rsidRDefault="00623AF8" w:rsidP="00623AF8">
      <w:pPr>
        <w:pStyle w:val="Funotentext"/>
        <w:rPr>
          <w:lang w:val="en-US"/>
        </w:rPr>
      </w:pPr>
    </w:p>
  </w:footnote>
  <w:footnote w:id="36">
    <w:p w14:paraId="3EB18235" w14:textId="77777777" w:rsidR="00623AF8" w:rsidRPr="00627FE4" w:rsidRDefault="00623AF8" w:rsidP="00623AF8">
      <w:pPr>
        <w:pStyle w:val="Funotentext"/>
        <w:rPr>
          <w:lang w:val="en-US"/>
        </w:rPr>
      </w:pPr>
      <w:r>
        <w:rPr>
          <w:rStyle w:val="Funotenzeichen"/>
        </w:rPr>
        <w:footnoteRef/>
      </w:r>
      <w:r w:rsidRPr="00C76F95">
        <w:rPr>
          <w:lang w:val="en-US"/>
        </w:rPr>
        <w:t xml:space="preserve"> Gesundheit Österreich GmbH (GÖG). </w:t>
      </w:r>
      <w:r w:rsidRPr="00E103E2">
        <w:rPr>
          <w:lang w:val="de-AT"/>
        </w:rPr>
        <w:t xml:space="preserve">(2023, August 1). </w:t>
      </w:r>
      <w:r w:rsidRPr="00E103E2">
        <w:rPr>
          <w:i/>
          <w:iCs/>
          <w:lang w:val="de-AT"/>
        </w:rPr>
        <w:t>Das Projekt | CN-Österreich</w:t>
      </w:r>
      <w:r w:rsidRPr="00E103E2">
        <w:rPr>
          <w:lang w:val="de-AT"/>
        </w:rPr>
        <w:t xml:space="preserve">. </w:t>
      </w:r>
      <w:r w:rsidRPr="00627FE4">
        <w:rPr>
          <w:lang w:val="en-US"/>
        </w:rPr>
        <w:t xml:space="preserve">Community Nursing -Österreich. </w:t>
      </w:r>
      <w:hyperlink r:id="rId32" w:history="1">
        <w:r w:rsidRPr="00627FE4">
          <w:rPr>
            <w:rStyle w:val="Hyperlink"/>
            <w:lang w:val="en-US"/>
          </w:rPr>
          <w:t>https://cn-oesterreich.at/das_Projekt</w:t>
        </w:r>
      </w:hyperlink>
      <w:r w:rsidRPr="00627FE4">
        <w:rPr>
          <w:lang w:val="en-US"/>
        </w:rPr>
        <w:t xml:space="preserve"> </w:t>
      </w:r>
    </w:p>
    <w:p w14:paraId="3ADCEF84" w14:textId="77777777" w:rsidR="00623AF8" w:rsidRPr="00627FE4" w:rsidRDefault="00623AF8" w:rsidP="00623AF8">
      <w:pPr>
        <w:pStyle w:val="Funotentext"/>
        <w:rPr>
          <w:lang w:val="en-US"/>
        </w:rPr>
      </w:pPr>
    </w:p>
  </w:footnote>
  <w:footnote w:id="37">
    <w:p w14:paraId="48DD60A3" w14:textId="77777777" w:rsidR="00623AF8" w:rsidRPr="0010091C" w:rsidRDefault="00623AF8" w:rsidP="00623AF8">
      <w:pPr>
        <w:pStyle w:val="Funotentext"/>
      </w:pPr>
      <w:r>
        <w:rPr>
          <w:rStyle w:val="Funotenzeichen"/>
        </w:rPr>
        <w:footnoteRef/>
      </w:r>
      <w:r>
        <w:t xml:space="preserve"> </w:t>
      </w:r>
      <w:r w:rsidRPr="00D157BC">
        <w:rPr>
          <w:lang w:val="en-US"/>
        </w:rPr>
        <w:t xml:space="preserve">Council of the EU, &amp; European Council. (2024, June 17). </w:t>
      </w:r>
      <w:r w:rsidRPr="00D157BC">
        <w:rPr>
          <w:i/>
          <w:iCs/>
          <w:lang w:val="en-US"/>
        </w:rPr>
        <w:t>European disability card</w:t>
      </w:r>
      <w:r w:rsidRPr="00D157BC">
        <w:rPr>
          <w:lang w:val="en-US"/>
        </w:rPr>
        <w:t xml:space="preserve">. </w:t>
      </w:r>
      <w:r>
        <w:rPr>
          <w:lang w:val="en-US"/>
        </w:rPr>
        <w:t>c</w:t>
      </w:r>
      <w:r w:rsidRPr="00D157BC">
        <w:rPr>
          <w:lang w:val="en-US"/>
        </w:rPr>
        <w:t>onsilium.</w:t>
      </w:r>
      <w:r>
        <w:rPr>
          <w:lang w:val="en-US"/>
        </w:rPr>
        <w:t>e</w:t>
      </w:r>
      <w:r w:rsidRPr="00D157BC">
        <w:rPr>
          <w:lang w:val="en-US"/>
        </w:rPr>
        <w:t>uropa.</w:t>
      </w:r>
      <w:r>
        <w:rPr>
          <w:lang w:val="en-US"/>
        </w:rPr>
        <w:t>e</w:t>
      </w:r>
      <w:r w:rsidRPr="00D157BC">
        <w:rPr>
          <w:lang w:val="en-US"/>
        </w:rPr>
        <w:t xml:space="preserve">u. </w:t>
      </w:r>
      <w:hyperlink r:id="rId33" w:history="1">
        <w:r w:rsidRPr="0010091C">
          <w:rPr>
            <w:rStyle w:val="Hyperlink"/>
          </w:rPr>
          <w:t>https://www.consilium.europa.eu/en/policies/european-disability-card/</w:t>
        </w:r>
      </w:hyperlink>
    </w:p>
    <w:p w14:paraId="6FD12434" w14:textId="77777777" w:rsidR="00623AF8" w:rsidRPr="0010091C" w:rsidRDefault="00623AF8" w:rsidP="00623AF8">
      <w:pPr>
        <w:pStyle w:val="Funotentext"/>
      </w:pPr>
    </w:p>
    <w:p w14:paraId="4566DAAC" w14:textId="77777777" w:rsidR="00623AF8" w:rsidRPr="0010091C" w:rsidRDefault="00623AF8" w:rsidP="00623AF8">
      <w:pPr>
        <w:pStyle w:val="Funotentext"/>
      </w:pPr>
    </w:p>
  </w:footnote>
  <w:footnote w:id="38">
    <w:p w14:paraId="15DFD506" w14:textId="77777777" w:rsidR="00623AF8" w:rsidRDefault="00623AF8" w:rsidP="00623AF8">
      <w:pPr>
        <w:pStyle w:val="Funotentext"/>
        <w:rPr>
          <w:lang w:val="de-AT"/>
        </w:rPr>
      </w:pPr>
      <w:r>
        <w:rPr>
          <w:rStyle w:val="Funotenzeichen"/>
        </w:rPr>
        <w:footnoteRef/>
      </w:r>
      <w:r>
        <w:t xml:space="preserve"> </w:t>
      </w:r>
      <w:r w:rsidRPr="00F05F03">
        <w:rPr>
          <w:lang w:val="en-US"/>
        </w:rPr>
        <w:t>European Commission. (</w:t>
      </w:r>
      <w:r>
        <w:rPr>
          <w:lang w:val="en-US"/>
        </w:rPr>
        <w:t>2024</w:t>
      </w:r>
      <w:r w:rsidRPr="00F05F03">
        <w:rPr>
          <w:lang w:val="en-US"/>
        </w:rPr>
        <w:t xml:space="preserve">). </w:t>
      </w:r>
      <w:r w:rsidRPr="00F05F03">
        <w:rPr>
          <w:i/>
          <w:iCs/>
          <w:lang w:val="en-US"/>
        </w:rPr>
        <w:t>The European Pillar of Social Rights in 20 principles</w:t>
      </w:r>
      <w:r w:rsidRPr="00F05F03">
        <w:rPr>
          <w:lang w:val="en-US"/>
        </w:rPr>
        <w:t xml:space="preserve">. </w:t>
      </w:r>
      <w:r w:rsidRPr="00F05F03">
        <w:rPr>
          <w:lang w:val="de-AT"/>
        </w:rPr>
        <w:t xml:space="preserve">Abgerufen 24. Juni 2024, von </w:t>
      </w:r>
      <w:hyperlink r:id="rId34" w:history="1">
        <w:r w:rsidRPr="00F05F03">
          <w:rPr>
            <w:rStyle w:val="Hyperlink"/>
            <w:lang w:val="de-AT"/>
          </w:rPr>
          <w:t>https://ec.europa.eu/social/main.jsp?catId=1606&amp;langId=en</w:t>
        </w:r>
      </w:hyperlink>
    </w:p>
    <w:p w14:paraId="46FC072B" w14:textId="77777777" w:rsidR="00623AF8" w:rsidRPr="00F05F03" w:rsidRDefault="00623AF8" w:rsidP="00623AF8">
      <w:pPr>
        <w:pStyle w:val="Funotentext"/>
        <w:rPr>
          <w:lang w:val="de-AT"/>
        </w:rPr>
      </w:pPr>
    </w:p>
  </w:footnote>
  <w:footnote w:id="39">
    <w:p w14:paraId="4DABDB1B" w14:textId="77777777" w:rsidR="00623AF8" w:rsidRPr="00F05F03" w:rsidRDefault="00623AF8" w:rsidP="00623AF8">
      <w:pPr>
        <w:pStyle w:val="Funotentext"/>
        <w:rPr>
          <w:lang w:val="en-US"/>
        </w:rPr>
      </w:pPr>
      <w:r>
        <w:rPr>
          <w:rStyle w:val="Funotenzeichen"/>
        </w:rPr>
        <w:footnoteRef/>
      </w:r>
      <w:r>
        <w:t xml:space="preserve"> </w:t>
      </w:r>
      <w:r w:rsidRPr="00F05F03">
        <w:rPr>
          <w:lang w:val="en-US"/>
        </w:rPr>
        <w:t xml:space="preserve">European Commission. (2022, September 7). </w:t>
      </w:r>
      <w:r w:rsidRPr="00F05F03">
        <w:rPr>
          <w:i/>
          <w:iCs/>
          <w:lang w:val="en-US"/>
        </w:rPr>
        <w:t>A European Care Strategy for caregivers and receivers</w:t>
      </w:r>
      <w:r w:rsidRPr="00F05F03">
        <w:rPr>
          <w:lang w:val="en-US"/>
        </w:rPr>
        <w:t xml:space="preserve"> [Text]. European Commission. </w:t>
      </w:r>
      <w:hyperlink r:id="rId35" w:history="1">
        <w:r w:rsidRPr="00F05F03">
          <w:rPr>
            <w:rStyle w:val="Hyperlink"/>
            <w:lang w:val="en-US"/>
          </w:rPr>
          <w:t>https://ec.europa.eu/commission/presscorner/detail/en/ip_22_5169</w:t>
        </w:r>
      </w:hyperlink>
    </w:p>
    <w:p w14:paraId="55017685" w14:textId="77777777" w:rsidR="00623AF8" w:rsidRPr="00F05F03" w:rsidRDefault="00623AF8" w:rsidP="00623AF8">
      <w:pPr>
        <w:pStyle w:val="Funotentext"/>
        <w:ind w:left="0" w:firstLine="0"/>
        <w:rPr>
          <w:lang w:val="en-US"/>
        </w:rPr>
      </w:pPr>
    </w:p>
  </w:footnote>
  <w:footnote w:id="40">
    <w:p w14:paraId="342CB2BF" w14:textId="77777777" w:rsidR="00623AF8" w:rsidRPr="002E0FFE" w:rsidRDefault="00623AF8" w:rsidP="00623AF8">
      <w:pPr>
        <w:pStyle w:val="Funotentext"/>
        <w:rPr>
          <w:lang w:val="de-AT"/>
        </w:rPr>
      </w:pPr>
      <w:r>
        <w:rPr>
          <w:rStyle w:val="Funotenzeichen"/>
        </w:rPr>
        <w:footnoteRef/>
      </w:r>
      <w:r w:rsidRPr="002E0FFE">
        <w:rPr>
          <w:lang w:val="de-AT"/>
        </w:rPr>
        <w:t xml:space="preserve"> Europäisches Parlament. (2023, November). </w:t>
      </w:r>
      <w:r w:rsidRPr="002E0FFE">
        <w:rPr>
          <w:i/>
          <w:iCs/>
          <w:lang w:val="de-AT"/>
        </w:rPr>
        <w:t>Vergabe öffentlicher Aufträge</w:t>
      </w:r>
      <w:r w:rsidRPr="002E0FFE">
        <w:rPr>
          <w:lang w:val="de-AT"/>
        </w:rPr>
        <w:t xml:space="preserve">. Europäisches Parlament. </w:t>
      </w:r>
      <w:hyperlink r:id="rId36" w:history="1">
        <w:r w:rsidRPr="002E0FFE">
          <w:rPr>
            <w:rStyle w:val="Hyperlink"/>
            <w:lang w:val="de-AT"/>
          </w:rPr>
          <w:t>https://www.europarl.europa.eu/factsheets/de/sheet/34/vergabe-offentlicher-auftrage</w:t>
        </w:r>
      </w:hyperlink>
    </w:p>
    <w:p w14:paraId="31D2087A" w14:textId="77777777" w:rsidR="00623AF8" w:rsidRPr="002E0FFE" w:rsidRDefault="00623AF8" w:rsidP="00623AF8">
      <w:pPr>
        <w:pStyle w:val="Funotentext"/>
        <w:rPr>
          <w:lang w:val="de-AT"/>
        </w:rPr>
      </w:pPr>
    </w:p>
  </w:footnote>
  <w:footnote w:id="41">
    <w:p w14:paraId="619C07E9" w14:textId="77777777" w:rsidR="00623AF8" w:rsidRPr="00401821" w:rsidRDefault="00623AF8" w:rsidP="00623AF8">
      <w:pPr>
        <w:pStyle w:val="Funotentext"/>
        <w:rPr>
          <w:lang w:val="de-AT"/>
        </w:rPr>
      </w:pPr>
      <w:r>
        <w:rPr>
          <w:rStyle w:val="Funotenzeichen"/>
        </w:rPr>
        <w:footnoteRef/>
      </w:r>
      <w:r w:rsidRPr="00401821">
        <w:rPr>
          <w:lang w:val="de-AT"/>
        </w:rPr>
        <w:t xml:space="preserve"> Europäische Kommission. (2024). </w:t>
      </w:r>
      <w:r w:rsidRPr="00401821">
        <w:rPr>
          <w:i/>
          <w:iCs/>
          <w:lang w:val="de-AT"/>
        </w:rPr>
        <w:t>Social Climate Fund</w:t>
      </w:r>
      <w:r w:rsidRPr="00401821">
        <w:rPr>
          <w:lang w:val="de-AT"/>
        </w:rPr>
        <w:t xml:space="preserve">. </w:t>
      </w:r>
      <w:hyperlink r:id="rId37" w:history="1">
        <w:r w:rsidRPr="00401821">
          <w:rPr>
            <w:rStyle w:val="Hyperlink"/>
            <w:lang w:val="de-AT"/>
          </w:rPr>
          <w:t>https://climate.ec.europa.eu/eu-action/eu-emissions-trading-system-eu-ets/social-climate-fund_en</w:t>
        </w:r>
      </w:hyperlink>
    </w:p>
    <w:p w14:paraId="39E85C72" w14:textId="77777777" w:rsidR="00623AF8" w:rsidRPr="00401821" w:rsidRDefault="00623AF8" w:rsidP="00623AF8">
      <w:pPr>
        <w:pStyle w:val="Funotentext"/>
        <w:rPr>
          <w:lang w:val="de-AT"/>
        </w:rPr>
      </w:pPr>
    </w:p>
  </w:footnote>
  <w:footnote w:id="42">
    <w:p w14:paraId="222F6359" w14:textId="77777777" w:rsidR="00623AF8" w:rsidRPr="00F900C8" w:rsidRDefault="00623AF8" w:rsidP="00623AF8">
      <w:pPr>
        <w:pStyle w:val="Funotentext"/>
        <w:rPr>
          <w:lang w:val="de-AT"/>
        </w:rPr>
      </w:pPr>
      <w:r>
        <w:rPr>
          <w:rStyle w:val="Funotenzeichen"/>
        </w:rPr>
        <w:footnoteRef/>
      </w:r>
      <w:r w:rsidRPr="00F900C8">
        <w:rPr>
          <w:lang w:val="de-AT"/>
        </w:rPr>
        <w:t xml:space="preserve"> Europäische Kommission. (2024). </w:t>
      </w:r>
      <w:r w:rsidRPr="00F900C8">
        <w:rPr>
          <w:i/>
          <w:iCs/>
          <w:lang w:val="de-AT"/>
        </w:rPr>
        <w:t>Social dialogue</w:t>
      </w:r>
      <w:r w:rsidRPr="00F900C8">
        <w:rPr>
          <w:lang w:val="de-AT"/>
        </w:rPr>
        <w:t xml:space="preserve">. </w:t>
      </w:r>
      <w:hyperlink r:id="rId38" w:history="1">
        <w:r w:rsidRPr="00F900C8">
          <w:rPr>
            <w:rStyle w:val="Hyperlink"/>
            <w:lang w:val="de-AT"/>
          </w:rPr>
          <w:t>https://ec.europa.eu/social/main.jsp?catId=329&amp;langId=en</w:t>
        </w:r>
      </w:hyperlink>
    </w:p>
    <w:p w14:paraId="0F031052" w14:textId="77777777" w:rsidR="00623AF8" w:rsidRPr="00F900C8" w:rsidRDefault="00623AF8" w:rsidP="00623AF8">
      <w:pPr>
        <w:pStyle w:val="Funotentext"/>
        <w:rPr>
          <w:lang w:val="de-AT"/>
        </w:rPr>
      </w:pPr>
    </w:p>
  </w:footnote>
  <w:footnote w:id="43">
    <w:p w14:paraId="0395DC1B" w14:textId="77777777" w:rsidR="00623AF8" w:rsidRPr="00627FE4" w:rsidRDefault="00623AF8" w:rsidP="00623AF8">
      <w:pPr>
        <w:pStyle w:val="Funotentext"/>
      </w:pPr>
      <w:r>
        <w:rPr>
          <w:rStyle w:val="Funotenzeichen"/>
        </w:rPr>
        <w:footnoteRef/>
      </w:r>
      <w:r>
        <w:t xml:space="preserve"> </w:t>
      </w:r>
      <w:r w:rsidRPr="00B66927">
        <w:rPr>
          <w:lang w:val="en-US"/>
        </w:rPr>
        <w:t xml:space="preserve">Jones, J. (2023). </w:t>
      </w:r>
      <w:r w:rsidRPr="00B66927">
        <w:rPr>
          <w:i/>
          <w:iCs/>
          <w:lang w:val="en-US"/>
        </w:rPr>
        <w:t>Industrial Policy Synergies: Industrial Policy + Labor Policy</w:t>
      </w:r>
      <w:r w:rsidRPr="00B66927">
        <w:rPr>
          <w:lang w:val="en-US"/>
        </w:rPr>
        <w:t xml:space="preserve">. </w:t>
      </w:r>
      <w:hyperlink r:id="rId39" w:history="1">
        <w:r w:rsidRPr="00627FE4">
          <w:rPr>
            <w:rStyle w:val="Hyperlink"/>
          </w:rPr>
          <w:t>https://rooseveltinstitute.org/publications/industrial-policy-synergies-industrial-policy-labor-policy/</w:t>
        </w:r>
      </w:hyperlink>
    </w:p>
    <w:p w14:paraId="2729A1C5" w14:textId="77777777" w:rsidR="00623AF8" w:rsidRPr="00627FE4" w:rsidRDefault="00623AF8" w:rsidP="00623AF8">
      <w:pPr>
        <w:pStyle w:val="Funotentext"/>
      </w:pPr>
    </w:p>
  </w:footnote>
  <w:footnote w:id="44">
    <w:p w14:paraId="032FD19F" w14:textId="77777777" w:rsidR="00623AF8" w:rsidRPr="00B66927" w:rsidRDefault="00623AF8" w:rsidP="00623AF8">
      <w:pPr>
        <w:pStyle w:val="Funotentext"/>
        <w:rPr>
          <w:lang w:val="en-US"/>
        </w:rPr>
      </w:pPr>
      <w:r>
        <w:rPr>
          <w:rStyle w:val="Funotenzeichen"/>
        </w:rPr>
        <w:footnoteRef/>
      </w:r>
      <w:r w:rsidRPr="00B66927">
        <w:rPr>
          <w:lang w:val="de-AT"/>
        </w:rPr>
        <w:t xml:space="preserve"> Plattform für nachhaltige Finanzen. (2022, Februar 28). </w:t>
      </w:r>
      <w:r w:rsidRPr="00B66927">
        <w:rPr>
          <w:i/>
          <w:iCs/>
          <w:lang w:val="en-US"/>
        </w:rPr>
        <w:t>Platform on Sustainable Finance’s report on social taxonomy</w:t>
      </w:r>
      <w:r w:rsidRPr="00B66927">
        <w:rPr>
          <w:lang w:val="en-US"/>
        </w:rPr>
        <w:t xml:space="preserve">. European Commission. </w:t>
      </w:r>
      <w:hyperlink r:id="rId40" w:history="1">
        <w:r w:rsidRPr="00B66927">
          <w:rPr>
            <w:rStyle w:val="Hyperlink"/>
            <w:lang w:val="en-US"/>
          </w:rPr>
          <w:t>https://commission.europa.eu/document/d07e1f1e-3a1f-4d55-add4-a130f26b33e3_en</w:t>
        </w:r>
      </w:hyperlink>
    </w:p>
    <w:p w14:paraId="5C896613" w14:textId="77777777" w:rsidR="00623AF8" w:rsidRPr="00B66927" w:rsidRDefault="00623AF8" w:rsidP="00623AF8">
      <w:pPr>
        <w:pStyle w:val="Funotentext"/>
        <w:rPr>
          <w:lang w:val="en-US"/>
        </w:rPr>
      </w:pPr>
    </w:p>
  </w:footnote>
  <w:footnote w:id="45">
    <w:p w14:paraId="1E1DD248" w14:textId="77777777" w:rsidR="00623AF8" w:rsidRPr="00627FE4" w:rsidRDefault="00623AF8" w:rsidP="00623AF8">
      <w:pPr>
        <w:pStyle w:val="Funotentext"/>
      </w:pPr>
      <w:r>
        <w:rPr>
          <w:rStyle w:val="Funotenzeichen"/>
        </w:rPr>
        <w:footnoteRef/>
      </w:r>
      <w:r w:rsidRPr="001B22DF">
        <w:rPr>
          <w:lang w:val="de-AT"/>
        </w:rPr>
        <w:t xml:space="preserve"> Europäische Kommission. (2024). </w:t>
      </w:r>
      <w:r w:rsidRPr="001B22DF">
        <w:rPr>
          <w:i/>
          <w:iCs/>
          <w:lang w:val="de-AT"/>
        </w:rPr>
        <w:t>LGBTIQ Equality Strategy 2020-2025</w:t>
      </w:r>
      <w:r w:rsidRPr="001B22DF">
        <w:rPr>
          <w:lang w:val="de-AT"/>
        </w:rPr>
        <w:t xml:space="preserve">. </w:t>
      </w:r>
      <w:hyperlink r:id="rId41" w:history="1">
        <w:r w:rsidRPr="00627FE4">
          <w:rPr>
            <w:rStyle w:val="Hyperlink"/>
          </w:rPr>
          <w:t>https://commission.europa.eu/strategy-and-policy/policies/justice-and-fundamental-rights/combatting-discrimination/lesbian-gay-bi-trans-and-intersex-equality/lgbtiq-equality-strategy-2020-2025_en</w:t>
        </w:r>
      </w:hyperlink>
    </w:p>
    <w:p w14:paraId="7918C36F" w14:textId="77777777" w:rsidR="00623AF8" w:rsidRPr="00627FE4" w:rsidRDefault="00623AF8" w:rsidP="00623AF8">
      <w:pPr>
        <w:pStyle w:val="Funotentext"/>
      </w:pPr>
    </w:p>
  </w:footnote>
  <w:footnote w:id="46">
    <w:p w14:paraId="460E6AC4" w14:textId="77777777" w:rsidR="00623AF8" w:rsidRPr="005425ED" w:rsidRDefault="00623AF8" w:rsidP="00623AF8">
      <w:pPr>
        <w:pStyle w:val="Funotentext"/>
        <w:rPr>
          <w:lang w:val="de-AT"/>
        </w:rPr>
      </w:pPr>
      <w:r>
        <w:rPr>
          <w:rStyle w:val="Funotenzeichen"/>
        </w:rPr>
        <w:footnoteRef/>
      </w:r>
      <w:r w:rsidRPr="005425ED">
        <w:rPr>
          <w:lang w:val="de-AT"/>
        </w:rPr>
        <w:t xml:space="preserve"> Richtlinie 2004/113/EG des Rates vom 13. Dezember 2004 zur Verwirklichung des Grundsatzes der Gleichbehandlung von Männern und Frauen beim Zugang zu und bei der Versorgung mit Gütern und Dienstleistungen, Rat der Europäischen Union, (2004). </w:t>
      </w:r>
      <w:hyperlink r:id="rId42" w:history="1">
        <w:r w:rsidRPr="005425ED">
          <w:rPr>
            <w:rStyle w:val="Hyperlink"/>
            <w:lang w:val="de-AT"/>
          </w:rPr>
          <w:t>http://data.europa.eu/eli/dir/2004/113/oj/deu</w:t>
        </w:r>
      </w:hyperlink>
    </w:p>
    <w:p w14:paraId="3222BB58" w14:textId="77777777" w:rsidR="00623AF8" w:rsidRPr="005425ED" w:rsidRDefault="00623AF8" w:rsidP="00623AF8">
      <w:pPr>
        <w:pStyle w:val="Funotentext"/>
        <w:rPr>
          <w:lang w:val="de-DE"/>
        </w:rPr>
      </w:pPr>
    </w:p>
  </w:footnote>
  <w:footnote w:id="47">
    <w:p w14:paraId="7979E626" w14:textId="77777777" w:rsidR="00623AF8" w:rsidRPr="00627FE4" w:rsidRDefault="00623AF8" w:rsidP="00623AF8">
      <w:pPr>
        <w:pStyle w:val="Funotentext"/>
      </w:pPr>
      <w:r>
        <w:rPr>
          <w:rStyle w:val="Funotenzeichen"/>
        </w:rPr>
        <w:footnoteRef/>
      </w:r>
      <w:r w:rsidRPr="00627FE4">
        <w:rPr>
          <w:lang w:val="de-AT"/>
        </w:rPr>
        <w:t xml:space="preserve"> </w:t>
      </w:r>
      <w:r w:rsidRPr="002B1466">
        <w:rPr>
          <w:lang w:val="de-AT"/>
        </w:rPr>
        <w:t xml:space="preserve">Internationale Arbeitsorganisation (ILO). (2019, November 22). </w:t>
      </w:r>
      <w:r w:rsidRPr="002B1466">
        <w:rPr>
          <w:i/>
          <w:iCs/>
          <w:lang w:val="de-AT"/>
        </w:rPr>
        <w:t>Übereinkommen (Nr. 190) über Gewalt und Belästigung, 2019</w:t>
      </w:r>
      <w:r w:rsidRPr="002B1466">
        <w:rPr>
          <w:lang w:val="de-AT"/>
        </w:rPr>
        <w:t xml:space="preserve">. </w:t>
      </w:r>
      <w:hyperlink r:id="rId43" w:history="1">
        <w:r w:rsidRPr="00627FE4">
          <w:rPr>
            <w:rStyle w:val="Hyperlink"/>
          </w:rPr>
          <w:t>https://www.ilo.org/de/resource/uebereinkommen-nr-190-ueber-gewalt-und-belaestigung-2019</w:t>
        </w:r>
      </w:hyperlink>
    </w:p>
    <w:p w14:paraId="547F2F13" w14:textId="77777777" w:rsidR="00623AF8" w:rsidRPr="00627FE4" w:rsidRDefault="00623AF8" w:rsidP="00623AF8">
      <w:pPr>
        <w:pStyle w:val="Funoten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F07D83" w14:textId="77777777" w:rsidR="00A66104" w:rsidRDefault="00A6610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60E5E0" w14:textId="77777777" w:rsidR="00623AF8" w:rsidRPr="00CD3D2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59264" behindDoc="0" locked="0" layoutInCell="1" allowOverlap="1" wp14:anchorId="2CE750EB" wp14:editId="411823FC">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774239289" name="Grafik 77423928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615FA26E" w14:textId="7B30D348" w:rsidR="00623AF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color w:val="808080" w:themeColor="background1" w:themeShade="80"/>
        <w:sz w:val="18"/>
        <w:szCs w:val="18"/>
        <w:lang w:val="en-US" w:eastAsia="de-AT"/>
      </w:rPr>
      <w:t>643879152710-58</w:t>
    </w:r>
  </w:p>
  <w:p w14:paraId="6DF89CAE" w14:textId="1B267721" w:rsidR="00623AF8" w:rsidRDefault="00623AF8">
    <w:pPr>
      <w:pStyle w:val="Kopfzeile"/>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60288" behindDoc="0" locked="0" layoutInCell="1" allowOverlap="1" wp14:anchorId="56294181" wp14:editId="3A33A638">
          <wp:simplePos x="0" y="0"/>
          <wp:positionH relativeFrom="margin">
            <wp:posOffset>3894512</wp:posOffset>
          </wp:positionH>
          <wp:positionV relativeFrom="topMargin">
            <wp:align>bottom</wp:align>
          </wp:positionV>
          <wp:extent cx="2154555" cy="422910"/>
          <wp:effectExtent l="0" t="0" r="0" b="0"/>
          <wp:wrapSquare wrapText="bothSides"/>
          <wp:docPr id="841299989"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10E8F9" w14:textId="77777777" w:rsidR="00A66104" w:rsidRDefault="00A66104">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7C96F8" w14:textId="77777777" w:rsidR="00623AF8" w:rsidRPr="00CD3D2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62336" behindDoc="0" locked="0" layoutInCell="1" allowOverlap="1" wp14:anchorId="6EC9E107" wp14:editId="51CACDB7">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365307845" name="Grafik 1365307845"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8B8A61F" w14:textId="49FCD6E4" w:rsidR="00623AF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color w:val="808080" w:themeColor="background1" w:themeShade="80"/>
        <w:sz w:val="18"/>
        <w:szCs w:val="18"/>
        <w:lang w:val="en-US" w:eastAsia="de-AT"/>
      </w:rPr>
      <w:t>643879152710-58</w:t>
    </w:r>
  </w:p>
  <w:p w14:paraId="29868D24" w14:textId="03CCC0CC" w:rsidR="00623AF8" w:rsidRPr="00624E28" w:rsidRDefault="00623AF8" w:rsidP="00115D5D">
    <w:pPr>
      <w:rPr>
        <w:rFonts w:eastAsia="Times New Roman"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63360" behindDoc="0" locked="0" layoutInCell="1" allowOverlap="1" wp14:anchorId="6C42CF34" wp14:editId="29FD0114">
          <wp:simplePos x="0" y="0"/>
          <wp:positionH relativeFrom="margin">
            <wp:posOffset>3917661</wp:posOffset>
          </wp:positionH>
          <wp:positionV relativeFrom="topMargin">
            <wp:align>bottom</wp:align>
          </wp:positionV>
          <wp:extent cx="2154555" cy="422910"/>
          <wp:effectExtent l="0" t="0" r="0" b="0"/>
          <wp:wrapSquare wrapText="bothSides"/>
          <wp:docPr id="1067035146"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2A2802" w14:textId="77777777" w:rsidR="00623AF8" w:rsidRDefault="00623AF8">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788F8" w14:textId="77777777" w:rsidR="00623AF8" w:rsidRPr="00CD3D2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68480" behindDoc="0" locked="0" layoutInCell="1" allowOverlap="1" wp14:anchorId="75A2580F" wp14:editId="70193D15">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084448766" name="Grafik 1084448766"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185E52FC" w14:textId="156A433F" w:rsidR="00623AF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color w:val="808080" w:themeColor="background1" w:themeShade="80"/>
        <w:sz w:val="18"/>
        <w:szCs w:val="18"/>
        <w:lang w:val="en-US" w:eastAsia="de-AT"/>
      </w:rPr>
      <w:t>643879152710-58</w:t>
    </w:r>
  </w:p>
  <w:p w14:paraId="2C9C28F2" w14:textId="28A287A7" w:rsidR="00623AF8" w:rsidRPr="007A1DB2" w:rsidRDefault="00623AF8" w:rsidP="00115D5D">
    <w:pPr>
      <w:rPr>
        <w:rFonts w:cstheme="minorHAnsi"/>
        <w:color w:val="808080" w:themeColor="background1" w:themeShade="80"/>
        <w:sz w:val="18"/>
        <w:szCs w:val="18"/>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69504" behindDoc="0" locked="0" layoutInCell="1" allowOverlap="1" wp14:anchorId="13493A01" wp14:editId="3DCA4903">
          <wp:simplePos x="0" y="0"/>
          <wp:positionH relativeFrom="margin">
            <wp:posOffset>3917661</wp:posOffset>
          </wp:positionH>
          <wp:positionV relativeFrom="topMargin">
            <wp:align>bottom</wp:align>
          </wp:positionV>
          <wp:extent cx="2154555" cy="422910"/>
          <wp:effectExtent l="0" t="0" r="0" b="0"/>
          <wp:wrapSquare wrapText="bothSides"/>
          <wp:docPr id="1443733909"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044580" w14:textId="77777777" w:rsidR="00623AF8" w:rsidRPr="007A1DB2" w:rsidRDefault="00623AF8" w:rsidP="00285411">
    <w:pPr>
      <w:rPr>
        <w:rFonts w:cstheme="minorHAnsi"/>
        <w:color w:val="808080" w:themeColor="background1" w:themeShade="80"/>
        <w:sz w:val="18"/>
        <w:szCs w:val="18"/>
      </w:rPr>
    </w:pPr>
  </w:p>
  <w:p w14:paraId="6A1F38A6" w14:textId="77777777" w:rsidR="00623AF8" w:rsidRPr="00CD3D2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65408" behindDoc="0" locked="0" layoutInCell="1" allowOverlap="1" wp14:anchorId="3DC7075B" wp14:editId="17720906">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284396434" name="Grafik 128439643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ACD3715" w14:textId="5DDAD528" w:rsidR="00623AF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color w:val="808080" w:themeColor="background1" w:themeShade="80"/>
        <w:sz w:val="18"/>
        <w:szCs w:val="18"/>
        <w:lang w:val="en-US" w:eastAsia="de-AT"/>
      </w:rPr>
      <w:t>643879152710-58</w:t>
    </w:r>
  </w:p>
  <w:p w14:paraId="01EB0783" w14:textId="2F305864" w:rsidR="00623AF8" w:rsidRDefault="00623AF8">
    <w:pPr>
      <w:pStyle w:val="Kopfzeile"/>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66432" behindDoc="0" locked="0" layoutInCell="1" allowOverlap="1" wp14:anchorId="0CD0F24A" wp14:editId="5115E66F">
          <wp:simplePos x="0" y="0"/>
          <wp:positionH relativeFrom="margin">
            <wp:posOffset>3929235</wp:posOffset>
          </wp:positionH>
          <wp:positionV relativeFrom="margin">
            <wp:posOffset>-297735</wp:posOffset>
          </wp:positionV>
          <wp:extent cx="2154555" cy="422910"/>
          <wp:effectExtent l="0" t="0" r="0" b="0"/>
          <wp:wrapSquare wrapText="bothSides"/>
          <wp:docPr id="11226858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AA804D" w14:textId="425E02FA" w:rsidR="00623AF8" w:rsidRPr="00CD3D2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71552" behindDoc="0" locked="0" layoutInCell="1" allowOverlap="1" wp14:anchorId="67454475" wp14:editId="728EA9FB">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153426360" name="Grafik 1153426360"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3A08EF47" w14:textId="56DB5E3A" w:rsidR="00623AF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color w:val="808080" w:themeColor="background1" w:themeShade="80"/>
        <w:sz w:val="18"/>
        <w:szCs w:val="18"/>
        <w:lang w:val="en-US" w:eastAsia="de-AT"/>
      </w:rPr>
      <w:t>643879152710-58</w:t>
    </w:r>
  </w:p>
  <w:p w14:paraId="3CA7E48A" w14:textId="13D2F08F" w:rsidR="00623AF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72576" behindDoc="0" locked="0" layoutInCell="1" allowOverlap="1" wp14:anchorId="6D5FB2F7" wp14:editId="7CF6E443">
          <wp:simplePos x="0" y="0"/>
          <wp:positionH relativeFrom="margin">
            <wp:posOffset>3951605</wp:posOffset>
          </wp:positionH>
          <wp:positionV relativeFrom="margin">
            <wp:posOffset>-545714</wp:posOffset>
          </wp:positionV>
          <wp:extent cx="2154555" cy="422910"/>
          <wp:effectExtent l="0" t="0" r="0" b="0"/>
          <wp:wrapSquare wrapText="bothSides"/>
          <wp:docPr id="177522701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p>
  <w:p w14:paraId="1D400BC6" w14:textId="4EF47901" w:rsidR="00623AF8" w:rsidRDefault="00623AF8" w:rsidP="00623AF8">
    <w:pPr>
      <w:rPr>
        <w:rFonts w:ascii="Aptos" w:eastAsia="Times New Roman" w:hAnsi="Aptos" w:cstheme="minorHAnsi"/>
        <w:color w:val="808080" w:themeColor="background1" w:themeShade="80"/>
        <w:sz w:val="18"/>
        <w:szCs w:val="18"/>
        <w:lang w:val="en-US" w:eastAsia="de-AT"/>
      </w:rPr>
    </w:pPr>
  </w:p>
  <w:p w14:paraId="38AF05B2" w14:textId="77777777" w:rsidR="00623AF8" w:rsidRDefault="00623AF8" w:rsidP="00623AF8">
    <w:pPr>
      <w:rPr>
        <w:rFonts w:ascii="Aptos" w:eastAsia="Times New Roman" w:hAnsi="Aptos" w:cstheme="minorHAnsi"/>
        <w:color w:val="808080" w:themeColor="background1" w:themeShade="80"/>
        <w:sz w:val="18"/>
        <w:szCs w:val="18"/>
        <w:lang w:val="en-US" w:eastAsia="de-AT"/>
      </w:rPr>
    </w:pPr>
  </w:p>
  <w:p w14:paraId="03D04074" w14:textId="779DB538" w:rsidR="00623AF8" w:rsidRPr="007A1DB2" w:rsidRDefault="00623AF8" w:rsidP="00115D5D">
    <w:pPr>
      <w:rPr>
        <w:rFonts w:cstheme="minorHAnsi"/>
        <w:color w:val="808080" w:themeColor="background1" w:themeShade="80"/>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BAC7B8" w14:textId="77777777" w:rsidR="00623AF8" w:rsidRPr="00CD3D2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74624" behindDoc="0" locked="0" layoutInCell="1" allowOverlap="1" wp14:anchorId="758EF94F" wp14:editId="08FF5559">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242972932" name="Grafik 124297293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1F8CBF2E" w14:textId="35BEC8F9" w:rsidR="00623AF8" w:rsidRDefault="00623AF8" w:rsidP="00623AF8">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color w:val="808080" w:themeColor="background1" w:themeShade="80"/>
        <w:sz w:val="18"/>
        <w:szCs w:val="18"/>
        <w:lang w:val="en-US" w:eastAsia="de-AT"/>
      </w:rPr>
      <w:t>643879152710-58</w:t>
    </w:r>
  </w:p>
  <w:p w14:paraId="541504FE" w14:textId="7330D4FE" w:rsidR="00623AF8" w:rsidRPr="00CD3D28" w:rsidRDefault="00623AF8"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75648" behindDoc="0" locked="0" layoutInCell="1" allowOverlap="1" wp14:anchorId="4679DE5F" wp14:editId="03DFE4A4">
          <wp:simplePos x="0" y="0"/>
          <wp:positionH relativeFrom="margin">
            <wp:posOffset>3940810</wp:posOffset>
          </wp:positionH>
          <wp:positionV relativeFrom="margin">
            <wp:posOffset>-100965</wp:posOffset>
          </wp:positionV>
          <wp:extent cx="2154555" cy="422910"/>
          <wp:effectExtent l="0" t="0" r="0" b="0"/>
          <wp:wrapSquare wrapText="bothSides"/>
          <wp:docPr id="86101419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CE696C" w14:textId="77777777" w:rsidR="00623AF8" w:rsidRDefault="00623AF8">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0787BB"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77696" behindDoc="0" locked="0" layoutInCell="1" allowOverlap="1" wp14:anchorId="1913BDBD" wp14:editId="2562AFD0">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152477748" name="Grafik 1152477748"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FEED950"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78720" behindDoc="0" locked="0" layoutInCell="1" allowOverlap="1" wp14:anchorId="55FF8239" wp14:editId="46339F5F">
          <wp:simplePos x="0" y="0"/>
          <wp:positionH relativeFrom="margin">
            <wp:posOffset>3941022</wp:posOffset>
          </wp:positionH>
          <wp:positionV relativeFrom="margin">
            <wp:posOffset>-100965</wp:posOffset>
          </wp:positionV>
          <wp:extent cx="2154555" cy="422910"/>
          <wp:effectExtent l="0" t="0" r="0" b="0"/>
          <wp:wrapSquare wrapText="bothSides"/>
          <wp:docPr id="1739221341"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1594BB05"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68F554" w14:textId="77777777" w:rsidR="00623AF8" w:rsidRDefault="00623AF8">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C5F464" w14:textId="77777777" w:rsidR="00623AF8" w:rsidRDefault="00623AF8">
    <w:pPr>
      <w:pStyle w:val="Kopfzeile"/>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203614"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80768" behindDoc="0" locked="0" layoutInCell="1" allowOverlap="1" wp14:anchorId="7D2D8A91" wp14:editId="5729D742">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729511925" name="Grafik 1729511925"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2C791B4"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81792" behindDoc="0" locked="0" layoutInCell="1" allowOverlap="1" wp14:anchorId="7B33DF1B" wp14:editId="100310BD">
          <wp:simplePos x="0" y="0"/>
          <wp:positionH relativeFrom="margin">
            <wp:posOffset>3941022</wp:posOffset>
          </wp:positionH>
          <wp:positionV relativeFrom="margin">
            <wp:posOffset>-100965</wp:posOffset>
          </wp:positionV>
          <wp:extent cx="2154555" cy="422910"/>
          <wp:effectExtent l="0" t="0" r="0" b="0"/>
          <wp:wrapSquare wrapText="bothSides"/>
          <wp:docPr id="1912682171"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4865D044"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456D9A" w14:textId="77777777" w:rsidR="00623AF8" w:rsidRDefault="00623AF8">
    <w:pPr>
      <w:pStyle w:val="Kopfzeile"/>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FFDB09" w14:textId="77777777" w:rsidR="00623AF8" w:rsidRDefault="00623AF8">
    <w:pPr>
      <w:pStyle w:val="Kopfzeile"/>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133ACA"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83840" behindDoc="0" locked="0" layoutInCell="1" allowOverlap="1" wp14:anchorId="4DF9EF45" wp14:editId="085D15BE">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548909545" name="Grafik 1548909545"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6EC31B44"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84864" behindDoc="0" locked="0" layoutInCell="1" allowOverlap="1" wp14:anchorId="7617CE2C" wp14:editId="0A4D5803">
          <wp:simplePos x="0" y="0"/>
          <wp:positionH relativeFrom="margin">
            <wp:posOffset>3941022</wp:posOffset>
          </wp:positionH>
          <wp:positionV relativeFrom="margin">
            <wp:posOffset>-100965</wp:posOffset>
          </wp:positionV>
          <wp:extent cx="2154555" cy="422910"/>
          <wp:effectExtent l="0" t="0" r="0" b="0"/>
          <wp:wrapSquare wrapText="bothSides"/>
          <wp:docPr id="1773373294"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121AB2C8"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E7CCC1" w14:textId="77777777" w:rsidR="00623AF8" w:rsidRDefault="00623AF8">
    <w:pPr>
      <w:pStyle w:val="Kopfzeile"/>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43EB5B" w14:textId="77777777" w:rsidR="00623AF8" w:rsidRDefault="00623AF8">
    <w:pPr>
      <w:pStyle w:val="Kopfzeile"/>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381504"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86912" behindDoc="0" locked="0" layoutInCell="1" allowOverlap="1" wp14:anchorId="7E44FCFC" wp14:editId="37AA572B">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896964962" name="Grafik 189696496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338B338A"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87936" behindDoc="0" locked="0" layoutInCell="1" allowOverlap="1" wp14:anchorId="1CDEDDC5" wp14:editId="2CEE9D8B">
          <wp:simplePos x="0" y="0"/>
          <wp:positionH relativeFrom="margin">
            <wp:posOffset>3941022</wp:posOffset>
          </wp:positionH>
          <wp:positionV relativeFrom="margin">
            <wp:posOffset>-100965</wp:posOffset>
          </wp:positionV>
          <wp:extent cx="2154555" cy="422910"/>
          <wp:effectExtent l="0" t="0" r="0" b="0"/>
          <wp:wrapSquare wrapText="bothSides"/>
          <wp:docPr id="201322064"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3FD4EF0B"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80DBB7" w14:textId="77777777" w:rsidR="00623AF8" w:rsidRDefault="00623AF8">
    <w:pPr>
      <w:pStyle w:val="Kopfzeile"/>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F322A3" w14:textId="77777777" w:rsidR="00623AF8" w:rsidRDefault="00623AF8">
    <w:pPr>
      <w:pStyle w:val="Kopfzeile"/>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F3BBEC"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89984" behindDoc="0" locked="0" layoutInCell="1" allowOverlap="1" wp14:anchorId="73F1B9DD" wp14:editId="1B744E05">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405191837" name="Grafik 40519183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57D534E"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91008" behindDoc="0" locked="0" layoutInCell="1" allowOverlap="1" wp14:anchorId="57E1DDAC" wp14:editId="0F01F0BF">
          <wp:simplePos x="0" y="0"/>
          <wp:positionH relativeFrom="margin">
            <wp:posOffset>3941022</wp:posOffset>
          </wp:positionH>
          <wp:positionV relativeFrom="margin">
            <wp:posOffset>-100965</wp:posOffset>
          </wp:positionV>
          <wp:extent cx="2154555" cy="422910"/>
          <wp:effectExtent l="0" t="0" r="0" b="0"/>
          <wp:wrapSquare wrapText="bothSides"/>
          <wp:docPr id="242604599"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6F4E85D1"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A75532" w14:textId="77777777" w:rsidR="00623AF8" w:rsidRDefault="00623AF8">
    <w:pPr>
      <w:pStyle w:val="Kopfzeile"/>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4A9D6A" w14:textId="77777777" w:rsidR="00623AF8" w:rsidRDefault="00623AF8">
    <w:pPr>
      <w:pStyle w:val="Kopfzeile"/>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F49F8E"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93056" behindDoc="0" locked="0" layoutInCell="1" allowOverlap="1" wp14:anchorId="42DCCFC2" wp14:editId="2C1B2FBA">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292241977" name="Grafik 129224197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0399EB19"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94080" behindDoc="0" locked="0" layoutInCell="1" allowOverlap="1" wp14:anchorId="2A02BBC7" wp14:editId="45EA8687">
          <wp:simplePos x="0" y="0"/>
          <wp:positionH relativeFrom="margin">
            <wp:posOffset>3941022</wp:posOffset>
          </wp:positionH>
          <wp:positionV relativeFrom="margin">
            <wp:posOffset>-100965</wp:posOffset>
          </wp:positionV>
          <wp:extent cx="2154555" cy="422910"/>
          <wp:effectExtent l="0" t="0" r="0" b="0"/>
          <wp:wrapSquare wrapText="bothSides"/>
          <wp:docPr id="1722801291"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02A093A6"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C15554" w14:textId="77777777" w:rsidR="00623AF8" w:rsidRDefault="00623AF8">
    <w:pPr>
      <w:pStyle w:val="Kopfzeile"/>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726F2C" w14:textId="77777777" w:rsidR="00623AF8" w:rsidRDefault="00623AF8">
    <w:pPr>
      <w:pStyle w:val="Kopfzeile"/>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0E9A76"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96128" behindDoc="0" locked="0" layoutInCell="1" allowOverlap="1" wp14:anchorId="748CC3F1" wp14:editId="5745DE6C">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293649399" name="Grafik 29364939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21487A69"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97152" behindDoc="0" locked="0" layoutInCell="1" allowOverlap="1" wp14:anchorId="2E72C867" wp14:editId="047ED1DE">
          <wp:simplePos x="0" y="0"/>
          <wp:positionH relativeFrom="margin">
            <wp:posOffset>3941022</wp:posOffset>
          </wp:positionH>
          <wp:positionV relativeFrom="margin">
            <wp:posOffset>-100965</wp:posOffset>
          </wp:positionV>
          <wp:extent cx="2154555" cy="422910"/>
          <wp:effectExtent l="0" t="0" r="0" b="0"/>
          <wp:wrapSquare wrapText="bothSides"/>
          <wp:docPr id="1256756128"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0092C993"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075A97" w14:textId="77777777" w:rsidR="00623AF8" w:rsidRDefault="00623AF8">
    <w:pPr>
      <w:pStyle w:val="Kopfzeile"/>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0BFB52" w14:textId="77777777" w:rsidR="00623AF8" w:rsidRDefault="00623AF8">
    <w:pPr>
      <w:pStyle w:val="Kopfzeile"/>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7511EE"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99200" behindDoc="0" locked="0" layoutInCell="1" allowOverlap="1" wp14:anchorId="617F496C" wp14:editId="6B3094BD">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881962485" name="Grafik 1881962485"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93DC36F"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700224" behindDoc="0" locked="0" layoutInCell="1" allowOverlap="1" wp14:anchorId="41C71510" wp14:editId="0D7FF124">
          <wp:simplePos x="0" y="0"/>
          <wp:positionH relativeFrom="margin">
            <wp:posOffset>3941022</wp:posOffset>
          </wp:positionH>
          <wp:positionV relativeFrom="margin">
            <wp:posOffset>-100965</wp:posOffset>
          </wp:positionV>
          <wp:extent cx="2154555" cy="422910"/>
          <wp:effectExtent l="0" t="0" r="0" b="0"/>
          <wp:wrapSquare wrapText="bothSides"/>
          <wp:docPr id="1894187448"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18A97BCB"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A1C6C7" w14:textId="77777777" w:rsidR="00623AF8" w:rsidRDefault="00623AF8">
    <w:pPr>
      <w:pStyle w:val="Kopfzeile"/>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E6EB98"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702272" behindDoc="0" locked="0" layoutInCell="1" allowOverlap="1" wp14:anchorId="07A6E257" wp14:editId="2845E851">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802655195" name="Grafik 802655195"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1DE8D101"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703296" behindDoc="0" locked="0" layoutInCell="1" allowOverlap="1" wp14:anchorId="1CEE348F" wp14:editId="79631036">
          <wp:simplePos x="0" y="0"/>
          <wp:positionH relativeFrom="margin">
            <wp:posOffset>3941022</wp:posOffset>
          </wp:positionH>
          <wp:positionV relativeFrom="margin">
            <wp:posOffset>-100965</wp:posOffset>
          </wp:positionV>
          <wp:extent cx="2154555" cy="422910"/>
          <wp:effectExtent l="0" t="0" r="0" b="0"/>
          <wp:wrapSquare wrapText="bothSides"/>
          <wp:docPr id="1553476523"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1942148B"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FE73AB" w14:textId="77777777" w:rsidR="00623AF8" w:rsidRDefault="00623AF8">
    <w:pPr>
      <w:pStyle w:val="Kopfzeile"/>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F62652"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705344" behindDoc="0" locked="0" layoutInCell="1" allowOverlap="1" wp14:anchorId="69BA7081" wp14:editId="307AF40F">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592544652" name="Grafik 59254465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F28C27F"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706368" behindDoc="0" locked="0" layoutInCell="1" allowOverlap="1" wp14:anchorId="77F1AC34" wp14:editId="0D682F0B">
          <wp:simplePos x="0" y="0"/>
          <wp:positionH relativeFrom="margin">
            <wp:posOffset>3941022</wp:posOffset>
          </wp:positionH>
          <wp:positionV relativeFrom="margin">
            <wp:posOffset>-100965</wp:posOffset>
          </wp:positionV>
          <wp:extent cx="2154555" cy="422910"/>
          <wp:effectExtent l="0" t="0" r="0" b="0"/>
          <wp:wrapSquare wrapText="bothSides"/>
          <wp:docPr id="149323669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4DBD5279"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04E945" w14:textId="77777777" w:rsidR="00623AF8" w:rsidRDefault="00623AF8">
    <w:pPr>
      <w:pStyle w:val="Kopfzeile"/>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9926FA" w14:textId="77777777"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711488" behindDoc="0" locked="0" layoutInCell="1" allowOverlap="1" wp14:anchorId="278DDD9F" wp14:editId="087BDDF4">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753731530" name="Grafik 753731530"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A793909" w14:textId="77777777"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712512" behindDoc="0" locked="0" layoutInCell="1" allowOverlap="1" wp14:anchorId="12FE8E2B" wp14:editId="4AA0C7C2">
          <wp:simplePos x="0" y="0"/>
          <wp:positionH relativeFrom="margin">
            <wp:posOffset>3941022</wp:posOffset>
          </wp:positionH>
          <wp:positionV relativeFrom="margin">
            <wp:posOffset>-100965</wp:posOffset>
          </wp:positionV>
          <wp:extent cx="2154555" cy="422910"/>
          <wp:effectExtent l="0" t="0" r="0" b="0"/>
          <wp:wrapSquare wrapText="bothSides"/>
          <wp:docPr id="853051623"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48E00351"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2427ED" w14:textId="3FF9247C" w:rsidR="00BA190B" w:rsidRPr="00CD3D28"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708416" behindDoc="0" locked="0" layoutInCell="1" allowOverlap="1" wp14:anchorId="071B0646" wp14:editId="252ABB22">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392372174" name="Grafik 39237217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321C69FE" w14:textId="386AC346" w:rsidR="00BA190B" w:rsidRDefault="00BA190B" w:rsidP="00BA190B">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color w:val="808080" w:themeColor="background1" w:themeShade="80"/>
        <w:sz w:val="18"/>
        <w:szCs w:val="18"/>
        <w:lang w:val="en-US" w:eastAsia="de-AT"/>
      </w:rPr>
      <w:t>643879152710-58</w:t>
    </w:r>
  </w:p>
  <w:p w14:paraId="1E7E8385" w14:textId="6114BE9E" w:rsidR="00623AF8" w:rsidRDefault="00BA190B">
    <w:pPr>
      <w:pStyle w:val="Kopfzeile"/>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709440" behindDoc="0" locked="0" layoutInCell="1" allowOverlap="1" wp14:anchorId="676A048B" wp14:editId="61569CEE">
          <wp:simplePos x="0" y="0"/>
          <wp:positionH relativeFrom="margin">
            <wp:posOffset>3905684</wp:posOffset>
          </wp:positionH>
          <wp:positionV relativeFrom="margin">
            <wp:posOffset>-546293</wp:posOffset>
          </wp:positionV>
          <wp:extent cx="2154555" cy="422910"/>
          <wp:effectExtent l="0" t="0" r="0" b="0"/>
          <wp:wrapSquare wrapText="bothSides"/>
          <wp:docPr id="106484768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p>
  <w:p w14:paraId="76884095" w14:textId="6986526B" w:rsidR="00623AF8" w:rsidRDefault="00623AF8">
    <w:pPr>
      <w:pStyle w:val="Kopfzeile"/>
    </w:pPr>
  </w:p>
  <w:p w14:paraId="13FEC0D4" w14:textId="5EBD641C" w:rsidR="00BA190B" w:rsidRDefault="00BA190B">
    <w:pPr>
      <w:pStyle w:val="Kopfzeile"/>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242430" w14:textId="77777777" w:rsidR="00AF7E3D" w:rsidRPr="00CD3D28" w:rsidRDefault="00AF7E3D" w:rsidP="00AF7E3D">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714560" behindDoc="0" locked="0" layoutInCell="1" allowOverlap="1" wp14:anchorId="5149C2C1" wp14:editId="15C14460">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6199642" name="Grafik 1619964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248D06C7" w14:textId="77777777" w:rsidR="00AF7E3D" w:rsidRDefault="00AF7E3D" w:rsidP="00AF7E3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715584" behindDoc="0" locked="0" layoutInCell="1" allowOverlap="1" wp14:anchorId="3268DDAF" wp14:editId="7C0D4EFF">
          <wp:simplePos x="0" y="0"/>
          <wp:positionH relativeFrom="margin">
            <wp:posOffset>3941022</wp:posOffset>
          </wp:positionH>
          <wp:positionV relativeFrom="margin">
            <wp:posOffset>-100965</wp:posOffset>
          </wp:positionV>
          <wp:extent cx="2154555" cy="422910"/>
          <wp:effectExtent l="0" t="0" r="0" b="0"/>
          <wp:wrapSquare wrapText="bothSides"/>
          <wp:docPr id="109788023"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1BC7080B" w14:textId="77777777" w:rsidR="00623AF8" w:rsidRPr="00CD3D28" w:rsidRDefault="00623AF8" w:rsidP="00115D5D">
    <w:pPr>
      <w:rPr>
        <w:rFonts w:ascii="Aptos" w:eastAsia="Times New Roman" w:hAnsi="Aptos" w:cstheme="minorHAnsi"/>
        <w:color w:val="808080" w:themeColor="background1" w:themeShade="80"/>
        <w:sz w:val="18"/>
        <w:szCs w:val="18"/>
        <w:lang w:val="en-US" w:eastAsia="de-A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465E1"/>
    <w:multiLevelType w:val="hybridMultilevel"/>
    <w:tmpl w:val="4D52CC8C"/>
    <w:lvl w:ilvl="0" w:tplc="AF2E1CB4">
      <w:start w:val="1"/>
      <w:numFmt w:val="decimal"/>
      <w:lvlText w:val="(%1)"/>
      <w:lvlJc w:val="left"/>
      <w:pPr>
        <w:ind w:left="502" w:hanging="360"/>
      </w:pPr>
      <w:rPr>
        <w:sz w:val="20"/>
        <w:szCs w:val="20"/>
      </w:r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start w:val="1"/>
      <w:numFmt w:val="decimal"/>
      <w:lvlText w:val="%4."/>
      <w:lvlJc w:val="left"/>
      <w:pPr>
        <w:ind w:left="2880" w:hanging="360"/>
      </w:pPr>
    </w:lvl>
    <w:lvl w:ilvl="4" w:tplc="0C070019">
      <w:start w:val="1"/>
      <w:numFmt w:val="lowerLetter"/>
      <w:lvlText w:val="%5."/>
      <w:lvlJc w:val="left"/>
      <w:pPr>
        <w:ind w:left="3600" w:hanging="360"/>
      </w:pPr>
    </w:lvl>
    <w:lvl w:ilvl="5" w:tplc="0C07001B">
      <w:start w:val="1"/>
      <w:numFmt w:val="lowerRoman"/>
      <w:lvlText w:val="%6."/>
      <w:lvlJc w:val="right"/>
      <w:pPr>
        <w:ind w:left="4320" w:hanging="180"/>
      </w:pPr>
    </w:lvl>
    <w:lvl w:ilvl="6" w:tplc="0C07000F">
      <w:start w:val="1"/>
      <w:numFmt w:val="decimal"/>
      <w:lvlText w:val="%7."/>
      <w:lvlJc w:val="left"/>
      <w:pPr>
        <w:ind w:left="5040" w:hanging="360"/>
      </w:pPr>
    </w:lvl>
    <w:lvl w:ilvl="7" w:tplc="0C070019">
      <w:start w:val="1"/>
      <w:numFmt w:val="lowerLetter"/>
      <w:lvlText w:val="%8."/>
      <w:lvlJc w:val="left"/>
      <w:pPr>
        <w:ind w:left="5760" w:hanging="360"/>
      </w:pPr>
    </w:lvl>
    <w:lvl w:ilvl="8" w:tplc="0C07001B">
      <w:start w:val="1"/>
      <w:numFmt w:val="lowerRoman"/>
      <w:lvlText w:val="%9."/>
      <w:lvlJc w:val="right"/>
      <w:pPr>
        <w:ind w:left="6480" w:hanging="180"/>
      </w:pPr>
    </w:lvl>
  </w:abstractNum>
  <w:abstractNum w:abstractNumId="1" w15:restartNumberingAfterBreak="0">
    <w:nsid w:val="01D61EC2"/>
    <w:multiLevelType w:val="hybridMultilevel"/>
    <w:tmpl w:val="D262739E"/>
    <w:lvl w:ilvl="0" w:tplc="17A21F0E">
      <w:numFmt w:val="bullet"/>
      <w:lvlText w:val=""/>
      <w:lvlJc w:val="left"/>
      <w:pPr>
        <w:ind w:left="720" w:hanging="360"/>
      </w:pPr>
      <w:rPr>
        <w:rFonts w:ascii="Wingdings" w:eastAsiaTheme="minorHAnsi" w:hAnsi="Wingdings" w:cstheme="minorBidi"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 w15:restartNumberingAfterBreak="0">
    <w:nsid w:val="02C154EF"/>
    <w:multiLevelType w:val="hybridMultilevel"/>
    <w:tmpl w:val="35E60E50"/>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3AB563A"/>
    <w:multiLevelType w:val="hybridMultilevel"/>
    <w:tmpl w:val="849AA7D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04BF34C8"/>
    <w:multiLevelType w:val="hybridMultilevel"/>
    <w:tmpl w:val="EFFC44D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4FD13C0"/>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055825AB"/>
    <w:multiLevelType w:val="hybridMultilevel"/>
    <w:tmpl w:val="3E62BAA0"/>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0A422A0E"/>
    <w:multiLevelType w:val="hybridMultilevel"/>
    <w:tmpl w:val="79BEF4CE"/>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0A4354AA"/>
    <w:multiLevelType w:val="hybridMultilevel"/>
    <w:tmpl w:val="7B2CC23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0B3A5A6C"/>
    <w:multiLevelType w:val="hybridMultilevel"/>
    <w:tmpl w:val="D4AC464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0BDC3091"/>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0EEB0D09"/>
    <w:multiLevelType w:val="hybridMultilevel"/>
    <w:tmpl w:val="FD148B7C"/>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10F36084"/>
    <w:multiLevelType w:val="hybridMultilevel"/>
    <w:tmpl w:val="EF425FBC"/>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127250C8"/>
    <w:multiLevelType w:val="hybridMultilevel"/>
    <w:tmpl w:val="BD64393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1522676E"/>
    <w:multiLevelType w:val="hybridMultilevel"/>
    <w:tmpl w:val="5D28436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16684680"/>
    <w:multiLevelType w:val="hybridMultilevel"/>
    <w:tmpl w:val="0816926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1689290F"/>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17240515"/>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177B6BDE"/>
    <w:multiLevelType w:val="hybridMultilevel"/>
    <w:tmpl w:val="64A21B3A"/>
    <w:lvl w:ilvl="0" w:tplc="0C070015">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9"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20" w15:restartNumberingAfterBreak="0">
    <w:nsid w:val="1B8155B8"/>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 w15:restartNumberingAfterBreak="0">
    <w:nsid w:val="1CB50BFB"/>
    <w:multiLevelType w:val="hybridMultilevel"/>
    <w:tmpl w:val="74962D6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220A109C"/>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22624F88"/>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 w15:restartNumberingAfterBreak="0">
    <w:nsid w:val="243E2763"/>
    <w:multiLevelType w:val="hybridMultilevel"/>
    <w:tmpl w:val="877E8B4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263865B6"/>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269C70F4"/>
    <w:multiLevelType w:val="hybridMultilevel"/>
    <w:tmpl w:val="18C8205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26FD02CB"/>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 w15:restartNumberingAfterBreak="0">
    <w:nsid w:val="270650EC"/>
    <w:multiLevelType w:val="hybridMultilevel"/>
    <w:tmpl w:val="ED3CA74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28B2764C"/>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2D81633F"/>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30B42C14"/>
    <w:multiLevelType w:val="hybridMultilevel"/>
    <w:tmpl w:val="2A0A165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2" w15:restartNumberingAfterBreak="0">
    <w:nsid w:val="38030E66"/>
    <w:multiLevelType w:val="hybridMultilevel"/>
    <w:tmpl w:val="206AD63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3" w15:restartNumberingAfterBreak="0">
    <w:nsid w:val="39BC2901"/>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 w15:restartNumberingAfterBreak="0">
    <w:nsid w:val="3A9B0570"/>
    <w:multiLevelType w:val="hybridMultilevel"/>
    <w:tmpl w:val="DA22E9C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3DE77FC2"/>
    <w:multiLevelType w:val="hybridMultilevel"/>
    <w:tmpl w:val="08564C1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15:restartNumberingAfterBreak="0">
    <w:nsid w:val="3E42209A"/>
    <w:multiLevelType w:val="hybridMultilevel"/>
    <w:tmpl w:val="EC2AA044"/>
    <w:lvl w:ilvl="0" w:tplc="777AF120">
      <w:start w:val="1"/>
      <w:numFmt w:val="decimal"/>
      <w:lvlText w:val="(%1)"/>
      <w:lvlJc w:val="left"/>
      <w:pPr>
        <w:ind w:left="502" w:hanging="360"/>
      </w:pPr>
    </w:lvl>
    <w:lvl w:ilvl="1" w:tplc="0C070019">
      <w:start w:val="1"/>
      <w:numFmt w:val="lowerLetter"/>
      <w:lvlText w:val="%2."/>
      <w:lvlJc w:val="left"/>
      <w:pPr>
        <w:ind w:left="1222" w:hanging="360"/>
      </w:pPr>
    </w:lvl>
    <w:lvl w:ilvl="2" w:tplc="0C07001B">
      <w:start w:val="1"/>
      <w:numFmt w:val="lowerRoman"/>
      <w:lvlText w:val="%3."/>
      <w:lvlJc w:val="right"/>
      <w:pPr>
        <w:ind w:left="1942" w:hanging="180"/>
      </w:pPr>
    </w:lvl>
    <w:lvl w:ilvl="3" w:tplc="0C07000F">
      <w:start w:val="1"/>
      <w:numFmt w:val="decimal"/>
      <w:lvlText w:val="%4."/>
      <w:lvlJc w:val="left"/>
      <w:pPr>
        <w:ind w:left="2662" w:hanging="360"/>
      </w:pPr>
    </w:lvl>
    <w:lvl w:ilvl="4" w:tplc="0C070019">
      <w:start w:val="1"/>
      <w:numFmt w:val="lowerLetter"/>
      <w:lvlText w:val="%5."/>
      <w:lvlJc w:val="left"/>
      <w:pPr>
        <w:ind w:left="3382" w:hanging="360"/>
      </w:pPr>
    </w:lvl>
    <w:lvl w:ilvl="5" w:tplc="0C07001B">
      <w:start w:val="1"/>
      <w:numFmt w:val="lowerRoman"/>
      <w:lvlText w:val="%6."/>
      <w:lvlJc w:val="right"/>
      <w:pPr>
        <w:ind w:left="4102" w:hanging="180"/>
      </w:pPr>
    </w:lvl>
    <w:lvl w:ilvl="6" w:tplc="0C07000F">
      <w:start w:val="1"/>
      <w:numFmt w:val="decimal"/>
      <w:lvlText w:val="%7."/>
      <w:lvlJc w:val="left"/>
      <w:pPr>
        <w:ind w:left="4822" w:hanging="360"/>
      </w:pPr>
    </w:lvl>
    <w:lvl w:ilvl="7" w:tplc="0C070019">
      <w:start w:val="1"/>
      <w:numFmt w:val="lowerLetter"/>
      <w:lvlText w:val="%8."/>
      <w:lvlJc w:val="left"/>
      <w:pPr>
        <w:ind w:left="5542" w:hanging="360"/>
      </w:pPr>
    </w:lvl>
    <w:lvl w:ilvl="8" w:tplc="0C07001B">
      <w:start w:val="1"/>
      <w:numFmt w:val="lowerRoman"/>
      <w:lvlText w:val="%9."/>
      <w:lvlJc w:val="right"/>
      <w:pPr>
        <w:ind w:left="6262" w:hanging="180"/>
      </w:pPr>
    </w:lvl>
  </w:abstractNum>
  <w:abstractNum w:abstractNumId="37" w15:restartNumberingAfterBreak="0">
    <w:nsid w:val="3F4A3958"/>
    <w:multiLevelType w:val="hybridMultilevel"/>
    <w:tmpl w:val="D5CA2D76"/>
    <w:lvl w:ilvl="0" w:tplc="32CC1A1A">
      <w:start w:val="1"/>
      <w:numFmt w:val="decimal"/>
      <w:lvlText w:val="(%1)"/>
      <w:lvlJc w:val="left"/>
      <w:pPr>
        <w:ind w:left="502" w:hanging="360"/>
      </w:pPr>
    </w:lvl>
    <w:lvl w:ilvl="1" w:tplc="0C070019">
      <w:start w:val="1"/>
      <w:numFmt w:val="lowerLetter"/>
      <w:lvlText w:val="%2."/>
      <w:lvlJc w:val="left"/>
      <w:pPr>
        <w:ind w:left="1222" w:hanging="360"/>
      </w:pPr>
    </w:lvl>
    <w:lvl w:ilvl="2" w:tplc="0C07001B">
      <w:start w:val="1"/>
      <w:numFmt w:val="lowerRoman"/>
      <w:lvlText w:val="%3."/>
      <w:lvlJc w:val="right"/>
      <w:pPr>
        <w:ind w:left="1942" w:hanging="180"/>
      </w:pPr>
    </w:lvl>
    <w:lvl w:ilvl="3" w:tplc="0C07000F">
      <w:start w:val="1"/>
      <w:numFmt w:val="decimal"/>
      <w:lvlText w:val="%4."/>
      <w:lvlJc w:val="left"/>
      <w:pPr>
        <w:ind w:left="2662" w:hanging="360"/>
      </w:pPr>
    </w:lvl>
    <w:lvl w:ilvl="4" w:tplc="0C070019">
      <w:start w:val="1"/>
      <w:numFmt w:val="lowerLetter"/>
      <w:lvlText w:val="%5."/>
      <w:lvlJc w:val="left"/>
      <w:pPr>
        <w:ind w:left="3382" w:hanging="360"/>
      </w:pPr>
    </w:lvl>
    <w:lvl w:ilvl="5" w:tplc="0C07001B">
      <w:start w:val="1"/>
      <w:numFmt w:val="lowerRoman"/>
      <w:lvlText w:val="%6."/>
      <w:lvlJc w:val="right"/>
      <w:pPr>
        <w:ind w:left="4102" w:hanging="180"/>
      </w:pPr>
    </w:lvl>
    <w:lvl w:ilvl="6" w:tplc="0C07000F">
      <w:start w:val="1"/>
      <w:numFmt w:val="decimal"/>
      <w:lvlText w:val="%7."/>
      <w:lvlJc w:val="left"/>
      <w:pPr>
        <w:ind w:left="4822" w:hanging="360"/>
      </w:pPr>
    </w:lvl>
    <w:lvl w:ilvl="7" w:tplc="0C070019">
      <w:start w:val="1"/>
      <w:numFmt w:val="lowerLetter"/>
      <w:lvlText w:val="%8."/>
      <w:lvlJc w:val="left"/>
      <w:pPr>
        <w:ind w:left="5542" w:hanging="360"/>
      </w:pPr>
    </w:lvl>
    <w:lvl w:ilvl="8" w:tplc="0C07001B">
      <w:start w:val="1"/>
      <w:numFmt w:val="lowerRoman"/>
      <w:lvlText w:val="%9."/>
      <w:lvlJc w:val="right"/>
      <w:pPr>
        <w:ind w:left="6262" w:hanging="180"/>
      </w:pPr>
    </w:lvl>
  </w:abstractNum>
  <w:abstractNum w:abstractNumId="38" w15:restartNumberingAfterBreak="0">
    <w:nsid w:val="4181263B"/>
    <w:multiLevelType w:val="hybridMultilevel"/>
    <w:tmpl w:val="D5CA2D76"/>
    <w:lvl w:ilvl="0" w:tplc="FFFFFFFF">
      <w:start w:val="1"/>
      <w:numFmt w:val="decimal"/>
      <w:lvlText w:val="(%1)"/>
      <w:lvlJc w:val="left"/>
      <w:pPr>
        <w:ind w:left="502" w:hanging="360"/>
      </w:pPr>
    </w:lvl>
    <w:lvl w:ilvl="1" w:tplc="FFFFFFFF">
      <w:start w:val="1"/>
      <w:numFmt w:val="lowerLetter"/>
      <w:lvlText w:val="%2."/>
      <w:lvlJc w:val="left"/>
      <w:pPr>
        <w:ind w:left="1222" w:hanging="360"/>
      </w:pPr>
    </w:lvl>
    <w:lvl w:ilvl="2" w:tplc="FFFFFFFF">
      <w:start w:val="1"/>
      <w:numFmt w:val="lowerRoman"/>
      <w:lvlText w:val="%3."/>
      <w:lvlJc w:val="right"/>
      <w:pPr>
        <w:ind w:left="1942" w:hanging="180"/>
      </w:pPr>
    </w:lvl>
    <w:lvl w:ilvl="3" w:tplc="FFFFFFFF">
      <w:start w:val="1"/>
      <w:numFmt w:val="decimal"/>
      <w:lvlText w:val="%4."/>
      <w:lvlJc w:val="left"/>
      <w:pPr>
        <w:ind w:left="2662" w:hanging="360"/>
      </w:pPr>
    </w:lvl>
    <w:lvl w:ilvl="4" w:tplc="FFFFFFFF">
      <w:start w:val="1"/>
      <w:numFmt w:val="lowerLetter"/>
      <w:lvlText w:val="%5."/>
      <w:lvlJc w:val="left"/>
      <w:pPr>
        <w:ind w:left="3382" w:hanging="360"/>
      </w:pPr>
    </w:lvl>
    <w:lvl w:ilvl="5" w:tplc="FFFFFFFF">
      <w:start w:val="1"/>
      <w:numFmt w:val="lowerRoman"/>
      <w:lvlText w:val="%6."/>
      <w:lvlJc w:val="right"/>
      <w:pPr>
        <w:ind w:left="4102" w:hanging="180"/>
      </w:pPr>
    </w:lvl>
    <w:lvl w:ilvl="6" w:tplc="FFFFFFFF">
      <w:start w:val="1"/>
      <w:numFmt w:val="decimal"/>
      <w:lvlText w:val="%7."/>
      <w:lvlJc w:val="left"/>
      <w:pPr>
        <w:ind w:left="4822" w:hanging="360"/>
      </w:pPr>
    </w:lvl>
    <w:lvl w:ilvl="7" w:tplc="FFFFFFFF">
      <w:start w:val="1"/>
      <w:numFmt w:val="lowerLetter"/>
      <w:lvlText w:val="%8."/>
      <w:lvlJc w:val="left"/>
      <w:pPr>
        <w:ind w:left="5542" w:hanging="360"/>
      </w:pPr>
    </w:lvl>
    <w:lvl w:ilvl="8" w:tplc="FFFFFFFF">
      <w:start w:val="1"/>
      <w:numFmt w:val="lowerRoman"/>
      <w:lvlText w:val="%9."/>
      <w:lvlJc w:val="right"/>
      <w:pPr>
        <w:ind w:left="6262" w:hanging="180"/>
      </w:pPr>
    </w:lvl>
  </w:abstractNum>
  <w:abstractNum w:abstractNumId="39" w15:restartNumberingAfterBreak="0">
    <w:nsid w:val="41E12508"/>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429E6008"/>
    <w:multiLevelType w:val="hybridMultilevel"/>
    <w:tmpl w:val="6F2A1CDE"/>
    <w:lvl w:ilvl="0" w:tplc="15269DF6">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15:restartNumberingAfterBreak="0">
    <w:nsid w:val="445079ED"/>
    <w:multiLevelType w:val="hybridMultilevel"/>
    <w:tmpl w:val="1D605CA2"/>
    <w:lvl w:ilvl="0" w:tplc="923C956E">
      <w:start w:val="1"/>
      <w:numFmt w:val="decimal"/>
      <w:lvlText w:val="%1)"/>
      <w:lvlJc w:val="left"/>
      <w:pPr>
        <w:ind w:left="720" w:hanging="360"/>
      </w:pPr>
      <w:rPr>
        <w:rFonts w:asciiTheme="minorHAnsi" w:hAnsiTheme="minorHAnsi"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2" w15:restartNumberingAfterBreak="0">
    <w:nsid w:val="45435E59"/>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3" w15:restartNumberingAfterBreak="0">
    <w:nsid w:val="46963255"/>
    <w:multiLevelType w:val="hybridMultilevel"/>
    <w:tmpl w:val="3E546B9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49614CF7"/>
    <w:multiLevelType w:val="hybridMultilevel"/>
    <w:tmpl w:val="B07AA9AA"/>
    <w:lvl w:ilvl="0" w:tplc="C9625850">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5" w15:restartNumberingAfterBreak="0">
    <w:nsid w:val="4A17159F"/>
    <w:multiLevelType w:val="hybridMultilevel"/>
    <w:tmpl w:val="AC78F7A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6" w15:restartNumberingAfterBreak="0">
    <w:nsid w:val="4B536243"/>
    <w:multiLevelType w:val="hybridMultilevel"/>
    <w:tmpl w:val="FBD4B454"/>
    <w:lvl w:ilvl="0" w:tplc="1C3EFEA8">
      <w:start w:val="1"/>
      <w:numFmt w:val="decimal"/>
      <w:lvlText w:val="(%1)"/>
      <w:lvlJc w:val="left"/>
      <w:pPr>
        <w:ind w:left="502" w:hanging="360"/>
      </w:pPr>
    </w:lvl>
    <w:lvl w:ilvl="1" w:tplc="0C070019">
      <w:start w:val="1"/>
      <w:numFmt w:val="lowerLetter"/>
      <w:lvlText w:val="%2."/>
      <w:lvlJc w:val="left"/>
      <w:pPr>
        <w:ind w:left="1222" w:hanging="360"/>
      </w:pPr>
    </w:lvl>
    <w:lvl w:ilvl="2" w:tplc="0C07001B">
      <w:start w:val="1"/>
      <w:numFmt w:val="lowerRoman"/>
      <w:lvlText w:val="%3."/>
      <w:lvlJc w:val="right"/>
      <w:pPr>
        <w:ind w:left="1942" w:hanging="180"/>
      </w:pPr>
    </w:lvl>
    <w:lvl w:ilvl="3" w:tplc="0C07000F">
      <w:start w:val="1"/>
      <w:numFmt w:val="decimal"/>
      <w:lvlText w:val="%4."/>
      <w:lvlJc w:val="left"/>
      <w:pPr>
        <w:ind w:left="2662" w:hanging="360"/>
      </w:pPr>
    </w:lvl>
    <w:lvl w:ilvl="4" w:tplc="0C070019">
      <w:start w:val="1"/>
      <w:numFmt w:val="lowerLetter"/>
      <w:lvlText w:val="%5."/>
      <w:lvlJc w:val="left"/>
      <w:pPr>
        <w:ind w:left="3382" w:hanging="360"/>
      </w:pPr>
    </w:lvl>
    <w:lvl w:ilvl="5" w:tplc="0C07001B">
      <w:start w:val="1"/>
      <w:numFmt w:val="lowerRoman"/>
      <w:lvlText w:val="%6."/>
      <w:lvlJc w:val="right"/>
      <w:pPr>
        <w:ind w:left="4102" w:hanging="180"/>
      </w:pPr>
    </w:lvl>
    <w:lvl w:ilvl="6" w:tplc="0C07000F">
      <w:start w:val="1"/>
      <w:numFmt w:val="decimal"/>
      <w:lvlText w:val="%7."/>
      <w:lvlJc w:val="left"/>
      <w:pPr>
        <w:ind w:left="4822" w:hanging="360"/>
      </w:pPr>
    </w:lvl>
    <w:lvl w:ilvl="7" w:tplc="0C070019">
      <w:start w:val="1"/>
      <w:numFmt w:val="lowerLetter"/>
      <w:lvlText w:val="%8."/>
      <w:lvlJc w:val="left"/>
      <w:pPr>
        <w:ind w:left="5542" w:hanging="360"/>
      </w:pPr>
    </w:lvl>
    <w:lvl w:ilvl="8" w:tplc="0C07001B">
      <w:start w:val="1"/>
      <w:numFmt w:val="lowerRoman"/>
      <w:lvlText w:val="%9."/>
      <w:lvlJc w:val="right"/>
      <w:pPr>
        <w:ind w:left="6262" w:hanging="180"/>
      </w:pPr>
    </w:lvl>
  </w:abstractNum>
  <w:abstractNum w:abstractNumId="47" w15:restartNumberingAfterBreak="0">
    <w:nsid w:val="4D673D12"/>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8" w15:restartNumberingAfterBreak="0">
    <w:nsid w:val="4DA57639"/>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9" w15:restartNumberingAfterBreak="0">
    <w:nsid w:val="4F315B02"/>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0" w15:restartNumberingAfterBreak="0">
    <w:nsid w:val="56D32AF3"/>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1" w15:restartNumberingAfterBreak="0">
    <w:nsid w:val="5D7B718F"/>
    <w:multiLevelType w:val="hybridMultilevel"/>
    <w:tmpl w:val="6F78DEDA"/>
    <w:lvl w:ilvl="0" w:tplc="0C070015">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52" w15:restartNumberingAfterBreak="0">
    <w:nsid w:val="5F424419"/>
    <w:multiLevelType w:val="hybridMultilevel"/>
    <w:tmpl w:val="EFFC44D6"/>
    <w:lvl w:ilvl="0" w:tplc="0C070015">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53" w15:restartNumberingAfterBreak="0">
    <w:nsid w:val="61B65FF3"/>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4" w15:restartNumberingAfterBreak="0">
    <w:nsid w:val="639F0DCA"/>
    <w:multiLevelType w:val="hybridMultilevel"/>
    <w:tmpl w:val="89C0FB8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5" w15:restartNumberingAfterBreak="0">
    <w:nsid w:val="645B4D30"/>
    <w:multiLevelType w:val="hybridMultilevel"/>
    <w:tmpl w:val="D4AC464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6" w15:restartNumberingAfterBreak="0">
    <w:nsid w:val="66674437"/>
    <w:multiLevelType w:val="hybridMultilevel"/>
    <w:tmpl w:val="EFFC44D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678D5E7E"/>
    <w:multiLevelType w:val="hybridMultilevel"/>
    <w:tmpl w:val="6772E33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8" w15:restartNumberingAfterBreak="0">
    <w:nsid w:val="6B7F2FCE"/>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9" w15:restartNumberingAfterBreak="0">
    <w:nsid w:val="6BC365A6"/>
    <w:multiLevelType w:val="hybridMultilevel"/>
    <w:tmpl w:val="AEB4DFE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0" w15:restartNumberingAfterBreak="0">
    <w:nsid w:val="6BD33A7E"/>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1" w15:restartNumberingAfterBreak="0">
    <w:nsid w:val="6C3325A5"/>
    <w:multiLevelType w:val="hybridMultilevel"/>
    <w:tmpl w:val="ED6C123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2" w15:restartNumberingAfterBreak="0">
    <w:nsid w:val="6D0B11D5"/>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3" w15:restartNumberingAfterBreak="0">
    <w:nsid w:val="6DF80BB8"/>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4" w15:restartNumberingAfterBreak="0">
    <w:nsid w:val="6F526FFC"/>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5" w15:restartNumberingAfterBreak="0">
    <w:nsid w:val="6F776CAD"/>
    <w:multiLevelType w:val="hybridMultilevel"/>
    <w:tmpl w:val="849AA7D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6" w15:restartNumberingAfterBreak="0">
    <w:nsid w:val="74F773A9"/>
    <w:multiLevelType w:val="hybridMultilevel"/>
    <w:tmpl w:val="41BA0DD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7" w15:restartNumberingAfterBreak="0">
    <w:nsid w:val="7A170BDB"/>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8" w15:restartNumberingAfterBreak="0">
    <w:nsid w:val="7AE15674"/>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9" w15:restartNumberingAfterBreak="0">
    <w:nsid w:val="7BCB7992"/>
    <w:multiLevelType w:val="hybridMultilevel"/>
    <w:tmpl w:val="5DB8C9C6"/>
    <w:lvl w:ilvl="0" w:tplc="512C6FB8">
      <w:numFmt w:val="bullet"/>
      <w:lvlText w:val=""/>
      <w:lvlJc w:val="left"/>
      <w:pPr>
        <w:ind w:left="1080" w:hanging="360"/>
      </w:pPr>
      <w:rPr>
        <w:rFonts w:ascii="Wingdings" w:eastAsiaTheme="minorHAnsi" w:hAnsi="Wingdings" w:cstheme="minorBidi" w:hint="default"/>
        <w:i w:val="0"/>
        <w:u w:val="none"/>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70" w15:restartNumberingAfterBreak="0">
    <w:nsid w:val="7F0B0A38"/>
    <w:multiLevelType w:val="hybridMultilevel"/>
    <w:tmpl w:val="520E66E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421221309">
    <w:abstractNumId w:val="19"/>
  </w:num>
  <w:num w:numId="2" w16cid:durableId="1262103510">
    <w:abstractNumId w:val="69"/>
  </w:num>
  <w:num w:numId="3" w16cid:durableId="178086605">
    <w:abstractNumId w:val="26"/>
  </w:num>
  <w:num w:numId="4" w16cid:durableId="1371372708">
    <w:abstractNumId w:val="1"/>
  </w:num>
  <w:num w:numId="5" w16cid:durableId="8984447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252927781">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4007799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66054643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82762762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563413236">
    <w:abstractNumId w:val="32"/>
  </w:num>
  <w:num w:numId="11" w16cid:durableId="1338967029">
    <w:abstractNumId w:val="11"/>
  </w:num>
  <w:num w:numId="12" w16cid:durableId="1838954225">
    <w:abstractNumId w:val="21"/>
  </w:num>
  <w:num w:numId="13" w16cid:durableId="1734618639">
    <w:abstractNumId w:val="28"/>
  </w:num>
  <w:num w:numId="14" w16cid:durableId="804354893">
    <w:abstractNumId w:val="54"/>
  </w:num>
  <w:num w:numId="15" w16cid:durableId="21902522">
    <w:abstractNumId w:val="6"/>
  </w:num>
  <w:num w:numId="16" w16cid:durableId="289628753">
    <w:abstractNumId w:val="34"/>
  </w:num>
  <w:num w:numId="17" w16cid:durableId="149710108">
    <w:abstractNumId w:val="70"/>
  </w:num>
  <w:num w:numId="18" w16cid:durableId="975179853">
    <w:abstractNumId w:val="57"/>
  </w:num>
  <w:num w:numId="19" w16cid:durableId="402602472">
    <w:abstractNumId w:val="24"/>
  </w:num>
  <w:num w:numId="20" w16cid:durableId="1298951463">
    <w:abstractNumId w:val="66"/>
  </w:num>
  <w:num w:numId="21" w16cid:durableId="566652428">
    <w:abstractNumId w:val="51"/>
  </w:num>
  <w:num w:numId="22" w16cid:durableId="407969904">
    <w:abstractNumId w:val="42"/>
  </w:num>
  <w:num w:numId="23" w16cid:durableId="845171048">
    <w:abstractNumId w:val="27"/>
  </w:num>
  <w:num w:numId="24" w16cid:durableId="1593928434">
    <w:abstractNumId w:val="68"/>
  </w:num>
  <w:num w:numId="25" w16cid:durableId="292488647">
    <w:abstractNumId w:val="49"/>
  </w:num>
  <w:num w:numId="26" w16cid:durableId="1274825062">
    <w:abstractNumId w:val="22"/>
  </w:num>
  <w:num w:numId="27" w16cid:durableId="318314442">
    <w:abstractNumId w:val="33"/>
  </w:num>
  <w:num w:numId="28" w16cid:durableId="862792164">
    <w:abstractNumId w:val="10"/>
  </w:num>
  <w:num w:numId="29" w16cid:durableId="1052580051">
    <w:abstractNumId w:val="30"/>
  </w:num>
  <w:num w:numId="30" w16cid:durableId="151336990">
    <w:abstractNumId w:val="67"/>
  </w:num>
  <w:num w:numId="31" w16cid:durableId="684982674">
    <w:abstractNumId w:val="23"/>
  </w:num>
  <w:num w:numId="32" w16cid:durableId="1547529300">
    <w:abstractNumId w:val="63"/>
  </w:num>
  <w:num w:numId="33" w16cid:durableId="595482097">
    <w:abstractNumId w:val="60"/>
  </w:num>
  <w:num w:numId="34" w16cid:durableId="1209991750">
    <w:abstractNumId w:val="58"/>
  </w:num>
  <w:num w:numId="35" w16cid:durableId="1507089921">
    <w:abstractNumId w:val="53"/>
  </w:num>
  <w:num w:numId="36" w16cid:durableId="584193919">
    <w:abstractNumId w:val="25"/>
  </w:num>
  <w:num w:numId="37" w16cid:durableId="310260295">
    <w:abstractNumId w:val="64"/>
  </w:num>
  <w:num w:numId="38" w16cid:durableId="2038382383">
    <w:abstractNumId w:val="16"/>
  </w:num>
  <w:num w:numId="39" w16cid:durableId="919097665">
    <w:abstractNumId w:val="29"/>
  </w:num>
  <w:num w:numId="40" w16cid:durableId="128401331">
    <w:abstractNumId w:val="12"/>
  </w:num>
  <w:num w:numId="41" w16cid:durableId="2036736876">
    <w:abstractNumId w:val="15"/>
  </w:num>
  <w:num w:numId="42" w16cid:durableId="882181420">
    <w:abstractNumId w:val="45"/>
  </w:num>
  <w:num w:numId="43" w16cid:durableId="491221160">
    <w:abstractNumId w:val="61"/>
  </w:num>
  <w:num w:numId="44" w16cid:durableId="764806853">
    <w:abstractNumId w:val="2"/>
  </w:num>
  <w:num w:numId="45" w16cid:durableId="1557550318">
    <w:abstractNumId w:val="18"/>
  </w:num>
  <w:num w:numId="46" w16cid:durableId="220749007">
    <w:abstractNumId w:val="41"/>
  </w:num>
  <w:num w:numId="47" w16cid:durableId="621575985">
    <w:abstractNumId w:val="7"/>
  </w:num>
  <w:num w:numId="48" w16cid:durableId="1432431144">
    <w:abstractNumId w:val="43"/>
  </w:num>
  <w:num w:numId="49" w16cid:durableId="1998804269">
    <w:abstractNumId w:val="44"/>
  </w:num>
  <w:num w:numId="50" w16cid:durableId="1504903818">
    <w:abstractNumId w:val="13"/>
  </w:num>
  <w:num w:numId="51" w16cid:durableId="586227121">
    <w:abstractNumId w:val="35"/>
  </w:num>
  <w:num w:numId="52" w16cid:durableId="1405957646">
    <w:abstractNumId w:val="59"/>
  </w:num>
  <w:num w:numId="53" w16cid:durableId="1974217042">
    <w:abstractNumId w:val="8"/>
  </w:num>
  <w:num w:numId="54" w16cid:durableId="1672371321">
    <w:abstractNumId w:val="14"/>
  </w:num>
  <w:num w:numId="55" w16cid:durableId="1279944734">
    <w:abstractNumId w:val="52"/>
  </w:num>
  <w:num w:numId="56" w16cid:durableId="297075786">
    <w:abstractNumId w:val="17"/>
  </w:num>
  <w:num w:numId="57" w16cid:durableId="676660044">
    <w:abstractNumId w:val="4"/>
  </w:num>
  <w:num w:numId="58" w16cid:durableId="852769420">
    <w:abstractNumId w:val="62"/>
  </w:num>
  <w:num w:numId="59" w16cid:durableId="1103691959">
    <w:abstractNumId w:val="56"/>
  </w:num>
  <w:num w:numId="60" w16cid:durableId="365257627">
    <w:abstractNumId w:val="65"/>
  </w:num>
  <w:num w:numId="61" w16cid:durableId="466821615">
    <w:abstractNumId w:val="20"/>
  </w:num>
  <w:num w:numId="62" w16cid:durableId="2058776778">
    <w:abstractNumId w:val="5"/>
  </w:num>
  <w:num w:numId="63" w16cid:durableId="1286543849">
    <w:abstractNumId w:val="50"/>
  </w:num>
  <w:num w:numId="64" w16cid:durableId="611283746">
    <w:abstractNumId w:val="39"/>
  </w:num>
  <w:num w:numId="65" w16cid:durableId="911701759">
    <w:abstractNumId w:val="48"/>
  </w:num>
  <w:num w:numId="66" w16cid:durableId="1901399330">
    <w:abstractNumId w:val="47"/>
  </w:num>
  <w:num w:numId="67" w16cid:durableId="365176597">
    <w:abstractNumId w:val="31"/>
  </w:num>
  <w:num w:numId="68" w16cid:durableId="576865954">
    <w:abstractNumId w:val="55"/>
  </w:num>
  <w:num w:numId="69" w16cid:durableId="1793205501">
    <w:abstractNumId w:val="9"/>
  </w:num>
  <w:num w:numId="70" w16cid:durableId="760418500">
    <w:abstractNumId w:val="3"/>
  </w:num>
  <w:num w:numId="71" w16cid:durableId="321158133">
    <w:abstractNumId w:val="40"/>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1667"/>
    <w:rsid w:val="000428E9"/>
    <w:rsid w:val="00061F1A"/>
    <w:rsid w:val="000A153F"/>
    <w:rsid w:val="00100495"/>
    <w:rsid w:val="001C3931"/>
    <w:rsid w:val="001E5682"/>
    <w:rsid w:val="0028740E"/>
    <w:rsid w:val="003A06A0"/>
    <w:rsid w:val="003D2F12"/>
    <w:rsid w:val="00431667"/>
    <w:rsid w:val="0044763E"/>
    <w:rsid w:val="00594939"/>
    <w:rsid w:val="00623AF8"/>
    <w:rsid w:val="00633662"/>
    <w:rsid w:val="00687828"/>
    <w:rsid w:val="006C2CE8"/>
    <w:rsid w:val="007233C7"/>
    <w:rsid w:val="00771C34"/>
    <w:rsid w:val="007D3E21"/>
    <w:rsid w:val="008121D9"/>
    <w:rsid w:val="0086475D"/>
    <w:rsid w:val="008736ED"/>
    <w:rsid w:val="008D6643"/>
    <w:rsid w:val="008E7969"/>
    <w:rsid w:val="008E7E2E"/>
    <w:rsid w:val="00901054"/>
    <w:rsid w:val="009368D5"/>
    <w:rsid w:val="00951429"/>
    <w:rsid w:val="00A041E1"/>
    <w:rsid w:val="00A54F06"/>
    <w:rsid w:val="00A66104"/>
    <w:rsid w:val="00AF0827"/>
    <w:rsid w:val="00AF7E3D"/>
    <w:rsid w:val="00B00F29"/>
    <w:rsid w:val="00B04E44"/>
    <w:rsid w:val="00B136E3"/>
    <w:rsid w:val="00B6788C"/>
    <w:rsid w:val="00B97286"/>
    <w:rsid w:val="00BA190B"/>
    <w:rsid w:val="00C1766E"/>
    <w:rsid w:val="00C22FFF"/>
    <w:rsid w:val="00C57722"/>
    <w:rsid w:val="00CB00D1"/>
    <w:rsid w:val="00CC19B8"/>
    <w:rsid w:val="00CC6218"/>
    <w:rsid w:val="00D3595E"/>
    <w:rsid w:val="00D45823"/>
    <w:rsid w:val="00D50A41"/>
    <w:rsid w:val="00DA256E"/>
    <w:rsid w:val="00E22256"/>
    <w:rsid w:val="00EE6A98"/>
    <w:rsid w:val="00F31145"/>
    <w:rsid w:val="00F63BE8"/>
    <w:rsid w:val="00F8409F"/>
    <w:rsid w:val="00FE073C"/>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23F8CC"/>
  <w15:chartTrackingRefBased/>
  <w15:docId w15:val="{8FD77CC1-F989-4434-A54B-2300678F0A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23AF8"/>
    <w:pPr>
      <w:spacing w:after="0" w:line="240" w:lineRule="auto"/>
    </w:pPr>
    <w:rPr>
      <w:kern w:val="0"/>
      <w:sz w:val="24"/>
      <w:szCs w:val="24"/>
      <w14:ligatures w14:val="none"/>
    </w:rPr>
  </w:style>
  <w:style w:type="paragraph" w:styleId="berschrift1">
    <w:name w:val="heading 1"/>
    <w:basedOn w:val="Standard"/>
    <w:next w:val="Standard"/>
    <w:link w:val="berschrift1Zchn"/>
    <w:uiPriority w:val="9"/>
    <w:qFormat/>
    <w:rsid w:val="00623AF8"/>
    <w:pPr>
      <w:keepNext/>
      <w:keepLines/>
      <w:spacing w:before="240"/>
      <w:outlineLvl w:val="0"/>
    </w:pPr>
    <w:rPr>
      <w:rFonts w:asciiTheme="majorHAnsi" w:eastAsiaTheme="majorEastAsia" w:hAnsiTheme="majorHAnsi" w:cstheme="majorBidi"/>
      <w:b/>
      <w:color w:val="E4342D"/>
      <w:szCs w:val="32"/>
    </w:rPr>
  </w:style>
  <w:style w:type="paragraph" w:styleId="berschrift2">
    <w:name w:val="heading 2"/>
    <w:basedOn w:val="Standard"/>
    <w:next w:val="Standard"/>
    <w:link w:val="berschrift2Zchn"/>
    <w:uiPriority w:val="9"/>
    <w:semiHidden/>
    <w:unhideWhenUsed/>
    <w:qFormat/>
    <w:rsid w:val="00623AF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semiHidden/>
    <w:unhideWhenUsed/>
    <w:qFormat/>
    <w:rsid w:val="00623AF8"/>
    <w:pPr>
      <w:keepNext/>
      <w:keepLines/>
      <w:spacing w:before="40"/>
      <w:outlineLvl w:val="2"/>
    </w:pPr>
    <w:rPr>
      <w:rFonts w:asciiTheme="majorHAnsi" w:eastAsiaTheme="majorEastAsia" w:hAnsiTheme="majorHAnsi" w:cstheme="majorBidi"/>
      <w:color w:val="1F3763" w:themeColor="accent1" w:themeShade="7F"/>
      <w:lang w:eastAsia="de-AT"/>
    </w:rPr>
  </w:style>
  <w:style w:type="paragraph" w:styleId="berschrift4">
    <w:name w:val="heading 4"/>
    <w:basedOn w:val="Standard"/>
    <w:next w:val="Standard"/>
    <w:link w:val="berschrift4Zchn"/>
    <w:uiPriority w:val="9"/>
    <w:semiHidden/>
    <w:unhideWhenUsed/>
    <w:qFormat/>
    <w:rsid w:val="00623AF8"/>
    <w:pPr>
      <w:keepNext/>
      <w:keepLines/>
      <w:spacing w:before="40"/>
      <w:outlineLvl w:val="3"/>
    </w:pPr>
    <w:rPr>
      <w:rFonts w:asciiTheme="majorHAnsi" w:eastAsiaTheme="majorEastAsia" w:hAnsiTheme="majorHAnsi" w:cstheme="majorBidi"/>
      <w:i/>
      <w:iCs/>
      <w:color w:val="2F5496" w:themeColor="accent1" w:themeShade="BF"/>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23AF8"/>
    <w:rPr>
      <w:rFonts w:asciiTheme="majorHAnsi" w:eastAsiaTheme="majorEastAsia" w:hAnsiTheme="majorHAnsi" w:cstheme="majorBidi"/>
      <w:b/>
      <w:color w:val="E4342D"/>
      <w:kern w:val="0"/>
      <w:sz w:val="24"/>
      <w:szCs w:val="32"/>
      <w14:ligatures w14:val="none"/>
    </w:rPr>
  </w:style>
  <w:style w:type="character" w:customStyle="1" w:styleId="berschrift2Zchn">
    <w:name w:val="Überschrift 2 Zchn"/>
    <w:basedOn w:val="Absatz-Standardschriftart"/>
    <w:link w:val="berschrift2"/>
    <w:uiPriority w:val="9"/>
    <w:semiHidden/>
    <w:rsid w:val="00623AF8"/>
    <w:rPr>
      <w:rFonts w:asciiTheme="majorHAnsi" w:eastAsiaTheme="majorEastAsia" w:hAnsiTheme="majorHAnsi" w:cstheme="majorBidi"/>
      <w:color w:val="2F5496" w:themeColor="accent1" w:themeShade="BF"/>
      <w:kern w:val="0"/>
      <w:sz w:val="26"/>
      <w:szCs w:val="26"/>
      <w14:ligatures w14:val="none"/>
    </w:rPr>
  </w:style>
  <w:style w:type="character" w:customStyle="1" w:styleId="berschrift3Zchn">
    <w:name w:val="Überschrift 3 Zchn"/>
    <w:basedOn w:val="Absatz-Standardschriftart"/>
    <w:link w:val="berschrift3"/>
    <w:uiPriority w:val="9"/>
    <w:semiHidden/>
    <w:rsid w:val="00623AF8"/>
    <w:rPr>
      <w:rFonts w:asciiTheme="majorHAnsi" w:eastAsiaTheme="majorEastAsia" w:hAnsiTheme="majorHAnsi" w:cstheme="majorBidi"/>
      <w:color w:val="1F3763" w:themeColor="accent1" w:themeShade="7F"/>
      <w:kern w:val="0"/>
      <w:sz w:val="24"/>
      <w:szCs w:val="24"/>
      <w:lang w:eastAsia="de-AT"/>
      <w14:ligatures w14:val="none"/>
    </w:rPr>
  </w:style>
  <w:style w:type="character" w:customStyle="1" w:styleId="berschrift4Zchn">
    <w:name w:val="Überschrift 4 Zchn"/>
    <w:basedOn w:val="Absatz-Standardschriftart"/>
    <w:link w:val="berschrift4"/>
    <w:uiPriority w:val="9"/>
    <w:semiHidden/>
    <w:rsid w:val="00623AF8"/>
    <w:rPr>
      <w:rFonts w:asciiTheme="majorHAnsi" w:eastAsiaTheme="majorEastAsia" w:hAnsiTheme="majorHAnsi" w:cstheme="majorBidi"/>
      <w:i/>
      <w:iCs/>
      <w:color w:val="2F5496" w:themeColor="accent1" w:themeShade="BF"/>
      <w:kern w:val="0"/>
      <w:sz w:val="24"/>
      <w:szCs w:val="24"/>
      <w:lang w:eastAsia="de-AT"/>
      <w14:ligatures w14:val="none"/>
    </w:rPr>
  </w:style>
  <w:style w:type="paragraph" w:styleId="Kopfzeile">
    <w:name w:val="header"/>
    <w:basedOn w:val="Standard"/>
    <w:link w:val="KopfzeileZchn"/>
    <w:uiPriority w:val="99"/>
    <w:unhideWhenUsed/>
    <w:rsid w:val="00623AF8"/>
    <w:pPr>
      <w:tabs>
        <w:tab w:val="center" w:pos="4536"/>
        <w:tab w:val="right" w:pos="9072"/>
      </w:tabs>
    </w:pPr>
  </w:style>
  <w:style w:type="character" w:customStyle="1" w:styleId="KopfzeileZchn">
    <w:name w:val="Kopfzeile Zchn"/>
    <w:basedOn w:val="Absatz-Standardschriftart"/>
    <w:link w:val="Kopfzeile"/>
    <w:uiPriority w:val="99"/>
    <w:rsid w:val="00623AF8"/>
    <w:rPr>
      <w:kern w:val="0"/>
      <w:sz w:val="24"/>
      <w:szCs w:val="24"/>
      <w14:ligatures w14:val="none"/>
    </w:rPr>
  </w:style>
  <w:style w:type="paragraph" w:styleId="Fuzeile">
    <w:name w:val="footer"/>
    <w:basedOn w:val="Standard"/>
    <w:link w:val="FuzeileZchn"/>
    <w:uiPriority w:val="99"/>
    <w:unhideWhenUsed/>
    <w:rsid w:val="00623AF8"/>
    <w:pPr>
      <w:tabs>
        <w:tab w:val="center" w:pos="4536"/>
        <w:tab w:val="right" w:pos="9072"/>
      </w:tabs>
    </w:pPr>
  </w:style>
  <w:style w:type="character" w:customStyle="1" w:styleId="FuzeileZchn">
    <w:name w:val="Fußzeile Zchn"/>
    <w:basedOn w:val="Absatz-Standardschriftart"/>
    <w:link w:val="Fuzeile"/>
    <w:uiPriority w:val="99"/>
    <w:rsid w:val="00623AF8"/>
    <w:rPr>
      <w:kern w:val="0"/>
      <w:sz w:val="24"/>
      <w:szCs w:val="24"/>
      <w14:ligatures w14:val="none"/>
    </w:rPr>
  </w:style>
  <w:style w:type="table" w:styleId="Tabellenraster">
    <w:name w:val="Table Grid"/>
    <w:basedOn w:val="NormaleTabelle"/>
    <w:uiPriority w:val="39"/>
    <w:rsid w:val="00623AF8"/>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623AF8"/>
    <w:pPr>
      <w:spacing w:before="100" w:beforeAutospacing="1" w:after="100" w:afterAutospacing="1"/>
    </w:pPr>
    <w:rPr>
      <w:rFonts w:ascii="Times New Roman" w:eastAsia="Times New Roman" w:hAnsi="Times New Roman" w:cs="Times New Roman"/>
      <w:lang w:eastAsia="de-DE"/>
    </w:rPr>
  </w:style>
  <w:style w:type="paragraph" w:styleId="Listenabsatz">
    <w:name w:val="List Paragraph"/>
    <w:aliases w:val="Fiche List Paragraph,OBC Bullet,List Paragraph Char Char Char,Colorful List - Accent 11,List Paragraph11,2,Bullet St"/>
    <w:basedOn w:val="Standard"/>
    <w:link w:val="ListenabsatzZchn"/>
    <w:uiPriority w:val="34"/>
    <w:qFormat/>
    <w:rsid w:val="00623AF8"/>
    <w:pPr>
      <w:ind w:left="720"/>
      <w:contextualSpacing/>
    </w:pPr>
  </w:style>
  <w:style w:type="paragraph" w:customStyle="1" w:styleId="Point0">
    <w:name w:val="Point 0"/>
    <w:basedOn w:val="Standard"/>
    <w:rsid w:val="00623AF8"/>
    <w:pPr>
      <w:spacing w:before="120" w:after="120"/>
      <w:ind w:left="850" w:hanging="850"/>
      <w:jc w:val="both"/>
    </w:pPr>
    <w:rPr>
      <w:rFonts w:ascii="Times New Roman" w:hAnsi="Times New Roman" w:cs="Times New Roman"/>
      <w:szCs w:val="22"/>
      <w:lang w:val="en-GB"/>
    </w:rPr>
  </w:style>
  <w:style w:type="paragraph" w:customStyle="1" w:styleId="pf0">
    <w:name w:val="pf0"/>
    <w:basedOn w:val="Standard"/>
    <w:rsid w:val="00623AF8"/>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Absatz-Standardschriftart"/>
    <w:rsid w:val="00623AF8"/>
    <w:rPr>
      <w:rFonts w:ascii="Segoe UI" w:hAnsi="Segoe UI" w:cs="Segoe UI" w:hint="default"/>
      <w:sz w:val="18"/>
      <w:szCs w:val="18"/>
    </w:rPr>
  </w:style>
  <w:style w:type="character" w:styleId="HTMLZitat">
    <w:name w:val="HTML Cite"/>
    <w:basedOn w:val="Absatz-Standardschriftart"/>
    <w:uiPriority w:val="99"/>
    <w:semiHidden/>
    <w:unhideWhenUsed/>
    <w:rsid w:val="00623AF8"/>
    <w:rPr>
      <w:i/>
      <w:iCs/>
    </w:rPr>
  </w:style>
  <w:style w:type="character" w:styleId="Kommentarzeichen">
    <w:name w:val="annotation reference"/>
    <w:basedOn w:val="Absatz-Standardschriftart"/>
    <w:uiPriority w:val="99"/>
    <w:unhideWhenUsed/>
    <w:rsid w:val="00623AF8"/>
    <w:rPr>
      <w:sz w:val="16"/>
      <w:szCs w:val="16"/>
    </w:rPr>
  </w:style>
  <w:style w:type="paragraph" w:styleId="Kommentartext">
    <w:name w:val="annotation text"/>
    <w:aliases w:val="Char2"/>
    <w:basedOn w:val="Standard"/>
    <w:link w:val="KommentartextZchn"/>
    <w:uiPriority w:val="99"/>
    <w:unhideWhenUsed/>
    <w:qFormat/>
    <w:rsid w:val="00623AF8"/>
    <w:rPr>
      <w:sz w:val="20"/>
      <w:szCs w:val="20"/>
    </w:rPr>
  </w:style>
  <w:style w:type="character" w:customStyle="1" w:styleId="KommentartextZchn">
    <w:name w:val="Kommentartext Zchn"/>
    <w:aliases w:val="Char2 Zchn"/>
    <w:basedOn w:val="Absatz-Standardschriftart"/>
    <w:link w:val="Kommentartext"/>
    <w:uiPriority w:val="99"/>
    <w:rsid w:val="00623AF8"/>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623AF8"/>
    <w:rPr>
      <w:b/>
      <w:bCs/>
    </w:rPr>
  </w:style>
  <w:style w:type="character" w:customStyle="1" w:styleId="KommentarthemaZchn">
    <w:name w:val="Kommentarthema Zchn"/>
    <w:basedOn w:val="KommentartextZchn"/>
    <w:link w:val="Kommentarthema"/>
    <w:uiPriority w:val="99"/>
    <w:semiHidden/>
    <w:rsid w:val="00623AF8"/>
    <w:rPr>
      <w:b/>
      <w:bCs/>
      <w:kern w:val="0"/>
      <w:sz w:val="20"/>
      <w:szCs w:val="20"/>
      <w14:ligatures w14:val="none"/>
    </w:rPr>
  </w:style>
  <w:style w:type="character" w:customStyle="1" w:styleId="CRRefonteDeleted">
    <w:name w:val="CR Refonte Deleted"/>
    <w:basedOn w:val="Absatz-Standardschriftart"/>
    <w:rsid w:val="00623AF8"/>
    <w:rPr>
      <w:strike w:val="0"/>
      <w:dstrike/>
    </w:rPr>
  </w:style>
  <w:style w:type="character" w:customStyle="1" w:styleId="CRMarker">
    <w:name w:val="CR Marker"/>
    <w:basedOn w:val="Absatz-Standardschriftart"/>
    <w:rsid w:val="00623AF8"/>
    <w:rPr>
      <w:rFonts w:ascii="Wingdings" w:hAnsi="Wingdings" w:cs="Wingdings"/>
    </w:rPr>
  </w:style>
  <w:style w:type="character" w:customStyle="1" w:styleId="CRDeleted">
    <w:name w:val="CR Deleted"/>
    <w:basedOn w:val="Absatz-Standardschriftart"/>
    <w:rsid w:val="00623AF8"/>
    <w:rPr>
      <w:rFonts w:cs="Times New Roman"/>
      <w:dstrike/>
      <w:lang w:val="fr-FR" w:eastAsia="x-none"/>
    </w:rPr>
  </w:style>
  <w:style w:type="character" w:customStyle="1" w:styleId="CRMinorChangeAdded">
    <w:name w:val="CR Minor Change Added"/>
    <w:basedOn w:val="Absatz-Standardschriftart"/>
    <w:rsid w:val="00623AF8"/>
    <w:rPr>
      <w:rFonts w:cs="Times New Roman"/>
      <w:u w:val="double"/>
      <w:lang w:val="fr-FR" w:eastAsia="x-none"/>
    </w:rPr>
  </w:style>
  <w:style w:type="paragraph" w:styleId="Funotentext">
    <w:name w:val="footnote text"/>
    <w:basedOn w:val="Standard"/>
    <w:link w:val="FunotentextZchn"/>
    <w:uiPriority w:val="99"/>
    <w:semiHidden/>
    <w:unhideWhenUsed/>
    <w:rsid w:val="00623AF8"/>
    <w:pPr>
      <w:ind w:left="720" w:hanging="720"/>
      <w:jc w:val="both"/>
    </w:pPr>
    <w:rPr>
      <w:rFonts w:ascii="Times New Roman" w:hAnsi="Times New Roman" w:cs="Times New Roman"/>
      <w:sz w:val="20"/>
      <w:szCs w:val="20"/>
      <w:lang w:val="en-GB"/>
    </w:rPr>
  </w:style>
  <w:style w:type="character" w:customStyle="1" w:styleId="FunotentextZchn">
    <w:name w:val="Fußnotentext Zchn"/>
    <w:basedOn w:val="Absatz-Standardschriftart"/>
    <w:link w:val="Funotentext"/>
    <w:uiPriority w:val="99"/>
    <w:semiHidden/>
    <w:rsid w:val="00623AF8"/>
    <w:rPr>
      <w:rFonts w:ascii="Times New Roman" w:hAnsi="Times New Roman" w:cs="Times New Roman"/>
      <w:kern w:val="0"/>
      <w:sz w:val="20"/>
      <w:szCs w:val="20"/>
      <w:lang w:val="en-GB"/>
      <w14:ligatures w14:val="none"/>
    </w:rPr>
  </w:style>
  <w:style w:type="character" w:styleId="Funotenzeichen">
    <w:name w:val="footnote reference"/>
    <w:basedOn w:val="Absatz-Standardschriftart"/>
    <w:uiPriority w:val="99"/>
    <w:semiHidden/>
    <w:unhideWhenUsed/>
    <w:rsid w:val="00623AF8"/>
    <w:rPr>
      <w:shd w:val="clear" w:color="auto" w:fill="auto"/>
      <w:vertAlign w:val="superscript"/>
    </w:rPr>
  </w:style>
  <w:style w:type="paragraph" w:customStyle="1" w:styleId="Text1">
    <w:name w:val="Text 1"/>
    <w:basedOn w:val="Standard"/>
    <w:rsid w:val="00623AF8"/>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Standard"/>
    <w:rsid w:val="00623AF8"/>
    <w:pPr>
      <w:spacing w:before="120" w:after="120"/>
      <w:jc w:val="center"/>
    </w:pPr>
    <w:rPr>
      <w:rFonts w:ascii="Times New Roman" w:hAnsi="Times New Roman" w:cs="Times New Roman"/>
      <w:szCs w:val="22"/>
      <w:lang w:val="en-GB"/>
    </w:rPr>
  </w:style>
  <w:style w:type="character" w:customStyle="1" w:styleId="CRRefNum">
    <w:name w:val="CR RefNum"/>
    <w:basedOn w:val="Absatz-Standardschriftart"/>
    <w:uiPriority w:val="99"/>
    <w:rsid w:val="00623AF8"/>
    <w:rPr>
      <w:rFonts w:cs="Times New Roman"/>
      <w:vertAlign w:val="subscript"/>
    </w:rPr>
  </w:style>
  <w:style w:type="paragraph" w:customStyle="1" w:styleId="NormalLeft">
    <w:name w:val="Normal Left"/>
    <w:basedOn w:val="Standard"/>
    <w:rsid w:val="00623AF8"/>
    <w:pPr>
      <w:spacing w:before="120" w:after="120"/>
    </w:pPr>
    <w:rPr>
      <w:rFonts w:ascii="Times New Roman" w:hAnsi="Times New Roman" w:cs="Times New Roman"/>
      <w:szCs w:val="22"/>
      <w:lang w:val="en-GB"/>
    </w:rPr>
  </w:style>
  <w:style w:type="character" w:customStyle="1" w:styleId="CRMinorChangeDeleted">
    <w:name w:val="CR Minor Change Deleted"/>
    <w:basedOn w:val="Absatz-Standardschriftart"/>
    <w:rsid w:val="00623AF8"/>
    <w:rPr>
      <w:rFonts w:cs="Times New Roman"/>
      <w:dstrike/>
      <w:u w:val="double"/>
      <w:lang w:val="fr-FR" w:eastAsia="x-none"/>
    </w:rPr>
  </w:style>
  <w:style w:type="paragraph" w:customStyle="1" w:styleId="Point0number">
    <w:name w:val="Point 0 (number)"/>
    <w:basedOn w:val="Standard"/>
    <w:rsid w:val="00623AF8"/>
    <w:pPr>
      <w:numPr>
        <w:numId w:val="1"/>
      </w:numPr>
      <w:spacing w:before="120" w:after="120"/>
      <w:jc w:val="both"/>
    </w:pPr>
    <w:rPr>
      <w:rFonts w:ascii="Times New Roman" w:hAnsi="Times New Roman" w:cs="Times New Roman"/>
      <w:szCs w:val="22"/>
      <w:lang w:val="en-GB"/>
    </w:rPr>
  </w:style>
  <w:style w:type="paragraph" w:customStyle="1" w:styleId="Point1number">
    <w:name w:val="Point 1 (number)"/>
    <w:basedOn w:val="Standard"/>
    <w:rsid w:val="00623AF8"/>
    <w:pPr>
      <w:numPr>
        <w:ilvl w:val="2"/>
        <w:numId w:val="1"/>
      </w:numPr>
      <w:spacing w:before="120" w:after="120"/>
      <w:jc w:val="both"/>
    </w:pPr>
    <w:rPr>
      <w:rFonts w:ascii="Times New Roman" w:hAnsi="Times New Roman" w:cs="Times New Roman"/>
      <w:szCs w:val="22"/>
      <w:lang w:val="en-GB"/>
    </w:rPr>
  </w:style>
  <w:style w:type="paragraph" w:customStyle="1" w:styleId="Point2number">
    <w:name w:val="Point 2 (number)"/>
    <w:basedOn w:val="Standard"/>
    <w:rsid w:val="00623AF8"/>
    <w:pPr>
      <w:numPr>
        <w:ilvl w:val="4"/>
        <w:numId w:val="1"/>
      </w:numPr>
      <w:spacing w:before="120" w:after="120"/>
      <w:jc w:val="both"/>
    </w:pPr>
    <w:rPr>
      <w:rFonts w:ascii="Times New Roman" w:hAnsi="Times New Roman" w:cs="Times New Roman"/>
      <w:szCs w:val="22"/>
      <w:lang w:val="en-GB"/>
    </w:rPr>
  </w:style>
  <w:style w:type="paragraph" w:customStyle="1" w:styleId="Point3number">
    <w:name w:val="Point 3 (number)"/>
    <w:basedOn w:val="Standard"/>
    <w:rsid w:val="00623AF8"/>
    <w:pPr>
      <w:numPr>
        <w:ilvl w:val="6"/>
        <w:numId w:val="1"/>
      </w:numPr>
      <w:spacing w:before="120" w:after="120"/>
      <w:jc w:val="both"/>
    </w:pPr>
    <w:rPr>
      <w:rFonts w:ascii="Times New Roman" w:hAnsi="Times New Roman" w:cs="Times New Roman"/>
      <w:szCs w:val="22"/>
      <w:lang w:val="en-GB"/>
    </w:rPr>
  </w:style>
  <w:style w:type="paragraph" w:customStyle="1" w:styleId="Point0letter">
    <w:name w:val="Point 0 (letter)"/>
    <w:basedOn w:val="Standard"/>
    <w:rsid w:val="00623AF8"/>
    <w:pPr>
      <w:numPr>
        <w:ilvl w:val="1"/>
        <w:numId w:val="1"/>
      </w:numPr>
      <w:spacing w:before="120" w:after="120"/>
      <w:jc w:val="both"/>
    </w:pPr>
    <w:rPr>
      <w:rFonts w:ascii="Times New Roman" w:hAnsi="Times New Roman" w:cs="Times New Roman"/>
      <w:szCs w:val="22"/>
      <w:lang w:val="en-GB"/>
    </w:rPr>
  </w:style>
  <w:style w:type="paragraph" w:customStyle="1" w:styleId="Point1letter">
    <w:name w:val="Point 1 (letter)"/>
    <w:basedOn w:val="Standard"/>
    <w:rsid w:val="00623AF8"/>
    <w:pPr>
      <w:numPr>
        <w:ilvl w:val="3"/>
        <w:numId w:val="1"/>
      </w:numPr>
      <w:spacing w:before="120" w:after="120"/>
      <w:jc w:val="both"/>
    </w:pPr>
    <w:rPr>
      <w:rFonts w:ascii="Times New Roman" w:hAnsi="Times New Roman" w:cs="Times New Roman"/>
      <w:szCs w:val="22"/>
      <w:lang w:val="en-GB"/>
    </w:rPr>
  </w:style>
  <w:style w:type="paragraph" w:customStyle="1" w:styleId="Point2letter">
    <w:name w:val="Point 2 (letter)"/>
    <w:basedOn w:val="Standard"/>
    <w:rsid w:val="00623AF8"/>
    <w:pPr>
      <w:numPr>
        <w:ilvl w:val="5"/>
        <w:numId w:val="1"/>
      </w:numPr>
      <w:spacing w:before="120" w:after="120"/>
      <w:jc w:val="both"/>
    </w:pPr>
    <w:rPr>
      <w:rFonts w:ascii="Times New Roman" w:hAnsi="Times New Roman" w:cs="Times New Roman"/>
      <w:szCs w:val="22"/>
      <w:lang w:val="en-GB"/>
    </w:rPr>
  </w:style>
  <w:style w:type="paragraph" w:customStyle="1" w:styleId="Point3letter">
    <w:name w:val="Point 3 (letter)"/>
    <w:basedOn w:val="Standard"/>
    <w:rsid w:val="00623AF8"/>
    <w:pPr>
      <w:numPr>
        <w:ilvl w:val="7"/>
        <w:numId w:val="1"/>
      </w:numPr>
      <w:spacing w:before="120" w:after="120"/>
      <w:jc w:val="both"/>
    </w:pPr>
    <w:rPr>
      <w:rFonts w:ascii="Times New Roman" w:hAnsi="Times New Roman" w:cs="Times New Roman"/>
      <w:szCs w:val="22"/>
      <w:lang w:val="en-GB"/>
    </w:rPr>
  </w:style>
  <w:style w:type="paragraph" w:customStyle="1" w:styleId="Point4letter">
    <w:name w:val="Point 4 (letter)"/>
    <w:basedOn w:val="Standard"/>
    <w:rsid w:val="00623AF8"/>
    <w:pPr>
      <w:numPr>
        <w:ilvl w:val="8"/>
        <w:numId w:val="1"/>
      </w:numPr>
      <w:spacing w:before="120" w:after="120"/>
      <w:jc w:val="both"/>
    </w:pPr>
    <w:rPr>
      <w:rFonts w:ascii="Times New Roman" w:hAnsi="Times New Roman" w:cs="Times New Roman"/>
      <w:szCs w:val="22"/>
      <w:lang w:val="en-GB"/>
    </w:rPr>
  </w:style>
  <w:style w:type="character" w:customStyle="1" w:styleId="xl-qi-tpoutput-text">
    <w:name w:val="xl-qi-tp__output-text"/>
    <w:basedOn w:val="Absatz-Standardschriftart"/>
    <w:rsid w:val="00623AF8"/>
  </w:style>
  <w:style w:type="character" w:customStyle="1" w:styleId="rynqvb">
    <w:name w:val="rynqvb"/>
    <w:basedOn w:val="Absatz-Standardschriftart"/>
    <w:rsid w:val="00623AF8"/>
  </w:style>
  <w:style w:type="character" w:customStyle="1" w:styleId="ListenabsatzZchn">
    <w:name w:val="Listenabsatz Zchn"/>
    <w:aliases w:val="Fiche List Paragraph Zchn,OBC Bullet Zchn,List Paragraph Char Char Char Zchn,Colorful List - Accent 11 Zchn,List Paragraph11 Zchn,2 Zchn,Bullet St Zchn"/>
    <w:link w:val="Listenabsatz"/>
    <w:uiPriority w:val="34"/>
    <w:qFormat/>
    <w:locked/>
    <w:rsid w:val="00623AF8"/>
    <w:rPr>
      <w:kern w:val="0"/>
      <w:sz w:val="24"/>
      <w:szCs w:val="24"/>
      <w14:ligatures w14:val="none"/>
    </w:rPr>
  </w:style>
  <w:style w:type="character" w:styleId="Hyperlink">
    <w:name w:val="Hyperlink"/>
    <w:basedOn w:val="Absatz-Standardschriftart"/>
    <w:uiPriority w:val="99"/>
    <w:unhideWhenUsed/>
    <w:rsid w:val="00623AF8"/>
    <w:rPr>
      <w:color w:val="0000FF"/>
      <w:u w:val="single"/>
    </w:rPr>
  </w:style>
  <w:style w:type="paragraph" w:customStyle="1" w:styleId="WasteWatersurveillanceNormalLeft">
    <w:name w:val="Waste Water surveillanceNormal Left"/>
    <w:basedOn w:val="Standard"/>
    <w:rsid w:val="00623AF8"/>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Standard"/>
    <w:next w:val="Standard"/>
    <w:rsid w:val="00623AF8"/>
    <w:pPr>
      <w:keepNext/>
      <w:spacing w:before="360" w:after="120"/>
      <w:jc w:val="center"/>
    </w:pPr>
    <w:rPr>
      <w:rFonts w:ascii="Times New Roman" w:hAnsi="Times New Roman" w:cs="Times New Roman"/>
      <w:i/>
      <w:szCs w:val="22"/>
      <w:lang w:val="en-GB"/>
    </w:rPr>
  </w:style>
  <w:style w:type="paragraph" w:styleId="berarbeitung">
    <w:name w:val="Revision"/>
    <w:hidden/>
    <w:uiPriority w:val="99"/>
    <w:semiHidden/>
    <w:rsid w:val="00623AF8"/>
    <w:pPr>
      <w:spacing w:after="0" w:line="240" w:lineRule="auto"/>
    </w:pPr>
    <w:rPr>
      <w:kern w:val="0"/>
      <w:sz w:val="24"/>
      <w:szCs w:val="24"/>
      <w14:ligatures w14:val="none"/>
    </w:rPr>
  </w:style>
  <w:style w:type="character" w:styleId="NichtaufgelsteErwhnung">
    <w:name w:val="Unresolved Mention"/>
    <w:basedOn w:val="Absatz-Standardschriftart"/>
    <w:uiPriority w:val="99"/>
    <w:semiHidden/>
    <w:unhideWhenUsed/>
    <w:rsid w:val="00623AF8"/>
    <w:rPr>
      <w:color w:val="605E5C"/>
      <w:shd w:val="clear" w:color="auto" w:fill="E1DFDD"/>
    </w:rPr>
  </w:style>
  <w:style w:type="paragraph" w:customStyle="1" w:styleId="artikeltext">
    <w:name w:val="artikeltext"/>
    <w:basedOn w:val="Standard"/>
    <w:rsid w:val="00623AF8"/>
    <w:pPr>
      <w:spacing w:before="100" w:beforeAutospacing="1" w:after="100" w:afterAutospacing="1"/>
    </w:pPr>
    <w:rPr>
      <w:rFonts w:ascii="Times New Roman" w:eastAsia="Times New Roman" w:hAnsi="Times New Roman" w:cs="Times New Roman"/>
      <w:lang w:eastAsia="de-AT"/>
    </w:rPr>
  </w:style>
  <w:style w:type="paragraph" w:styleId="Inhaltsverzeichnisberschrift">
    <w:name w:val="TOC Heading"/>
    <w:basedOn w:val="berschrift1"/>
    <w:next w:val="Standard"/>
    <w:uiPriority w:val="39"/>
    <w:unhideWhenUsed/>
    <w:qFormat/>
    <w:rsid w:val="00623AF8"/>
    <w:pPr>
      <w:spacing w:line="259" w:lineRule="auto"/>
      <w:outlineLvl w:val="9"/>
    </w:pPr>
    <w:rPr>
      <w:b w:val="0"/>
      <w:color w:val="2F5496" w:themeColor="accent1" w:themeShade="BF"/>
      <w:sz w:val="32"/>
      <w:lang w:eastAsia="de-AT"/>
    </w:rPr>
  </w:style>
  <w:style w:type="paragraph" w:styleId="Verzeichnis1">
    <w:name w:val="toc 1"/>
    <w:basedOn w:val="Standard"/>
    <w:next w:val="Standard"/>
    <w:autoRedefine/>
    <w:uiPriority w:val="39"/>
    <w:unhideWhenUsed/>
    <w:rsid w:val="00623AF8"/>
    <w:pPr>
      <w:spacing w:after="100"/>
    </w:pPr>
  </w:style>
  <w:style w:type="character" w:styleId="BesuchterLink">
    <w:name w:val="FollowedHyperlink"/>
    <w:basedOn w:val="Absatz-Standardschriftart"/>
    <w:uiPriority w:val="99"/>
    <w:semiHidden/>
    <w:unhideWhenUsed/>
    <w:rsid w:val="00623AF8"/>
    <w:rPr>
      <w:color w:val="954F72" w:themeColor="followedHyperlink"/>
      <w:u w:val="single"/>
    </w:rPr>
  </w:style>
  <w:style w:type="paragraph" w:customStyle="1" w:styleId="TableParagraph">
    <w:name w:val="Table Paragraph"/>
    <w:basedOn w:val="Standard"/>
    <w:uiPriority w:val="1"/>
    <w:qFormat/>
    <w:rsid w:val="00623AF8"/>
    <w:pPr>
      <w:widowControl w:val="0"/>
      <w:autoSpaceDE w:val="0"/>
      <w:autoSpaceDN w:val="0"/>
      <w:ind w:left="110"/>
    </w:pPr>
    <w:rPr>
      <w:rFonts w:ascii="Arial MT" w:eastAsia="Arial MT" w:hAnsi="Arial MT" w:cs="Arial MT"/>
      <w:sz w:val="22"/>
      <w:szCs w:val="22"/>
      <w:lang w:val="en-GB"/>
    </w:rPr>
  </w:style>
  <w:style w:type="table" w:customStyle="1" w:styleId="TableNormal1">
    <w:name w:val="Table Normal1"/>
    <w:uiPriority w:val="2"/>
    <w:semiHidden/>
    <w:unhideWhenUsed/>
    <w:qFormat/>
    <w:rsid w:val="00623AF8"/>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styleId="KeinLeerraum">
    <w:name w:val="No Spacing"/>
    <w:link w:val="KeinLeerraumZchn"/>
    <w:uiPriority w:val="1"/>
    <w:qFormat/>
    <w:rsid w:val="00623AF8"/>
    <w:pPr>
      <w:spacing w:after="0" w:line="240" w:lineRule="auto"/>
    </w:pPr>
    <w:rPr>
      <w:rFonts w:eastAsiaTheme="minorEastAsia"/>
      <w:kern w:val="0"/>
      <w:lang w:eastAsia="de-AT"/>
      <w14:ligatures w14:val="none"/>
    </w:rPr>
  </w:style>
  <w:style w:type="character" w:customStyle="1" w:styleId="KeinLeerraumZchn">
    <w:name w:val="Kein Leerraum Zchn"/>
    <w:basedOn w:val="Absatz-Standardschriftart"/>
    <w:link w:val="KeinLeerraum"/>
    <w:uiPriority w:val="1"/>
    <w:rsid w:val="00623AF8"/>
    <w:rPr>
      <w:rFonts w:eastAsiaTheme="minorEastAsia"/>
      <w:kern w:val="0"/>
      <w:lang w:eastAsia="de-AT"/>
      <w14:ligatures w14:val="none"/>
    </w:rPr>
  </w:style>
  <w:style w:type="paragraph" w:customStyle="1" w:styleId="oj-normal">
    <w:name w:val="oj-normal"/>
    <w:basedOn w:val="Standard"/>
    <w:rsid w:val="00623AF8"/>
    <w:pPr>
      <w:spacing w:before="100" w:beforeAutospacing="1" w:after="100" w:afterAutospacing="1"/>
    </w:pPr>
    <w:rPr>
      <w:rFonts w:ascii="Times New Roman" w:eastAsia="Times New Roman" w:hAnsi="Times New Roman" w:cs="Times New Roman"/>
      <w:lang w:eastAsia="de-AT"/>
    </w:rPr>
  </w:style>
  <w:style w:type="character" w:customStyle="1" w:styleId="oj-super">
    <w:name w:val="oj-super"/>
    <w:basedOn w:val="Absatz-Standardschriftart"/>
    <w:rsid w:val="00623AF8"/>
  </w:style>
  <w:style w:type="character" w:customStyle="1" w:styleId="A8">
    <w:name w:val="A8"/>
    <w:uiPriority w:val="99"/>
    <w:rsid w:val="00623AF8"/>
    <w:rPr>
      <w:rFonts w:cs="Europa Austria"/>
      <w:color w:val="191817"/>
      <w:sz w:val="11"/>
      <w:szCs w:val="11"/>
    </w:rPr>
  </w:style>
  <w:style w:type="paragraph" w:customStyle="1" w:styleId="Default">
    <w:name w:val="Default"/>
    <w:rsid w:val="00623AF8"/>
    <w:pPr>
      <w:autoSpaceDE w:val="0"/>
      <w:autoSpaceDN w:val="0"/>
      <w:adjustRightInd w:val="0"/>
      <w:spacing w:after="0" w:line="240" w:lineRule="auto"/>
    </w:pPr>
    <w:rPr>
      <w:rFonts w:ascii="Arial" w:hAnsi="Arial" w:cs="Arial"/>
      <w:color w:val="000000"/>
      <w:kern w:val="0"/>
      <w:sz w:val="24"/>
      <w:szCs w:val="24"/>
      <w14:ligatures w14:val="none"/>
    </w:rPr>
  </w:style>
  <w:style w:type="character" w:customStyle="1" w:styleId="line-clamp-1">
    <w:name w:val="line-clamp-1"/>
    <w:basedOn w:val="Absatz-Standardschriftart"/>
    <w:rsid w:val="00623AF8"/>
  </w:style>
  <w:style w:type="paragraph" w:customStyle="1" w:styleId="style5">
    <w:name w:val="style5"/>
    <w:basedOn w:val="Standard"/>
    <w:rsid w:val="00623AF8"/>
    <w:pPr>
      <w:spacing w:before="100" w:beforeAutospacing="1" w:after="100" w:afterAutospacing="1"/>
    </w:pPr>
    <w:rPr>
      <w:rFonts w:ascii="Times New Roman" w:eastAsia="Times New Roman" w:hAnsi="Times New Roman" w:cs="Times New Roman"/>
      <w:lang w:eastAsia="de-AT"/>
    </w:rPr>
  </w:style>
  <w:style w:type="paragraph" w:customStyle="1" w:styleId="textabsatz">
    <w:name w:val="textabsatz"/>
    <w:basedOn w:val="Standard"/>
    <w:rsid w:val="00623AF8"/>
    <w:pPr>
      <w:spacing w:before="100" w:beforeAutospacing="1" w:after="100" w:afterAutospacing="1"/>
    </w:pPr>
    <w:rPr>
      <w:rFonts w:ascii="Times New Roman" w:eastAsia="Times New Roman" w:hAnsi="Times New Roman" w:cs="Times New Roman"/>
      <w:lang w:eastAsia="de-AT"/>
    </w:rPr>
  </w:style>
  <w:style w:type="paragraph" w:customStyle="1" w:styleId="msonormal0">
    <w:name w:val="msonormal"/>
    <w:basedOn w:val="Standard"/>
    <w:uiPriority w:val="99"/>
    <w:rsid w:val="00623AF8"/>
    <w:pPr>
      <w:spacing w:before="100" w:beforeAutospacing="1" w:after="100" w:afterAutospacing="1"/>
    </w:pPr>
    <w:rPr>
      <w:rFonts w:ascii="Times New Roman" w:eastAsia="Times New Roman" w:hAnsi="Times New Roman" w:cs="Times New Roman"/>
      <w:lang w:eastAsia="de-DE"/>
    </w:rPr>
  </w:style>
  <w:style w:type="paragraph" w:styleId="Verzeichnis2">
    <w:name w:val="toc 2"/>
    <w:basedOn w:val="Standard"/>
    <w:next w:val="Standard"/>
    <w:autoRedefine/>
    <w:uiPriority w:val="39"/>
    <w:unhideWhenUsed/>
    <w:rsid w:val="00623AF8"/>
    <w:pPr>
      <w:spacing w:after="100" w:line="256" w:lineRule="auto"/>
      <w:ind w:left="220"/>
    </w:pPr>
    <w:rPr>
      <w:rFonts w:eastAsiaTheme="minorEastAsia" w:cs="Times New Roman"/>
      <w:sz w:val="22"/>
      <w:szCs w:val="22"/>
      <w:lang w:eastAsia="de-AT"/>
    </w:rPr>
  </w:style>
  <w:style w:type="paragraph" w:styleId="Verzeichnis3">
    <w:name w:val="toc 3"/>
    <w:basedOn w:val="Standard"/>
    <w:next w:val="Standard"/>
    <w:autoRedefine/>
    <w:uiPriority w:val="39"/>
    <w:unhideWhenUsed/>
    <w:rsid w:val="00623AF8"/>
    <w:pPr>
      <w:spacing w:after="100" w:line="256" w:lineRule="auto"/>
      <w:ind w:left="440"/>
    </w:pPr>
    <w:rPr>
      <w:rFonts w:eastAsiaTheme="minorEastAsia" w:cs="Times New Roman"/>
      <w:sz w:val="22"/>
      <w:szCs w:val="22"/>
      <w:lang w:eastAsia="de-AT"/>
    </w:rPr>
  </w:style>
  <w:style w:type="character" w:customStyle="1" w:styleId="KommentartextZchn1">
    <w:name w:val="Kommentartext Zchn1"/>
    <w:aliases w:val="Char2 Zchn1"/>
    <w:basedOn w:val="Absatz-Standardschriftart"/>
    <w:uiPriority w:val="99"/>
    <w:semiHidden/>
    <w:rsid w:val="00623AF8"/>
    <w:rPr>
      <w:kern w:val="0"/>
      <w:sz w:val="20"/>
      <w:szCs w:val="20"/>
      <w14:ligatures w14:val="none"/>
    </w:rPr>
  </w:style>
  <w:style w:type="character" w:customStyle="1" w:styleId="ui-provider">
    <w:name w:val="ui-provider"/>
    <w:basedOn w:val="Absatz-Standardschriftart"/>
    <w:rsid w:val="00623AF8"/>
  </w:style>
  <w:style w:type="character" w:customStyle="1" w:styleId="cf11">
    <w:name w:val="cf11"/>
    <w:basedOn w:val="Absatz-Standardschriftart"/>
    <w:rsid w:val="00623AF8"/>
    <w:rPr>
      <w:rFonts w:ascii="Segoe UI" w:hAnsi="Segoe UI" w:cs="Segoe UI" w:hint="default"/>
      <w:sz w:val="18"/>
      <w:szCs w:val="18"/>
    </w:rPr>
  </w:style>
  <w:style w:type="character" w:customStyle="1" w:styleId="h3-like">
    <w:name w:val="h3-like"/>
    <w:basedOn w:val="Absatz-Standardschriftart"/>
    <w:rsid w:val="00623AF8"/>
  </w:style>
  <w:style w:type="table" w:customStyle="1" w:styleId="TableNormal2">
    <w:name w:val="Table Normal2"/>
    <w:uiPriority w:val="2"/>
    <w:semiHidden/>
    <w:unhideWhenUsed/>
    <w:qFormat/>
    <w:rsid w:val="00623AF8"/>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xmsolistparagraph">
    <w:name w:val="x_msolistparagraph"/>
    <w:basedOn w:val="Standard"/>
    <w:rsid w:val="00623AF8"/>
    <w:pPr>
      <w:spacing w:before="100" w:beforeAutospacing="1" w:after="100" w:afterAutospacing="1"/>
    </w:pPr>
    <w:rPr>
      <w:rFonts w:ascii="Times New Roman" w:eastAsia="Times New Roman" w:hAnsi="Times New Roman" w:cs="Times New Roman"/>
      <w:lang w:eastAsia="de-AT"/>
    </w:rPr>
  </w:style>
  <w:style w:type="paragraph" w:styleId="Titel">
    <w:name w:val="Title"/>
    <w:basedOn w:val="Standard"/>
    <w:next w:val="Standard"/>
    <w:link w:val="TitelZchn"/>
    <w:uiPriority w:val="10"/>
    <w:qFormat/>
    <w:rsid w:val="00623AF8"/>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623AF8"/>
    <w:rPr>
      <w:rFonts w:asciiTheme="majorHAnsi" w:eastAsiaTheme="majorEastAsia" w:hAnsiTheme="majorHAnsi" w:cstheme="majorBidi"/>
      <w:spacing w:val="-10"/>
      <w:kern w:val="28"/>
      <w:sz w:val="56"/>
      <w:szCs w:val="56"/>
      <w14:ligatures w14:val="none"/>
    </w:rPr>
  </w:style>
  <w:style w:type="paragraph" w:styleId="Textkrper">
    <w:name w:val="Body Text"/>
    <w:basedOn w:val="Standard"/>
    <w:link w:val="TextkrperZchn"/>
    <w:uiPriority w:val="99"/>
    <w:unhideWhenUsed/>
    <w:rsid w:val="00623AF8"/>
    <w:pPr>
      <w:spacing w:after="120" w:line="278" w:lineRule="auto"/>
    </w:pPr>
    <w:rPr>
      <w:kern w:val="2"/>
      <w14:ligatures w14:val="standardContextual"/>
    </w:rPr>
  </w:style>
  <w:style w:type="character" w:customStyle="1" w:styleId="TextkrperZchn">
    <w:name w:val="Textkörper Zchn"/>
    <w:basedOn w:val="Absatz-Standardschriftart"/>
    <w:link w:val="Textkrper"/>
    <w:uiPriority w:val="99"/>
    <w:rsid w:val="00623AF8"/>
    <w:rPr>
      <w:sz w:val="24"/>
      <w:szCs w:val="24"/>
    </w:rPr>
  </w:style>
  <w:style w:type="character" w:styleId="Fett">
    <w:name w:val="Strong"/>
    <w:basedOn w:val="Absatz-Standardschriftart"/>
    <w:uiPriority w:val="22"/>
    <w:qFormat/>
    <w:rsid w:val="00623AF8"/>
    <w:rPr>
      <w:b/>
      <w:bCs/>
    </w:rPr>
  </w:style>
  <w:style w:type="paragraph" w:styleId="Sprechblasentext">
    <w:name w:val="Balloon Text"/>
    <w:basedOn w:val="Standard"/>
    <w:link w:val="SprechblasentextZchn"/>
    <w:uiPriority w:val="99"/>
    <w:semiHidden/>
    <w:unhideWhenUsed/>
    <w:rsid w:val="00623AF8"/>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23AF8"/>
    <w:rPr>
      <w:rFonts w:ascii="Segoe UI" w:hAnsi="Segoe UI" w:cs="Segoe UI"/>
      <w:kern w:val="0"/>
      <w:sz w:val="18"/>
      <w:szCs w:val="18"/>
      <w14:ligatures w14:val="none"/>
    </w:rPr>
  </w:style>
  <w:style w:type="paragraph" w:styleId="Verzeichnis4">
    <w:name w:val="toc 4"/>
    <w:basedOn w:val="Standard"/>
    <w:next w:val="Standard"/>
    <w:autoRedefine/>
    <w:uiPriority w:val="39"/>
    <w:unhideWhenUsed/>
    <w:rsid w:val="00623AF8"/>
    <w:pPr>
      <w:spacing w:after="100" w:line="278" w:lineRule="auto"/>
      <w:ind w:left="720"/>
    </w:pPr>
    <w:rPr>
      <w:rFonts w:eastAsiaTheme="minorEastAsia"/>
      <w:kern w:val="2"/>
      <w:lang w:eastAsia="de-AT"/>
      <w14:ligatures w14:val="standardContextual"/>
    </w:rPr>
  </w:style>
  <w:style w:type="paragraph" w:styleId="Verzeichnis5">
    <w:name w:val="toc 5"/>
    <w:basedOn w:val="Standard"/>
    <w:next w:val="Standard"/>
    <w:autoRedefine/>
    <w:uiPriority w:val="39"/>
    <w:unhideWhenUsed/>
    <w:rsid w:val="00623AF8"/>
    <w:pPr>
      <w:spacing w:after="100" w:line="278" w:lineRule="auto"/>
      <w:ind w:left="960"/>
    </w:pPr>
    <w:rPr>
      <w:rFonts w:eastAsiaTheme="minorEastAsia"/>
      <w:kern w:val="2"/>
      <w:lang w:eastAsia="de-AT"/>
      <w14:ligatures w14:val="standardContextual"/>
    </w:rPr>
  </w:style>
  <w:style w:type="paragraph" w:styleId="Verzeichnis6">
    <w:name w:val="toc 6"/>
    <w:basedOn w:val="Standard"/>
    <w:next w:val="Standard"/>
    <w:autoRedefine/>
    <w:uiPriority w:val="39"/>
    <w:unhideWhenUsed/>
    <w:rsid w:val="00623AF8"/>
    <w:pPr>
      <w:spacing w:after="100" w:line="278" w:lineRule="auto"/>
      <w:ind w:left="1200"/>
    </w:pPr>
    <w:rPr>
      <w:rFonts w:eastAsiaTheme="minorEastAsia"/>
      <w:kern w:val="2"/>
      <w:lang w:eastAsia="de-AT"/>
      <w14:ligatures w14:val="standardContextual"/>
    </w:rPr>
  </w:style>
  <w:style w:type="paragraph" w:styleId="Verzeichnis7">
    <w:name w:val="toc 7"/>
    <w:basedOn w:val="Standard"/>
    <w:next w:val="Standard"/>
    <w:autoRedefine/>
    <w:uiPriority w:val="39"/>
    <w:unhideWhenUsed/>
    <w:rsid w:val="00623AF8"/>
    <w:pPr>
      <w:spacing w:after="100" w:line="278" w:lineRule="auto"/>
      <w:ind w:left="1440"/>
    </w:pPr>
    <w:rPr>
      <w:rFonts w:eastAsiaTheme="minorEastAsia"/>
      <w:kern w:val="2"/>
      <w:lang w:eastAsia="de-AT"/>
      <w14:ligatures w14:val="standardContextual"/>
    </w:rPr>
  </w:style>
  <w:style w:type="paragraph" w:styleId="Verzeichnis8">
    <w:name w:val="toc 8"/>
    <w:basedOn w:val="Standard"/>
    <w:next w:val="Standard"/>
    <w:autoRedefine/>
    <w:uiPriority w:val="39"/>
    <w:unhideWhenUsed/>
    <w:rsid w:val="00623AF8"/>
    <w:pPr>
      <w:spacing w:after="100" w:line="278" w:lineRule="auto"/>
      <w:ind w:left="1680"/>
    </w:pPr>
    <w:rPr>
      <w:rFonts w:eastAsiaTheme="minorEastAsia"/>
      <w:kern w:val="2"/>
      <w:lang w:eastAsia="de-AT"/>
      <w14:ligatures w14:val="standardContextual"/>
    </w:rPr>
  </w:style>
  <w:style w:type="paragraph" w:styleId="Verzeichnis9">
    <w:name w:val="toc 9"/>
    <w:basedOn w:val="Standard"/>
    <w:next w:val="Standard"/>
    <w:autoRedefine/>
    <w:uiPriority w:val="39"/>
    <w:unhideWhenUsed/>
    <w:rsid w:val="00623AF8"/>
    <w:pPr>
      <w:spacing w:after="100" w:line="278" w:lineRule="auto"/>
      <w:ind w:left="1920"/>
    </w:pPr>
    <w:rPr>
      <w:rFonts w:eastAsiaTheme="minorEastAsia"/>
      <w:kern w:val="2"/>
      <w:lang w:eastAsia="de-AT"/>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8.xml"/><Relationship Id="rId117" Type="http://schemas.openxmlformats.org/officeDocument/2006/relationships/hyperlink" Target="https://www.europarl.europa.eu/news/de/press-room/20201120IPR92124/eu-soll-obdachlosigkeit-bis-2030-beseitigen" TargetMode="External"/><Relationship Id="rId21" Type="http://schemas.openxmlformats.org/officeDocument/2006/relationships/footer" Target="footer5.xml"/><Relationship Id="rId42" Type="http://schemas.openxmlformats.org/officeDocument/2006/relationships/hyperlink" Target="https://eur-lex.europa.eu/DE/legal-content/summary/authorised-maximum-dimensions-and-weights-for-trucks-buses-and-coaches.html" TargetMode="External"/><Relationship Id="rId47" Type="http://schemas.openxmlformats.org/officeDocument/2006/relationships/hyperlink" Target="https://www.schienencontrol.gv.at/de/IBE.html" TargetMode="External"/><Relationship Id="rId63" Type="http://schemas.openxmlformats.org/officeDocument/2006/relationships/footer" Target="footer11.xml"/><Relationship Id="rId68" Type="http://schemas.openxmlformats.org/officeDocument/2006/relationships/footer" Target="footer13.xml"/><Relationship Id="rId84" Type="http://schemas.openxmlformats.org/officeDocument/2006/relationships/header" Target="header24.xml"/><Relationship Id="rId89" Type="http://schemas.openxmlformats.org/officeDocument/2006/relationships/header" Target="header27.xml"/><Relationship Id="rId112" Type="http://schemas.openxmlformats.org/officeDocument/2006/relationships/hyperlink" Target="https://buildreview.org/modular-building-serial-prefabricated-building-the-solution-to-the-housing-problem/" TargetMode="External"/><Relationship Id="rId133" Type="http://schemas.openxmlformats.org/officeDocument/2006/relationships/fontTable" Target="fontTable.xml"/><Relationship Id="rId16" Type="http://schemas.openxmlformats.org/officeDocument/2006/relationships/footer" Target="footer3.xml"/><Relationship Id="rId107" Type="http://schemas.openxmlformats.org/officeDocument/2006/relationships/footer" Target="footer27.xml"/><Relationship Id="rId11" Type="http://schemas.openxmlformats.org/officeDocument/2006/relationships/header" Target="header1.xml"/><Relationship Id="rId32" Type="http://schemas.openxmlformats.org/officeDocument/2006/relationships/hyperlink" Target="https://eur-lex.europa.eu/legal-content/DE/TXT/HTML/?uri=OJ:L:2023:063:FULL&amp;from=EN" TargetMode="External"/><Relationship Id="rId37" Type="http://schemas.openxmlformats.org/officeDocument/2006/relationships/hyperlink" Target="https://www.unsereoebb.at/de/dak-22" TargetMode="External"/><Relationship Id="rId53" Type="http://schemas.openxmlformats.org/officeDocument/2006/relationships/hyperlink" Target="https://transport.ec.europa.eu/transport-modes/road/mobility-package-i/market-rules/rules-cabotage-applicable-21-february-2022_de" TargetMode="External"/><Relationship Id="rId58" Type="http://schemas.openxmlformats.org/officeDocument/2006/relationships/footer" Target="footer9.xml"/><Relationship Id="rId74" Type="http://schemas.openxmlformats.org/officeDocument/2006/relationships/footer" Target="footer15.xml"/><Relationship Id="rId79" Type="http://schemas.openxmlformats.org/officeDocument/2006/relationships/header" Target="header21.xml"/><Relationship Id="rId102" Type="http://schemas.openxmlformats.org/officeDocument/2006/relationships/hyperlink" Target="https://ideas.repec.org/p/wfo/rbrief/y2023i6.html" TargetMode="External"/><Relationship Id="rId123" Type="http://schemas.openxmlformats.org/officeDocument/2006/relationships/hyperlink" Target="https://eur-lex.europa.eu/legal-content/EN/TXT/PDF/?uri=CELEX:11997D/TXT" TargetMode="External"/><Relationship Id="rId128" Type="http://schemas.openxmlformats.org/officeDocument/2006/relationships/hyperlink" Target="https://www.europarl.europa.eu/news/en/press-room/20240223IPR18094/new-rules-for-a-responsible-and-transparent-short-term-rental-sector" TargetMode="External"/><Relationship Id="rId5" Type="http://schemas.openxmlformats.org/officeDocument/2006/relationships/numbering" Target="numbering.xml"/><Relationship Id="rId90" Type="http://schemas.openxmlformats.org/officeDocument/2006/relationships/footer" Target="footer21.xml"/><Relationship Id="rId95" Type="http://schemas.openxmlformats.org/officeDocument/2006/relationships/footer" Target="footer23.xml"/><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footer" Target="footer8.xml"/><Relationship Id="rId30" Type="http://schemas.openxmlformats.org/officeDocument/2006/relationships/hyperlink" Target="file:///C:\Users\KAG\Downloads\JTF-%20Richtlinie%20Version%2020240207.pdf" TargetMode="External"/><Relationship Id="rId35" Type="http://schemas.openxmlformats.org/officeDocument/2006/relationships/hyperlink" Target="https://cinea.ec.europa.eu/funding-opportunities/calls-proposals/cef-transport-alternative-fuels-infrastructure-facility-afif-call-proposal_en" TargetMode="External"/><Relationship Id="rId43" Type="http://schemas.openxmlformats.org/officeDocument/2006/relationships/hyperlink" Target="https://eur-lex.europa.eu/legal-content/DE/TXT/?uri=CELEX%3A32010L0040" TargetMode="External"/><Relationship Id="rId48" Type="http://schemas.openxmlformats.org/officeDocument/2006/relationships/hyperlink" Target="https://eur-lex.europa.eu/legal-content/DE/TXT/PDF/?uri=CELEX:52023XC0626(01)" TargetMode="External"/><Relationship Id="rId56" Type="http://schemas.openxmlformats.org/officeDocument/2006/relationships/hyperlink" Target="https://transport.ec.europa.eu/transport-themes/infrastructure-and-investment/connecting-europe-facility_en" TargetMode="External"/><Relationship Id="rId64" Type="http://schemas.openxmlformats.org/officeDocument/2006/relationships/header" Target="header13.xml"/><Relationship Id="rId69" Type="http://schemas.openxmlformats.org/officeDocument/2006/relationships/hyperlink" Target="http://eur-lex.europa.eu/legal-content/DE/TXT/PDF/?uri=CELEX:32003H0361&amp;from=EN" TargetMode="External"/><Relationship Id="rId77" Type="http://schemas.openxmlformats.org/officeDocument/2006/relationships/header" Target="header20.xml"/><Relationship Id="rId100" Type="http://schemas.openxmlformats.org/officeDocument/2006/relationships/footer" Target="footer25.xml"/><Relationship Id="rId105" Type="http://schemas.openxmlformats.org/officeDocument/2006/relationships/footer" Target="footer26.xml"/><Relationship Id="rId113" Type="http://schemas.openxmlformats.org/officeDocument/2006/relationships/hyperlink" Target="https://commission.europa.eu/news/focus-energy-efficiency-buildings-2020-02-17_en" TargetMode="External"/><Relationship Id="rId118" Type="http://schemas.openxmlformats.org/officeDocument/2006/relationships/hyperlink" Target="https://www.socialeurope.eu/rethinking-the-battle-against-homelessness" TargetMode="External"/><Relationship Id="rId126" Type="http://schemas.openxmlformats.org/officeDocument/2006/relationships/hyperlink" Target="https://commission.europa.eu/news/focus-energy-efficiency-buildings-2020-02-17_en" TargetMode="External"/><Relationship Id="rId13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cer.be/cer-eu-projects-initiatives/cer-ticketing-roadmap" TargetMode="External"/><Relationship Id="rId72" Type="http://schemas.openxmlformats.org/officeDocument/2006/relationships/footer" Target="footer14.xml"/><Relationship Id="rId80" Type="http://schemas.openxmlformats.org/officeDocument/2006/relationships/footer" Target="footer17.xml"/><Relationship Id="rId85" Type="http://schemas.openxmlformats.org/officeDocument/2006/relationships/footer" Target="footer19.xml"/><Relationship Id="rId93" Type="http://schemas.openxmlformats.org/officeDocument/2006/relationships/footer" Target="footer22.xml"/><Relationship Id="rId98" Type="http://schemas.openxmlformats.org/officeDocument/2006/relationships/footer" Target="footer24.xml"/><Relationship Id="rId121" Type="http://schemas.openxmlformats.org/officeDocument/2006/relationships/hyperlink" Target="https://ideas.repec.org/p/wfo/rbrief/y2023i6.html" TargetMode="Externa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orf.at/stories/3348774/" TargetMode="External"/><Relationship Id="rId33" Type="http://schemas.openxmlformats.org/officeDocument/2006/relationships/hyperlink" Target="https://www.eea.europa.eu/publications/progress-of-eu-transport-sector-1" TargetMode="External"/><Relationship Id="rId38" Type="http://schemas.openxmlformats.org/officeDocument/2006/relationships/hyperlink" Target="https://ec.europa.eu/info/law/better-regulation/have-your-say/initiatives/13566-Transport-data-creating-a-common-European-mobility-data-space-communication-_en" TargetMode="External"/><Relationship Id="rId46" Type="http://schemas.openxmlformats.org/officeDocument/2006/relationships/hyperlink" Target="https://transport.ec.europa.eu/transport-themes/infrastructure-and-investment/trans-european-transport-network-ten-t_en" TargetMode="External"/><Relationship Id="rId59" Type="http://schemas.openxmlformats.org/officeDocument/2006/relationships/header" Target="header10.xml"/><Relationship Id="rId67" Type="http://schemas.openxmlformats.org/officeDocument/2006/relationships/header" Target="header15.xml"/><Relationship Id="rId103" Type="http://schemas.openxmlformats.org/officeDocument/2006/relationships/header" Target="header35.xml"/><Relationship Id="rId108" Type="http://schemas.openxmlformats.org/officeDocument/2006/relationships/hyperlink" Target="https://ideas.repec.org/p/wfo/rbrief/y2023i6.html" TargetMode="External"/><Relationship Id="rId116" Type="http://schemas.openxmlformats.org/officeDocument/2006/relationships/hyperlink" Target="https://eur-lex.europa.eu/legal-content/EN/TXT/PDF/?uri=OJ:L_202401275" TargetMode="External"/><Relationship Id="rId124" Type="http://schemas.openxmlformats.org/officeDocument/2006/relationships/hyperlink" Target="https://commission.europa.eu/news/focus-energy-efficiency-buildings-2020-02-17_en" TargetMode="External"/><Relationship Id="rId129" Type="http://schemas.openxmlformats.org/officeDocument/2006/relationships/header" Target="header38.xml"/><Relationship Id="rId20" Type="http://schemas.openxmlformats.org/officeDocument/2006/relationships/header" Target="header6.xml"/><Relationship Id="rId41" Type="http://schemas.openxmlformats.org/officeDocument/2006/relationships/hyperlink" Target="https://vcoe.at/publikationen/vcoe-factsheets/detail/vcoe-factsheet-2020-06-gueterverkehr-auf-klimakurs-bringen" TargetMode="External"/><Relationship Id="rId54" Type="http://schemas.openxmlformats.org/officeDocument/2006/relationships/hyperlink" Target="https://www.bmas.de/DE/Arbeit/Arbeitsrecht/Entsendung-von-Arbeitnehmern/entsendung-von-arbeitnehmern.html" TargetMode="External"/><Relationship Id="rId62" Type="http://schemas.openxmlformats.org/officeDocument/2006/relationships/header" Target="header12.xml"/><Relationship Id="rId70" Type="http://schemas.openxmlformats.org/officeDocument/2006/relationships/header" Target="header16.xml"/><Relationship Id="rId75" Type="http://schemas.openxmlformats.org/officeDocument/2006/relationships/hyperlink" Target="https://voewg.eu.junglemailpages.com/link/?c=1378884b-2b72-46af-b4c6-83920b966d0f&amp;j=020d5351-1e57-456f-b1a3-04694064f617&amp;l=fc938d08-f2fd-4d20-80ea-f71993bd54c0&amp;e=765ddf88-7513-4853-acc3-8e07fd58961c&amp;p=1" TargetMode="External"/><Relationship Id="rId83" Type="http://schemas.openxmlformats.org/officeDocument/2006/relationships/footer" Target="footer18.xml"/><Relationship Id="rId88" Type="http://schemas.openxmlformats.org/officeDocument/2006/relationships/footer" Target="footer20.xml"/><Relationship Id="rId91" Type="http://schemas.openxmlformats.org/officeDocument/2006/relationships/header" Target="header28.xml"/><Relationship Id="rId96" Type="http://schemas.openxmlformats.org/officeDocument/2006/relationships/header" Target="header31.xml"/><Relationship Id="rId111" Type="http://schemas.openxmlformats.org/officeDocument/2006/relationships/hyperlink" Target="https://commission.europa.eu/news/focus-energy-efficiency-buildings-2020-02-17_en" TargetMode="External"/><Relationship Id="rId132" Type="http://schemas.openxmlformats.org/officeDocument/2006/relationships/header" Target="header4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hyperlink" Target="https://eur-lex.europa.eu/legal-content/DE/TXT/PDF/?uri=OJ:L_202302413" TargetMode="External"/><Relationship Id="rId36" Type="http://schemas.openxmlformats.org/officeDocument/2006/relationships/hyperlink" Target="https://www.green-energy-center.com/infos/54918/" TargetMode="External"/><Relationship Id="rId49" Type="http://schemas.openxmlformats.org/officeDocument/2006/relationships/hyperlink" Target="https://www.consilium.europa.eu/de/press/press-releases/2023/12/18/trans-european-transport-network-ten-t-council-and-parliament-strike-a-deal-to-ensure-sustainable-connectivity-in-europe/" TargetMode="External"/><Relationship Id="rId57" Type="http://schemas.openxmlformats.org/officeDocument/2006/relationships/header" Target="header9.xml"/><Relationship Id="rId106" Type="http://schemas.openxmlformats.org/officeDocument/2006/relationships/header" Target="header37.xml"/><Relationship Id="rId114" Type="http://schemas.openxmlformats.org/officeDocument/2006/relationships/hyperlink" Target="https://eur-lex.europa.eu/legal-content/EN/TXT/PDF/?uri=OJ:L_202401275" TargetMode="External"/><Relationship Id="rId119" Type="http://schemas.openxmlformats.org/officeDocument/2006/relationships/hyperlink" Target="https://www.eesc.europa.eu/en/news-media/press-summaries/eu-framework-national-homeless-strategies-" TargetMode="External"/><Relationship Id="rId127" Type="http://schemas.openxmlformats.org/officeDocument/2006/relationships/hyperlink" Target="https://energy.ec.europa.eu/topics/markets-and-consumers/energy-consumer-rights/energy-poverty_en" TargetMode="External"/><Relationship Id="rId10" Type="http://schemas.openxmlformats.org/officeDocument/2006/relationships/endnotes" Target="endnotes.xml"/><Relationship Id="rId31" Type="http://schemas.openxmlformats.org/officeDocument/2006/relationships/hyperlink" Target="https://eur-lex.europa.eu/legal-content/DE/TXT/PDF/?uri=CELEX:32023L1791" TargetMode="External"/><Relationship Id="rId44" Type="http://schemas.openxmlformats.org/officeDocument/2006/relationships/hyperlink" Target="https://eur-lex.europa.eu/legal-content/DE/TXT/?uri=CELEX%3A32010L0040" TargetMode="External"/><Relationship Id="rId52" Type="http://schemas.openxmlformats.org/officeDocument/2006/relationships/hyperlink" Target="https://www.vdv.de/presse.aspx?id=7bc4cde5-570a-4226-a5f9-23b573894d9f&amp;mode=detail&amp;coriander=v3_7619e746-222c-7efb-bbf0-5c7ba44c90a5" TargetMode="External"/><Relationship Id="rId60" Type="http://schemas.openxmlformats.org/officeDocument/2006/relationships/header" Target="header11.xml"/><Relationship Id="rId65" Type="http://schemas.openxmlformats.org/officeDocument/2006/relationships/header" Target="header14.xml"/><Relationship Id="rId73" Type="http://schemas.openxmlformats.org/officeDocument/2006/relationships/header" Target="header18.xml"/><Relationship Id="rId78" Type="http://schemas.openxmlformats.org/officeDocument/2006/relationships/footer" Target="footer16.xml"/><Relationship Id="rId81" Type="http://schemas.openxmlformats.org/officeDocument/2006/relationships/header" Target="header22.xml"/><Relationship Id="rId86" Type="http://schemas.openxmlformats.org/officeDocument/2006/relationships/header" Target="header25.xml"/><Relationship Id="rId94" Type="http://schemas.openxmlformats.org/officeDocument/2006/relationships/header" Target="header30.xml"/><Relationship Id="rId99" Type="http://schemas.openxmlformats.org/officeDocument/2006/relationships/header" Target="header33.xml"/><Relationship Id="rId101" Type="http://schemas.openxmlformats.org/officeDocument/2006/relationships/header" Target="header34.xml"/><Relationship Id="rId122" Type="http://schemas.openxmlformats.org/officeDocument/2006/relationships/hyperlink" Target="https://commission.europa.eu/business-economy-euro/economic-and-fiscal-policy-coordination/european-semester_en" TargetMode="External"/><Relationship Id="rId130" Type="http://schemas.openxmlformats.org/officeDocument/2006/relationships/footer" Target="footer28.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hyperlink" Target="https://blog.railcargo.com/de/artikel/einzelwagenverkehr" TargetMode="External"/><Relationship Id="rId109" Type="http://schemas.openxmlformats.org/officeDocument/2006/relationships/hyperlink" Target="https://ideas.repec.org/p/wfo/rbrief/y2023i6.html" TargetMode="External"/><Relationship Id="rId34" Type="http://schemas.openxmlformats.org/officeDocument/2006/relationships/hyperlink" Target="https://eur-lex.europa.eu/legal-content/EN/TXT/PDF/?uri=CELEX:32023R1804" TargetMode="External"/><Relationship Id="rId50" Type="http://schemas.openxmlformats.org/officeDocument/2006/relationships/hyperlink" Target="https://www.eu-umweltbuero.at/assets/Uploads/2022-1-Eurovignette2.pdf" TargetMode="External"/><Relationship Id="rId55" Type="http://schemas.openxmlformats.org/officeDocument/2006/relationships/hyperlink" Target="https://transport.ec.europa.eu/transport-themes/infrastructure-and-investment/connecting-europe-facility_en" TargetMode="External"/><Relationship Id="rId76" Type="http://schemas.openxmlformats.org/officeDocument/2006/relationships/header" Target="header19.xml"/><Relationship Id="rId97" Type="http://schemas.openxmlformats.org/officeDocument/2006/relationships/header" Target="header32.xml"/><Relationship Id="rId104" Type="http://schemas.openxmlformats.org/officeDocument/2006/relationships/header" Target="header36.xml"/><Relationship Id="rId120" Type="http://schemas.openxmlformats.org/officeDocument/2006/relationships/hyperlink" Target="https://www.europarl.europa.eu/news/de/press-room/20201120IPR92124/eu-soll-obdachlosigkeit-bis-2030-beseitigen" TargetMode="External"/><Relationship Id="rId125" Type="http://schemas.openxmlformats.org/officeDocument/2006/relationships/hyperlink" Target="https://eur-lex.europa.eu/legal-content/EN/TXT/PDF/?uri=OJ:L_202401275" TargetMode="External"/><Relationship Id="rId7" Type="http://schemas.openxmlformats.org/officeDocument/2006/relationships/settings" Target="settings.xml"/><Relationship Id="rId71" Type="http://schemas.openxmlformats.org/officeDocument/2006/relationships/header" Target="header17.xml"/><Relationship Id="rId92" Type="http://schemas.openxmlformats.org/officeDocument/2006/relationships/header" Target="header29.xml"/><Relationship Id="rId2" Type="http://schemas.openxmlformats.org/officeDocument/2006/relationships/customXml" Target="../customXml/item2.xml"/><Relationship Id="rId29" Type="http://schemas.openxmlformats.org/officeDocument/2006/relationships/hyperlink" Target="https://eur-lex.europa.eu/legal-content/DE/TXT/PDF/?uri=CELEX:32019L1024" TargetMode="External"/><Relationship Id="rId24" Type="http://schemas.openxmlformats.org/officeDocument/2006/relationships/footer" Target="footer7.xml"/><Relationship Id="rId40" Type="http://schemas.openxmlformats.org/officeDocument/2006/relationships/hyperlink" Target="https://competition-policy.ec.europa.eu/public-consultations/2024-lmtg-and-tber_en?prefLang=de" TargetMode="External"/><Relationship Id="rId45" Type="http://schemas.openxmlformats.org/officeDocument/2006/relationships/hyperlink" Target="https://eur-lex.europa.eu/legal-content/DE/TXT/?uri=CELEX%3A32010L0040" TargetMode="External"/><Relationship Id="rId66" Type="http://schemas.openxmlformats.org/officeDocument/2006/relationships/footer" Target="footer12.xml"/><Relationship Id="rId87" Type="http://schemas.openxmlformats.org/officeDocument/2006/relationships/header" Target="header26.xml"/><Relationship Id="rId110" Type="http://schemas.openxmlformats.org/officeDocument/2006/relationships/hyperlink" Target="https://www.usbank.com/investing/financial-perspectives/investing-insights/interest-rates-impact-on-housing-market.html" TargetMode="External"/><Relationship Id="rId115" Type="http://schemas.openxmlformats.org/officeDocument/2006/relationships/hyperlink" Target="https://commission.europa.eu/news/focus-energy-efficiency-buildings-2020-02-17_en" TargetMode="External"/><Relationship Id="rId131" Type="http://schemas.openxmlformats.org/officeDocument/2006/relationships/header" Target="header39.xml"/><Relationship Id="rId61" Type="http://schemas.openxmlformats.org/officeDocument/2006/relationships/footer" Target="footer10.xml"/><Relationship Id="rId82" Type="http://schemas.openxmlformats.org/officeDocument/2006/relationships/header" Target="header23.xml"/><Relationship Id="rId19" Type="http://schemas.openxmlformats.org/officeDocument/2006/relationships/header" Target="header5.xml"/></Relationships>
</file>

<file path=word/_rels/footer4.xml.rels><?xml version="1.0" encoding="UTF-8" standalone="yes"?>
<Relationships xmlns="http://schemas.openxmlformats.org/package/2006/relationships"><Relationship Id="rId1" Type="http://schemas.openxmlformats.org/officeDocument/2006/relationships/hyperlink" Target="mailto:virginia.hagn@voewg.at"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mailto:virginia.hagn@voewg.at"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mailto:virginia.hagn@voewg.at"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mailto:hanna.buchinger@voewg.at"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mailto:jeremias.jobst@voewg.at" TargetMode="External"/></Relationships>
</file>

<file path=word/_rels/footer27.xml.rels><?xml version="1.0" encoding="UTF-8" standalone="yes"?>
<Relationships xmlns="http://schemas.openxmlformats.org/package/2006/relationships"><Relationship Id="rId1" Type="http://schemas.openxmlformats.org/officeDocument/2006/relationships/hyperlink" Target="mailto:jeremias.jobst@voewg.at" TargetMode="External"/></Relationships>
</file>

<file path=word/_rels/footer28.xml.rels><?xml version="1.0" encoding="UTF-8" standalone="yes"?>
<Relationships xmlns="http://schemas.openxmlformats.org/package/2006/relationships"><Relationship Id="rId1" Type="http://schemas.openxmlformats.org/officeDocument/2006/relationships/hyperlink" Target="mailto:josef.wirth@voewg.at"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ec.europa.eu/eurostat/documents/3859598/5925693/KS-02-13-269-EN.PDF.pdf/44cd9d01-bc64-40e5-bd40-d17df0c69334?t=1414781932000" TargetMode="External"/><Relationship Id="rId13" Type="http://schemas.openxmlformats.org/officeDocument/2006/relationships/hyperlink" Target="https://data.europa.eu/doi/10.2765/84455" TargetMode="External"/><Relationship Id="rId18" Type="http://schemas.openxmlformats.org/officeDocument/2006/relationships/hyperlink" Target="https://home-affairs.ec.europa.eu/news/commission-proposes-eu-talent-pool-help-address-labour-shortages-across-europe-2023-11-15_en" TargetMode="External"/><Relationship Id="rId26" Type="http://schemas.openxmlformats.org/officeDocument/2006/relationships/hyperlink" Target="https://taxfoundation.org/data/all/eu/tax-burden-labor-europe-2024/" TargetMode="External"/><Relationship Id="rId39" Type="http://schemas.openxmlformats.org/officeDocument/2006/relationships/hyperlink" Target="https://rooseveltinstitute.org/publications/industrial-policy-synergies-industrial-policy-labor-policy/" TargetMode="External"/><Relationship Id="rId3" Type="http://schemas.openxmlformats.org/officeDocument/2006/relationships/hyperlink" Target="https://www.dvgw.de/medien/dvgw/leistungen/publikationen/h2o-fuer-elektrolyse-dvgw-factsheet.pdf" TargetMode="External"/><Relationship Id="rId21" Type="http://schemas.openxmlformats.org/officeDocument/2006/relationships/hyperlink" Target="https://www.ktn.gv.at/DE/repos/files/ktn.gv.at/Abteilungen/Abt11/Dateien/ESF/JTF/JTF-%20Richtlinie%20Version%2020240207.pdf?exp=1428897&amp;fps=b9894ca421aacef52d823c6b5e47e3741b68c3d5" TargetMode="External"/><Relationship Id="rId34" Type="http://schemas.openxmlformats.org/officeDocument/2006/relationships/hyperlink" Target="https://ec.europa.eu/social/main.jsp?catId=1606&amp;langId=en" TargetMode="External"/><Relationship Id="rId42" Type="http://schemas.openxmlformats.org/officeDocument/2006/relationships/hyperlink" Target="http://data.europa.eu/eli/dir/2004/113/oj/deu" TargetMode="External"/><Relationship Id="rId7" Type="http://schemas.openxmlformats.org/officeDocument/2006/relationships/hyperlink" Target="https://taxation-customs.ec.europa.eu/carbon-border-adjustment-mechanism_en" TargetMode="External"/><Relationship Id="rId12" Type="http://schemas.openxmlformats.org/officeDocument/2006/relationships/hyperlink" Target="https://emedien.arbeiterkammer.at/resolver?urn=urn:nbn:at:at-akw:g-5867757" TargetMode="External"/><Relationship Id="rId17" Type="http://schemas.openxmlformats.org/officeDocument/2006/relationships/hyperlink" Target="https://data.europa.eu/doi/10.2767/089698" TargetMode="External"/><Relationship Id="rId25" Type="http://schemas.openxmlformats.org/officeDocument/2006/relationships/hyperlink" Target="https://www.ams.at/regionen/niederoesterreich/news/2020/10/ams-noe-startet-weltweit-erstes-modellprojekt-einer-arbeitsplatz" TargetMode="External"/><Relationship Id="rId33" Type="http://schemas.openxmlformats.org/officeDocument/2006/relationships/hyperlink" Target="https://www.consilium.europa.eu/en/policies/european-disability-card/" TargetMode="External"/><Relationship Id="rId38" Type="http://schemas.openxmlformats.org/officeDocument/2006/relationships/hyperlink" Target="https://ec.europa.eu/social/main.jsp?catId=329&amp;langId=en" TargetMode="External"/><Relationship Id="rId2" Type="http://schemas.openxmlformats.org/officeDocument/2006/relationships/hyperlink" Target="https://www.eea.europa.eu/de/signale/signale-2023/artikel/wasserqualitaet-und-wassermenge-sind-der" TargetMode="External"/><Relationship Id="rId16" Type="http://schemas.openxmlformats.org/officeDocument/2006/relationships/hyperlink" Target="https://health.ec.europa.eu/blood-tissues-cells-and-organs/overview/new-eu-rules-substances-human-origin_en" TargetMode="External"/><Relationship Id="rId20" Type="http://schemas.openxmlformats.org/officeDocument/2006/relationships/hyperlink" Target="https://www.consilium.europa.eu/en/policies/eu-migration-policy/eu-migration-asylum-reform-pact/" TargetMode="External"/><Relationship Id="rId29" Type="http://schemas.openxmlformats.org/officeDocument/2006/relationships/hyperlink" Target="https://www.imk-boeckler.de/data/downloads/IMK/FMM%20Konferenz%202023/v_2023_10_20_oyvat.pdf" TargetMode="External"/><Relationship Id="rId41" Type="http://schemas.openxmlformats.org/officeDocument/2006/relationships/hyperlink" Target="https://commission.europa.eu/strategy-and-policy/policies/justice-and-fundamental-rights/combatting-discrimination/lesbian-gay-bi-trans-and-intersex-equality/lgbtiq-equality-strategy-2020-2025_en" TargetMode="External"/><Relationship Id="rId1" Type="http://schemas.openxmlformats.org/officeDocument/2006/relationships/hyperlink" Target="https://www.europarl.europa.eu/factsheets/de/sheet/34/vergabe-offentlicher-auftrage" TargetMode="External"/><Relationship Id="rId6" Type="http://schemas.openxmlformats.org/officeDocument/2006/relationships/hyperlink" Target="https://www.staedtetag.de/files/dst/docs/Dezernat-1/Europa-und-Internationales/2024/240124-bruesseler-erklaerung-europaeischer-buergermeister_innen.pdf" TargetMode="External"/><Relationship Id="rId11" Type="http://schemas.openxmlformats.org/officeDocument/2006/relationships/hyperlink" Target="http://eur-lex.europa.eu/legal-content/DE/TXT/PDF/?uri=CELEX:32003H0361&amp;from=EN" TargetMode="External"/><Relationship Id="rId24" Type="http://schemas.openxmlformats.org/officeDocument/2006/relationships/hyperlink" Target="https://www.ffg.at/laura-bassi-4.0-digitalisierung-und-chancengerechtigkeit" TargetMode="External"/><Relationship Id="rId32" Type="http://schemas.openxmlformats.org/officeDocument/2006/relationships/hyperlink" Target="https://cn-oesterreich.at/das_Projekt" TargetMode="External"/><Relationship Id="rId37" Type="http://schemas.openxmlformats.org/officeDocument/2006/relationships/hyperlink" Target="https://climate.ec.europa.eu/eu-action/eu-emissions-trading-system-eu-ets/social-climate-fund_en" TargetMode="External"/><Relationship Id="rId40" Type="http://schemas.openxmlformats.org/officeDocument/2006/relationships/hyperlink" Target="https://commission.europa.eu/document/d07e1f1e-3a1f-4d55-add4-a130f26b33e3_en" TargetMode="External"/><Relationship Id="rId5" Type="http://schemas.openxmlformats.org/officeDocument/2006/relationships/hyperlink" Target="https://www.etuc.org/sites/default/files/publication/file/2024-04/Publication%20-%20Fiscal%20Rules%20Report.pdf" TargetMode="External"/><Relationship Id="rId15" Type="http://schemas.openxmlformats.org/officeDocument/2006/relationships/hyperlink" Target="https://www.tn.se/article/33266/miljarder-till-kriminella-sa-ska-det-stoppas/" TargetMode="External"/><Relationship Id="rId23" Type="http://schemas.openxmlformats.org/officeDocument/2006/relationships/hyperlink" Target="https://commission.europa.eu/strategy-and-policy/policies/justice-and-fundamental-rights/rights-child/eu-strategy-rights-child-and-european-child-guarantee_en" TargetMode="External"/><Relationship Id="rId28" Type="http://schemas.openxmlformats.org/officeDocument/2006/relationships/hyperlink" Target="https://eur-lex.europa.eu/legal-content/DE/TXT/HTML/?uri=CELEX%3A32022L2041" TargetMode="External"/><Relationship Id="rId36" Type="http://schemas.openxmlformats.org/officeDocument/2006/relationships/hyperlink" Target="https://www.europarl.europa.eu/factsheets/de/sheet/34/vergabe-offentlicher-auftrage" TargetMode="External"/><Relationship Id="rId10" Type="http://schemas.openxmlformats.org/officeDocument/2006/relationships/hyperlink" Target="https://ec.europa.eu/commission/presscorner/api/files/document/print/en/ip_24_943/IP_24_943_EN.pdf" TargetMode="External"/><Relationship Id="rId19" Type="http://schemas.openxmlformats.org/officeDocument/2006/relationships/hyperlink" Target="https://ec.europa.eu/commission/presscorner/detail/de/ip_22_2654" TargetMode="External"/><Relationship Id="rId31" Type="http://schemas.openxmlformats.org/officeDocument/2006/relationships/hyperlink" Target="https://doi.org/10.1016/j.jdeveco.2015.05.002" TargetMode="External"/><Relationship Id="rId4" Type="http://schemas.openxmlformats.org/officeDocument/2006/relationships/hyperlink" Target="https://water.europa.eu/freshwater/europe-freshwater/water-framework-directive/surface-water-ecological-status-pressures" TargetMode="External"/><Relationship Id="rId9" Type="http://schemas.openxmlformats.org/officeDocument/2006/relationships/hyperlink" Target="https://ec.europa.eu/eurostat/documents/3859598/5925693/KS-02-13-269-EN.PDF.pdf/44cd9d01-bc64-40e5-bd40-d17df0c69334?t=1414781932000" TargetMode="External"/><Relationship Id="rId14" Type="http://schemas.openxmlformats.org/officeDocument/2006/relationships/hyperlink" Target="https://www.svt.se/nyheter/inrikes/vard-och-valfard-ett-nytt-affarsomrade-for-den-organiserade-brottsligheten" TargetMode="External"/><Relationship Id="rId22" Type="http://schemas.openxmlformats.org/officeDocument/2006/relationships/hyperlink" Target="https://www.imf.org/en/Publications/WP/Issues/2023/06/29/Rising-Child-Poverty-in-Europe-Mitigating-the-Scarring-from-the-COVID-19-Pandemic-534331" TargetMode="External"/><Relationship Id="rId27" Type="http://schemas.openxmlformats.org/officeDocument/2006/relationships/hyperlink" Target="https://doi.org/10.2139/ssrn.4752544" TargetMode="External"/><Relationship Id="rId30" Type="http://schemas.openxmlformats.org/officeDocument/2006/relationships/hyperlink" Target="http://segregationeurope.tudelft.nl/" TargetMode="External"/><Relationship Id="rId35" Type="http://schemas.openxmlformats.org/officeDocument/2006/relationships/hyperlink" Target="https://ec.europa.eu/commission/presscorner/detail/en/ip_22_5169" TargetMode="External"/><Relationship Id="rId43" Type="http://schemas.openxmlformats.org/officeDocument/2006/relationships/hyperlink" Target="https://www.ilo.org/de/resource/uebereinkommen-nr-190-ueber-gewalt-und-belaestigung-2019"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26.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29.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4.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6.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8.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9.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40.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C39714EE9230A845A6974633037546BC" ma:contentTypeVersion="9" ma:contentTypeDescription="Ein neues Dokument erstellen." ma:contentTypeScope="" ma:versionID="dddba89d9b84893b24d384ab8d71ac93">
  <xsd:schema xmlns:xsd="http://www.w3.org/2001/XMLSchema" xmlns:xs="http://www.w3.org/2001/XMLSchema" xmlns:p="http://schemas.microsoft.com/office/2006/metadata/properties" xmlns:ns3="95e868bd-a653-4b40-bfd3-5a3bfef5a3b1" xmlns:ns4="2f5410ec-05c7-4615-8b93-1de644dbcd75" targetNamespace="http://schemas.microsoft.com/office/2006/metadata/properties" ma:root="true" ma:fieldsID="2926c837b83256d40d744710091b7fe7" ns3:_="" ns4:_="">
    <xsd:import namespace="95e868bd-a653-4b40-bfd3-5a3bfef5a3b1"/>
    <xsd:import namespace="2f5410ec-05c7-4615-8b93-1de644dbcd75"/>
    <xsd:element name="properties">
      <xsd:complexType>
        <xsd:sequence>
          <xsd:element name="documentManagement">
            <xsd:complexType>
              <xsd:all>
                <xsd:element ref="ns3:MediaServiceMetadata" minOccurs="0"/>
                <xsd:element ref="ns3:MediaServiceFastMetadata" minOccurs="0"/>
                <xsd:element ref="ns3:MediaServiceSearchProperties" minOccurs="0"/>
                <xsd:element ref="ns3:MediaServiceObjectDetectorVersions" minOccurs="0"/>
                <xsd:element ref="ns4:SharedWithUsers" minOccurs="0"/>
                <xsd:element ref="ns4:SharedWithDetails" minOccurs="0"/>
                <xsd:element ref="ns4:SharingHintHash" minOccurs="0"/>
                <xsd:element ref="ns3:MediaServiceDateTaken"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e868bd-a653-4b40-bfd3-5a3bfef5a3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_activity" ma:index="16"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f5410ec-05c7-4615-8b93-1de644dbcd75" elementFormDefault="qualified">
    <xsd:import namespace="http://schemas.microsoft.com/office/2006/documentManagement/types"/>
    <xsd:import namespace="http://schemas.microsoft.com/office/infopath/2007/PartnerControls"/>
    <xsd:element name="SharedWithUsers" ma:index="1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internalName="SharedWithDetails" ma:readOnly="true">
      <xsd:simpleType>
        <xsd:restriction base="dms:Note">
          <xsd:maxLength value="255"/>
        </xsd:restriction>
      </xsd:simpleType>
    </xsd:element>
    <xsd:element name="SharingHintHash" ma:index="14"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95e868bd-a653-4b40-bfd3-5a3bfef5a3b1" xsi:nil="true"/>
  </documentManagement>
</p:properties>
</file>

<file path=customXml/itemProps1.xml><?xml version="1.0" encoding="utf-8"?>
<ds:datastoreItem xmlns:ds="http://schemas.openxmlformats.org/officeDocument/2006/customXml" ds:itemID="{363490CA-8709-4CB8-BAFE-334FA0CA5F3B}">
  <ds:schemaRefs>
    <ds:schemaRef ds:uri="http://schemas.openxmlformats.org/officeDocument/2006/bibliography"/>
  </ds:schemaRefs>
</ds:datastoreItem>
</file>

<file path=customXml/itemProps2.xml><?xml version="1.0" encoding="utf-8"?>
<ds:datastoreItem xmlns:ds="http://schemas.openxmlformats.org/officeDocument/2006/customXml" ds:itemID="{75927D96-6CD3-4851-8A0F-25DD316D79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5e868bd-a653-4b40-bfd3-5a3bfef5a3b1"/>
    <ds:schemaRef ds:uri="2f5410ec-05c7-4615-8b93-1de644dbcd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B455B22-42D2-4DDC-A617-57700627B55E}">
  <ds:schemaRefs>
    <ds:schemaRef ds:uri="http://schemas.microsoft.com/sharepoint/v3/contenttype/forms"/>
  </ds:schemaRefs>
</ds:datastoreItem>
</file>

<file path=customXml/itemProps4.xml><?xml version="1.0" encoding="utf-8"?>
<ds:datastoreItem xmlns:ds="http://schemas.openxmlformats.org/officeDocument/2006/customXml" ds:itemID="{95EAD50C-0373-46F6-AFBD-FB5D0CDDF497}">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2f5410ec-05c7-4615-8b93-1de644dbcd75"/>
    <ds:schemaRef ds:uri="95e868bd-a653-4b40-bfd3-5a3bfef5a3b1"/>
    <ds:schemaRef ds:uri="http://purl.org/dc/terms/"/>
    <ds:schemaRef ds:uri="http://schemas.openxmlformats.org/package/2006/metadata/core-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231</Pages>
  <Words>80324</Words>
  <Characters>506042</Characters>
  <Application>Microsoft Office Word</Application>
  <DocSecurity>0</DocSecurity>
  <Lines>4217</Lines>
  <Paragraphs>1170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585196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Katharina Gmeiner</dc:creator>
  <cp:keywords/>
  <dc:description/>
  <cp:lastModifiedBy>Katharina Gmeiner</cp:lastModifiedBy>
  <cp:revision>2</cp:revision>
  <dcterms:created xsi:type="dcterms:W3CDTF">2024-07-08T11:49:00Z</dcterms:created>
  <dcterms:modified xsi:type="dcterms:W3CDTF">2024-07-08T11:49:00Z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0x010100C39714EE9230A845A6974633037546BC</vt:lpwstr>
  </property>
</Properties>
</file>