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6.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93019F8" w14:textId="5CB97AA3" w:rsidR="00AB3D08" w:rsidRDefault="00AB3D08" w:rsidP="00232AA4">
      <w:pPr>
        <w:rPr>
          <w:rFonts w:ascii="Aptos" w:hAnsi="Aptos"/>
        </w:rPr>
      </w:pPr>
    </w:p>
    <w:p w14:paraId="391923B1" w14:textId="77777777" w:rsidR="00907CDF" w:rsidRDefault="00907CDF" w:rsidP="00232AA4">
      <w:pPr>
        <w:rPr>
          <w:rFonts w:ascii="Aptos" w:hAnsi="Aptos"/>
        </w:rPr>
      </w:pPr>
    </w:p>
    <w:p w14:paraId="500B7F12" w14:textId="77777777" w:rsidR="00907CDF" w:rsidRDefault="00907CDF" w:rsidP="00232AA4">
      <w:pPr>
        <w:rPr>
          <w:rFonts w:ascii="Aptos" w:hAnsi="Aptos"/>
        </w:rPr>
      </w:pPr>
    </w:p>
    <w:p w14:paraId="55A08A6B" w14:textId="77777777" w:rsidR="00907CDF" w:rsidRDefault="00907CDF" w:rsidP="00232AA4">
      <w:pPr>
        <w:rPr>
          <w:rFonts w:ascii="Aptos" w:hAnsi="Aptos"/>
        </w:rPr>
      </w:pPr>
    </w:p>
    <w:p w14:paraId="75A1E5F7" w14:textId="298828B3" w:rsidR="00907CDF" w:rsidRDefault="00562639" w:rsidP="00232AA4">
      <w:pPr>
        <w:rPr>
          <w:rFonts w:ascii="Aptos" w:hAnsi="Aptos"/>
        </w:rPr>
      </w:pPr>
      <w:r w:rsidRPr="007A1DB2">
        <w:rPr>
          <w:noProof/>
          <w:color w:val="808080" w:themeColor="background1" w:themeShade="80"/>
        </w:rPr>
        <w:drawing>
          <wp:anchor distT="0" distB="0" distL="114300" distR="114300" simplePos="0" relativeHeight="251661312" behindDoc="0" locked="0" layoutInCell="1" allowOverlap="1" wp14:anchorId="678E2B46" wp14:editId="541F0AE0">
            <wp:simplePos x="0" y="0"/>
            <wp:positionH relativeFrom="margin">
              <wp:posOffset>0</wp:posOffset>
            </wp:positionH>
            <wp:positionV relativeFrom="paragraph">
              <wp:posOffset>180340</wp:posOffset>
            </wp:positionV>
            <wp:extent cx="3931721" cy="752488"/>
            <wp:effectExtent l="0" t="0" r="0" b="0"/>
            <wp:wrapThrough wrapText="bothSides">
              <wp:wrapPolygon edited="0">
                <wp:start x="0" y="0"/>
                <wp:lineTo x="0" y="20780"/>
                <wp:lineTo x="21457" y="20780"/>
                <wp:lineTo x="21457" y="0"/>
                <wp:lineTo x="0" y="0"/>
              </wp:wrapPolygon>
            </wp:wrapThrough>
            <wp:docPr id="2132985721" name="Grafik 2132985721"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ClipArt enthält.&#10;&#10;Automatisch generierte Beschreibu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931721" cy="752488"/>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65582CF" w14:textId="4FECE192" w:rsidR="00562639" w:rsidRDefault="00562639" w:rsidP="00232AA4">
      <w:pPr>
        <w:rPr>
          <w:rFonts w:ascii="Aptos" w:hAnsi="Aptos"/>
        </w:rPr>
      </w:pPr>
    </w:p>
    <w:p w14:paraId="47CEDF6B" w14:textId="28E441C0" w:rsidR="00562639" w:rsidRPr="00562639" w:rsidRDefault="00562639" w:rsidP="00562639">
      <w:pPr>
        <w:spacing w:before="1540" w:after="240"/>
        <w:rPr>
          <w:rFonts w:eastAsiaTheme="minorEastAsia"/>
          <w:color w:val="4472C4" w:themeColor="accent1"/>
          <w:sz w:val="22"/>
          <w:szCs w:val="22"/>
          <w:lang w:eastAsia="de-AT"/>
        </w:rPr>
      </w:pPr>
      <w:r w:rsidRPr="00562639">
        <w:rPr>
          <w:rFonts w:ascii="Aptos" w:eastAsiaTheme="minorEastAsia" w:hAnsi="Aptos" w:cstheme="minorHAnsi"/>
          <w:noProof/>
          <w:color w:val="808080" w:themeColor="background1" w:themeShade="80"/>
          <w:sz w:val="18"/>
          <w:szCs w:val="18"/>
          <w:lang w:eastAsia="de-AT"/>
        </w:rPr>
        <w:drawing>
          <wp:anchor distT="0" distB="0" distL="114300" distR="114300" simplePos="0" relativeHeight="251658240" behindDoc="0" locked="0" layoutInCell="1" allowOverlap="1" wp14:anchorId="41970EB9" wp14:editId="49A1772C">
            <wp:simplePos x="0" y="0"/>
            <wp:positionH relativeFrom="margin">
              <wp:posOffset>33020</wp:posOffset>
            </wp:positionH>
            <wp:positionV relativeFrom="margin">
              <wp:posOffset>1766570</wp:posOffset>
            </wp:positionV>
            <wp:extent cx="3498215" cy="685800"/>
            <wp:effectExtent l="0" t="0" r="0" b="0"/>
            <wp:wrapSquare wrapText="bothSides"/>
            <wp:docPr id="276306947" name="Grafik 2" descr="Ein Bild, das Text, Schrift, Grafiken,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3649" name="Grafik 2" descr="Ein Bild, das Text, Schrift, Grafiken, Screenshot enthält.&#10;&#10;Automatisch generierte Beschreibu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498215" cy="685800"/>
                    </a:xfrm>
                    <a:prstGeom prst="rect">
                      <a:avLst/>
                    </a:prstGeom>
                  </pic:spPr>
                </pic:pic>
              </a:graphicData>
            </a:graphic>
            <wp14:sizeRelH relativeFrom="margin">
              <wp14:pctWidth>0</wp14:pctWidth>
            </wp14:sizeRelH>
            <wp14:sizeRelV relativeFrom="margin">
              <wp14:pctHeight>0</wp14:pctHeight>
            </wp14:sizeRelV>
          </wp:anchor>
        </w:drawing>
      </w:r>
    </w:p>
    <w:p w14:paraId="665DED20" w14:textId="77777777" w:rsidR="00562639" w:rsidRPr="00562639" w:rsidRDefault="00562639" w:rsidP="00562639">
      <w:pPr>
        <w:rPr>
          <w:rFonts w:ascii="Aptos" w:hAnsi="Aptos" w:cstheme="minorHAnsi"/>
          <w:b/>
          <w:bCs/>
          <w:spacing w:val="20"/>
          <w:sz w:val="22"/>
          <w:szCs w:val="22"/>
          <w:lang w:val="en-US"/>
        </w:rPr>
      </w:pPr>
    </w:p>
    <w:p w14:paraId="3C5EDBFC" w14:textId="77777777" w:rsidR="00562639" w:rsidRPr="00562639" w:rsidRDefault="00562639" w:rsidP="00562639">
      <w:pPr>
        <w:rPr>
          <w:rFonts w:ascii="Aptos" w:hAnsi="Aptos" w:cstheme="minorHAnsi"/>
          <w:b/>
          <w:bCs/>
          <w:spacing w:val="20"/>
          <w:sz w:val="22"/>
          <w:szCs w:val="22"/>
        </w:rPr>
      </w:pPr>
      <w:r w:rsidRPr="00562639">
        <w:rPr>
          <w:rFonts w:ascii="Aptos" w:hAnsi="Aptos" w:cstheme="minorHAnsi"/>
          <w:b/>
          <w:bCs/>
          <w:spacing w:val="20"/>
          <w:sz w:val="22"/>
          <w:szCs w:val="22"/>
        </w:rPr>
        <w:t>Vorbereitung für die</w:t>
      </w:r>
    </w:p>
    <w:p w14:paraId="1E2A39F3" w14:textId="77777777" w:rsidR="00562639" w:rsidRPr="00562639" w:rsidRDefault="00562639" w:rsidP="00562639">
      <w:pPr>
        <w:spacing w:before="120"/>
        <w:rPr>
          <w:rFonts w:ascii="Aptos" w:hAnsi="Aptos"/>
          <w:sz w:val="22"/>
          <w:szCs w:val="22"/>
        </w:rPr>
      </w:pPr>
      <w:r w:rsidRPr="00562639">
        <w:rPr>
          <w:rFonts w:ascii="Aptos" w:hAnsi="Aptos" w:cstheme="minorHAnsi"/>
          <w:b/>
          <w:bCs/>
          <w:color w:val="DC2A1B"/>
          <w:spacing w:val="60"/>
          <w:sz w:val="32"/>
          <w:szCs w:val="32"/>
        </w:rPr>
        <w:t>Hearings der designierten EU-Kommissare nach den EU-Wahlen im Herbst</w:t>
      </w:r>
    </w:p>
    <w:p w14:paraId="54FDEC3A" w14:textId="44C12626" w:rsidR="00562639" w:rsidRPr="00562639" w:rsidRDefault="00562639" w:rsidP="00562639">
      <w:pPr>
        <w:rPr>
          <w:rFonts w:cstheme="minorHAnsi"/>
          <w:color w:val="A6A6A6" w:themeColor="background1" w:themeShade="A6"/>
          <w:spacing w:val="20"/>
        </w:rPr>
      </w:pPr>
      <w:r w:rsidRPr="00562639">
        <w:rPr>
          <w:rFonts w:ascii="Aptos" w:hAnsi="Aptos" w:cstheme="minorHAnsi"/>
          <w:color w:val="A6A6A6" w:themeColor="background1" w:themeShade="A6"/>
          <w:spacing w:val="20"/>
        </w:rPr>
        <w:t>Ausarbeitung von Fragen aus dem Bereich</w:t>
      </w:r>
      <w:r w:rsidR="002233B9">
        <w:rPr>
          <w:rFonts w:ascii="Aptos" w:hAnsi="Aptos" w:cstheme="minorHAnsi"/>
          <w:color w:val="A6A6A6" w:themeColor="background1" w:themeShade="A6"/>
          <w:spacing w:val="20"/>
        </w:rPr>
        <w:t xml:space="preserve"> Wohnen</w:t>
      </w:r>
    </w:p>
    <w:p w14:paraId="2C5C5BD1" w14:textId="77777777" w:rsidR="00562639" w:rsidRPr="00562639" w:rsidRDefault="00562639" w:rsidP="00562639">
      <w:pPr>
        <w:rPr>
          <w:rFonts w:cstheme="minorHAnsi"/>
          <w:color w:val="A6A6A6" w:themeColor="background1" w:themeShade="A6"/>
          <w:spacing w:val="20"/>
        </w:rPr>
      </w:pPr>
    </w:p>
    <w:p w14:paraId="6E3B263B" w14:textId="77777777" w:rsidR="00562639" w:rsidRPr="00562639" w:rsidRDefault="00562639" w:rsidP="00562639">
      <w:pPr>
        <w:rPr>
          <w:rFonts w:cstheme="minorHAnsi"/>
          <w:spacing w:val="20"/>
          <w:sz w:val="22"/>
          <w:szCs w:val="22"/>
        </w:rPr>
      </w:pPr>
    </w:p>
    <w:p w14:paraId="6E36A64F" w14:textId="47A2121E" w:rsidR="00562639" w:rsidRPr="00562639" w:rsidRDefault="00562639" w:rsidP="00562639">
      <w:pPr>
        <w:rPr>
          <w:rFonts w:ascii="Aptos" w:hAnsi="Aptos" w:cstheme="minorHAnsi"/>
          <w:spacing w:val="20"/>
          <w:sz w:val="22"/>
          <w:szCs w:val="22"/>
        </w:rPr>
      </w:pPr>
      <w:r w:rsidRPr="00562639">
        <w:rPr>
          <w:rFonts w:ascii="Aptos" w:hAnsi="Aptos" w:cstheme="minorHAnsi"/>
          <w:spacing w:val="20"/>
          <w:sz w:val="22"/>
          <w:szCs w:val="22"/>
        </w:rPr>
        <w:t xml:space="preserve">Wien, </w:t>
      </w:r>
      <w:r w:rsidR="0049203A">
        <w:rPr>
          <w:rFonts w:ascii="Aptos" w:hAnsi="Aptos" w:cstheme="minorHAnsi"/>
          <w:spacing w:val="20"/>
          <w:sz w:val="22"/>
          <w:szCs w:val="22"/>
        </w:rPr>
        <w:t>04</w:t>
      </w:r>
      <w:r w:rsidRPr="00562639">
        <w:rPr>
          <w:rFonts w:ascii="Aptos" w:hAnsi="Aptos" w:cstheme="minorHAnsi"/>
          <w:spacing w:val="20"/>
          <w:sz w:val="22"/>
          <w:szCs w:val="22"/>
        </w:rPr>
        <w:t>.0</w:t>
      </w:r>
      <w:r w:rsidR="0049203A">
        <w:rPr>
          <w:rFonts w:ascii="Aptos" w:hAnsi="Aptos" w:cstheme="minorHAnsi"/>
          <w:spacing w:val="20"/>
          <w:sz w:val="22"/>
          <w:szCs w:val="22"/>
        </w:rPr>
        <w:t>7</w:t>
      </w:r>
      <w:r w:rsidRPr="00562639">
        <w:rPr>
          <w:rFonts w:ascii="Aptos" w:hAnsi="Aptos" w:cstheme="minorHAnsi"/>
          <w:spacing w:val="20"/>
          <w:sz w:val="22"/>
          <w:szCs w:val="22"/>
        </w:rPr>
        <w:t>.2024</w:t>
      </w:r>
    </w:p>
    <w:p w14:paraId="13CA2340" w14:textId="77777777" w:rsidR="00907CDF" w:rsidRDefault="00907CDF" w:rsidP="00232AA4">
      <w:pPr>
        <w:rPr>
          <w:rFonts w:ascii="Aptos" w:hAnsi="Aptos"/>
        </w:rPr>
      </w:pPr>
    </w:p>
    <w:p w14:paraId="22B8FA88" w14:textId="77777777" w:rsidR="00907CDF" w:rsidRDefault="00907CDF" w:rsidP="00232AA4">
      <w:pPr>
        <w:rPr>
          <w:rFonts w:ascii="Aptos" w:hAnsi="Aptos"/>
        </w:rPr>
      </w:pPr>
    </w:p>
    <w:p w14:paraId="3A15D0F9" w14:textId="77777777" w:rsidR="00907CDF" w:rsidRDefault="00907CDF" w:rsidP="00232AA4">
      <w:pPr>
        <w:rPr>
          <w:rFonts w:ascii="Aptos" w:hAnsi="Aptos"/>
        </w:rPr>
      </w:pPr>
    </w:p>
    <w:p w14:paraId="50865216" w14:textId="77777777" w:rsidR="00907CDF" w:rsidRDefault="00907CDF" w:rsidP="00232AA4">
      <w:pPr>
        <w:rPr>
          <w:rFonts w:ascii="Aptos" w:hAnsi="Aptos"/>
        </w:rPr>
      </w:pPr>
    </w:p>
    <w:p w14:paraId="6AAD6BD6" w14:textId="77777777" w:rsidR="00907CDF" w:rsidRDefault="00907CDF" w:rsidP="00232AA4">
      <w:pPr>
        <w:rPr>
          <w:rFonts w:ascii="Aptos" w:hAnsi="Aptos"/>
        </w:rPr>
      </w:pPr>
    </w:p>
    <w:p w14:paraId="49BA0B89" w14:textId="77777777" w:rsidR="00907CDF" w:rsidRDefault="00907CDF" w:rsidP="00232AA4">
      <w:pPr>
        <w:rPr>
          <w:rFonts w:ascii="Aptos" w:hAnsi="Aptos"/>
        </w:rPr>
      </w:pPr>
    </w:p>
    <w:p w14:paraId="5C7496FF" w14:textId="77777777" w:rsidR="00907CDF" w:rsidRDefault="00907CDF" w:rsidP="00232AA4">
      <w:pPr>
        <w:rPr>
          <w:rFonts w:ascii="Aptos" w:hAnsi="Aptos"/>
        </w:rPr>
      </w:pPr>
    </w:p>
    <w:p w14:paraId="2A3EC2D0" w14:textId="77777777" w:rsidR="00907CDF" w:rsidRDefault="00907CDF" w:rsidP="00232AA4">
      <w:pPr>
        <w:rPr>
          <w:rFonts w:ascii="Aptos" w:hAnsi="Aptos"/>
        </w:rPr>
      </w:pPr>
    </w:p>
    <w:p w14:paraId="3FCBB5F0" w14:textId="77777777" w:rsidR="00907CDF" w:rsidRDefault="00907CDF" w:rsidP="00232AA4">
      <w:pPr>
        <w:rPr>
          <w:rFonts w:ascii="Aptos" w:hAnsi="Aptos"/>
        </w:rPr>
      </w:pPr>
    </w:p>
    <w:p w14:paraId="404DF4A1" w14:textId="77777777" w:rsidR="00907CDF" w:rsidRDefault="00907CDF" w:rsidP="00232AA4">
      <w:pPr>
        <w:rPr>
          <w:rFonts w:ascii="Aptos" w:hAnsi="Aptos"/>
        </w:rPr>
      </w:pPr>
    </w:p>
    <w:p w14:paraId="0CB77A46" w14:textId="77777777" w:rsidR="00907CDF" w:rsidRDefault="00907CDF" w:rsidP="00232AA4">
      <w:pPr>
        <w:rPr>
          <w:rFonts w:ascii="Aptos" w:hAnsi="Aptos"/>
        </w:rPr>
      </w:pPr>
    </w:p>
    <w:p w14:paraId="5D6C3277" w14:textId="77777777" w:rsidR="00907CDF" w:rsidRDefault="00907CDF" w:rsidP="00232AA4">
      <w:pPr>
        <w:rPr>
          <w:rFonts w:ascii="Aptos" w:hAnsi="Aptos"/>
        </w:rPr>
      </w:pPr>
    </w:p>
    <w:p w14:paraId="0EEC381B" w14:textId="77777777" w:rsidR="00907CDF" w:rsidRDefault="00907CDF" w:rsidP="00232AA4">
      <w:pPr>
        <w:rPr>
          <w:rFonts w:ascii="Aptos" w:hAnsi="Aptos"/>
        </w:rPr>
      </w:pPr>
    </w:p>
    <w:p w14:paraId="5425BCDC" w14:textId="77777777" w:rsidR="00907CDF" w:rsidRDefault="00907CDF" w:rsidP="00232AA4">
      <w:pPr>
        <w:rPr>
          <w:rFonts w:ascii="Aptos" w:hAnsi="Aptos"/>
        </w:rPr>
      </w:pPr>
    </w:p>
    <w:p w14:paraId="7A050AB7" w14:textId="77777777" w:rsidR="00907CDF" w:rsidRDefault="00907CDF" w:rsidP="00232AA4">
      <w:pPr>
        <w:rPr>
          <w:rFonts w:ascii="Aptos" w:hAnsi="Aptos"/>
        </w:rPr>
      </w:pPr>
    </w:p>
    <w:p w14:paraId="73637645" w14:textId="77777777" w:rsidR="00907CDF" w:rsidRDefault="00907CDF" w:rsidP="00232AA4">
      <w:pPr>
        <w:rPr>
          <w:rFonts w:ascii="Aptos" w:hAnsi="Aptos"/>
        </w:rPr>
      </w:pPr>
    </w:p>
    <w:p w14:paraId="783BE60F" w14:textId="77777777" w:rsidR="00907CDF" w:rsidRDefault="00907CDF" w:rsidP="00232AA4">
      <w:pPr>
        <w:rPr>
          <w:rFonts w:ascii="Aptos" w:hAnsi="Aptos"/>
        </w:rPr>
      </w:pPr>
    </w:p>
    <w:p w14:paraId="6A1391B1" w14:textId="77777777" w:rsidR="00907CDF" w:rsidRDefault="00907CDF" w:rsidP="00232AA4">
      <w:pPr>
        <w:rPr>
          <w:rFonts w:ascii="Aptos" w:hAnsi="Aptos"/>
        </w:rPr>
      </w:pPr>
    </w:p>
    <w:p w14:paraId="3B9C8928" w14:textId="77777777" w:rsidR="00907CDF" w:rsidRDefault="00907CDF" w:rsidP="00232AA4">
      <w:pPr>
        <w:rPr>
          <w:rFonts w:ascii="Aptos" w:hAnsi="Aptos"/>
        </w:rPr>
      </w:pPr>
    </w:p>
    <w:p w14:paraId="503E97A5" w14:textId="77777777" w:rsidR="00907CDF" w:rsidRDefault="00907CDF" w:rsidP="00232AA4">
      <w:pPr>
        <w:rPr>
          <w:rFonts w:ascii="Aptos" w:hAnsi="Aptos"/>
        </w:rPr>
      </w:pPr>
    </w:p>
    <w:p w14:paraId="6AFDC36E" w14:textId="77777777" w:rsidR="00907CDF" w:rsidRDefault="00907CDF" w:rsidP="00232AA4">
      <w:pPr>
        <w:rPr>
          <w:rFonts w:ascii="Aptos" w:hAnsi="Aptos"/>
        </w:rPr>
      </w:pPr>
    </w:p>
    <w:p w14:paraId="29E820B7" w14:textId="77777777" w:rsidR="00907CDF" w:rsidRDefault="00907CDF" w:rsidP="00232AA4">
      <w:pPr>
        <w:rPr>
          <w:rFonts w:ascii="Aptos" w:hAnsi="Aptos"/>
        </w:rPr>
      </w:pPr>
    </w:p>
    <w:p w14:paraId="1048C114" w14:textId="77777777" w:rsidR="00907CDF" w:rsidRDefault="00907CDF" w:rsidP="00232AA4">
      <w:pPr>
        <w:rPr>
          <w:rFonts w:ascii="Aptos" w:hAnsi="Aptos"/>
        </w:rPr>
      </w:pPr>
    </w:p>
    <w:p w14:paraId="6BB73029" w14:textId="77777777" w:rsidR="00907CDF" w:rsidRDefault="00907CDF" w:rsidP="00232AA4">
      <w:pPr>
        <w:rPr>
          <w:rFonts w:ascii="Aptos" w:hAnsi="Aptos"/>
        </w:rPr>
      </w:pPr>
    </w:p>
    <w:p w14:paraId="654425D1" w14:textId="77777777" w:rsidR="00907CDF" w:rsidRPr="00CD3D28" w:rsidRDefault="00907CDF" w:rsidP="00232AA4">
      <w:pPr>
        <w:rPr>
          <w:rFonts w:ascii="Aptos" w:hAnsi="Aptos"/>
        </w:rPr>
      </w:pPr>
    </w:p>
    <w:sdt>
      <w:sdtPr>
        <w:rPr>
          <w:rFonts w:ascii="Aptos" w:eastAsiaTheme="majorEastAsia" w:hAnsi="Aptos" w:cstheme="majorBidi"/>
          <w:b/>
          <w:color w:val="E4342D"/>
          <w:szCs w:val="32"/>
          <w:lang w:val="de-DE"/>
        </w:rPr>
        <w:id w:val="1905490109"/>
        <w:docPartObj>
          <w:docPartGallery w:val="Table of Contents"/>
          <w:docPartUnique/>
        </w:docPartObj>
      </w:sdtPr>
      <w:sdtEndPr>
        <w:rPr>
          <w:rFonts w:asciiTheme="minorHAnsi" w:eastAsiaTheme="minorHAnsi" w:hAnsiTheme="minorHAnsi" w:cstheme="minorBidi"/>
          <w:b w:val="0"/>
          <w:color w:val="auto"/>
          <w:szCs w:val="24"/>
        </w:rPr>
      </w:sdtEndPr>
      <w:sdtContent>
        <w:p w14:paraId="5CC98123" w14:textId="77777777" w:rsidR="00EC3FAA" w:rsidRDefault="00EC3FAA" w:rsidP="00185F39">
          <w:pPr>
            <w:pStyle w:val="NoSpacing"/>
            <w:rPr>
              <w:rFonts w:ascii="Aptos" w:eastAsiaTheme="majorEastAsia" w:hAnsi="Aptos" w:cstheme="majorBidi"/>
              <w:b/>
              <w:color w:val="E4342D"/>
              <w:szCs w:val="32"/>
              <w:lang w:val="de-DE"/>
            </w:rPr>
          </w:pPr>
        </w:p>
        <w:p w14:paraId="56859E18" w14:textId="398C774C" w:rsidR="00781939" w:rsidRPr="00562639" w:rsidRDefault="00781939" w:rsidP="00185F39">
          <w:pPr>
            <w:pStyle w:val="NoSpacing"/>
            <w:rPr>
              <w:rFonts w:ascii="Aptos" w:hAnsi="Aptos"/>
              <w:b/>
              <w:bCs/>
              <w:color w:val="FF0000"/>
              <w:sz w:val="32"/>
              <w:szCs w:val="32"/>
            </w:rPr>
          </w:pPr>
          <w:r w:rsidRPr="00562639">
            <w:rPr>
              <w:rFonts w:ascii="Aptos" w:hAnsi="Aptos"/>
              <w:b/>
              <w:bCs/>
              <w:color w:val="FF0000"/>
              <w:sz w:val="32"/>
              <w:szCs w:val="32"/>
            </w:rPr>
            <w:t>Inhalt</w:t>
          </w:r>
          <w:r w:rsidR="00EC3FAA" w:rsidRPr="00562639">
            <w:rPr>
              <w:rFonts w:ascii="Aptos" w:hAnsi="Aptos"/>
              <w:b/>
              <w:bCs/>
              <w:color w:val="FF0000"/>
              <w:sz w:val="32"/>
              <w:szCs w:val="32"/>
            </w:rPr>
            <w:t>sverzeichnis</w:t>
          </w:r>
        </w:p>
        <w:p w14:paraId="21FD1C2E" w14:textId="77777777" w:rsidR="00185F39" w:rsidRPr="00185F39" w:rsidRDefault="00185F39" w:rsidP="00185F39">
          <w:pPr>
            <w:pStyle w:val="NoSpacing"/>
            <w:rPr>
              <w:b/>
              <w:bCs/>
              <w:color w:val="FF0000"/>
            </w:rPr>
          </w:pPr>
        </w:p>
        <w:p w14:paraId="3DA261F0" w14:textId="35AAE61B" w:rsidR="007E704C" w:rsidRDefault="00781939">
          <w:pPr>
            <w:pStyle w:val="TOC1"/>
            <w:tabs>
              <w:tab w:val="right" w:leader="dot" w:pos="9060"/>
            </w:tabs>
            <w:rPr>
              <w:rFonts w:eastAsiaTheme="minorEastAsia"/>
              <w:noProof/>
              <w:kern w:val="2"/>
              <w:sz w:val="22"/>
              <w:szCs w:val="22"/>
              <w:lang w:eastAsia="de-AT"/>
              <w14:ligatures w14:val="standardContextual"/>
            </w:rPr>
          </w:pPr>
          <w:r>
            <w:fldChar w:fldCharType="begin"/>
          </w:r>
          <w:r>
            <w:instrText xml:space="preserve"> TOC \o "1-3" \h \z \u </w:instrText>
          </w:r>
          <w:r>
            <w:fldChar w:fldCharType="separate"/>
          </w:r>
          <w:hyperlink w:anchor="_Toc170377492" w:history="1">
            <w:r w:rsidR="007E704C" w:rsidRPr="009F38C3">
              <w:rPr>
                <w:rStyle w:val="Hyperlink"/>
                <w:noProof/>
              </w:rPr>
              <w:t>Arbeitsbedingungen in der Bauwirtschaft</w:t>
            </w:r>
            <w:r w:rsidR="007E704C">
              <w:rPr>
                <w:noProof/>
                <w:webHidden/>
              </w:rPr>
              <w:tab/>
            </w:r>
            <w:r w:rsidR="007E704C">
              <w:rPr>
                <w:noProof/>
                <w:webHidden/>
              </w:rPr>
              <w:fldChar w:fldCharType="begin"/>
            </w:r>
            <w:r w:rsidR="007E704C">
              <w:rPr>
                <w:noProof/>
                <w:webHidden/>
              </w:rPr>
              <w:instrText xml:space="preserve"> PAGEREF _Toc170377492 \h </w:instrText>
            </w:r>
            <w:r w:rsidR="007E704C">
              <w:rPr>
                <w:noProof/>
                <w:webHidden/>
              </w:rPr>
            </w:r>
            <w:r w:rsidR="007E704C">
              <w:rPr>
                <w:noProof/>
                <w:webHidden/>
              </w:rPr>
              <w:fldChar w:fldCharType="separate"/>
            </w:r>
            <w:r w:rsidR="007E704C">
              <w:rPr>
                <w:noProof/>
                <w:webHidden/>
              </w:rPr>
              <w:t>3</w:t>
            </w:r>
            <w:r w:rsidR="007E704C">
              <w:rPr>
                <w:noProof/>
                <w:webHidden/>
              </w:rPr>
              <w:fldChar w:fldCharType="end"/>
            </w:r>
          </w:hyperlink>
        </w:p>
        <w:p w14:paraId="199417EC" w14:textId="75BEC434" w:rsidR="007E704C" w:rsidRDefault="00000000">
          <w:pPr>
            <w:pStyle w:val="TOC1"/>
            <w:tabs>
              <w:tab w:val="right" w:leader="dot" w:pos="9060"/>
            </w:tabs>
            <w:rPr>
              <w:rFonts w:eastAsiaTheme="minorEastAsia"/>
              <w:noProof/>
              <w:kern w:val="2"/>
              <w:sz w:val="22"/>
              <w:szCs w:val="22"/>
              <w:lang w:eastAsia="de-AT"/>
              <w14:ligatures w14:val="standardContextual"/>
            </w:rPr>
          </w:pPr>
          <w:hyperlink w:anchor="_Toc170377493" w:history="1">
            <w:r w:rsidR="007E704C" w:rsidRPr="009F38C3">
              <w:rPr>
                <w:rStyle w:val="Hyperlink"/>
                <w:noProof/>
              </w:rPr>
              <w:t>Gemeinnütziger Wohnungsbau als Inflationsbekämpfung</w:t>
            </w:r>
            <w:r w:rsidR="007E704C">
              <w:rPr>
                <w:noProof/>
                <w:webHidden/>
              </w:rPr>
              <w:tab/>
            </w:r>
            <w:r w:rsidR="007E704C">
              <w:rPr>
                <w:noProof/>
                <w:webHidden/>
              </w:rPr>
              <w:fldChar w:fldCharType="begin"/>
            </w:r>
            <w:r w:rsidR="007E704C">
              <w:rPr>
                <w:noProof/>
                <w:webHidden/>
              </w:rPr>
              <w:instrText xml:space="preserve"> PAGEREF _Toc170377493 \h </w:instrText>
            </w:r>
            <w:r w:rsidR="007E704C">
              <w:rPr>
                <w:noProof/>
                <w:webHidden/>
              </w:rPr>
            </w:r>
            <w:r w:rsidR="007E704C">
              <w:rPr>
                <w:noProof/>
                <w:webHidden/>
              </w:rPr>
              <w:fldChar w:fldCharType="separate"/>
            </w:r>
            <w:r w:rsidR="007E704C">
              <w:rPr>
                <w:noProof/>
                <w:webHidden/>
              </w:rPr>
              <w:t>4</w:t>
            </w:r>
            <w:r w:rsidR="007E704C">
              <w:rPr>
                <w:noProof/>
                <w:webHidden/>
              </w:rPr>
              <w:fldChar w:fldCharType="end"/>
            </w:r>
          </w:hyperlink>
        </w:p>
        <w:p w14:paraId="61667A25" w14:textId="0AEE351D" w:rsidR="007E704C" w:rsidRDefault="00000000">
          <w:pPr>
            <w:pStyle w:val="TOC1"/>
            <w:tabs>
              <w:tab w:val="right" w:leader="dot" w:pos="9060"/>
            </w:tabs>
            <w:rPr>
              <w:rFonts w:eastAsiaTheme="minorEastAsia"/>
              <w:noProof/>
              <w:kern w:val="2"/>
              <w:sz w:val="22"/>
              <w:szCs w:val="22"/>
              <w:lang w:eastAsia="de-AT"/>
              <w14:ligatures w14:val="standardContextual"/>
            </w:rPr>
          </w:pPr>
          <w:hyperlink w:anchor="_Toc170377494" w:history="1">
            <w:r w:rsidR="007E704C" w:rsidRPr="009F38C3">
              <w:rPr>
                <w:rStyle w:val="Hyperlink"/>
                <w:noProof/>
              </w:rPr>
              <w:t>Rahmenbedingungen für gemeinnützige Akteure am Wohnungsmarkt</w:t>
            </w:r>
            <w:r w:rsidR="007E704C">
              <w:rPr>
                <w:noProof/>
                <w:webHidden/>
              </w:rPr>
              <w:tab/>
            </w:r>
            <w:r w:rsidR="007E704C">
              <w:rPr>
                <w:noProof/>
                <w:webHidden/>
              </w:rPr>
              <w:fldChar w:fldCharType="begin"/>
            </w:r>
            <w:r w:rsidR="007E704C">
              <w:rPr>
                <w:noProof/>
                <w:webHidden/>
              </w:rPr>
              <w:instrText xml:space="preserve"> PAGEREF _Toc170377494 \h </w:instrText>
            </w:r>
            <w:r w:rsidR="007E704C">
              <w:rPr>
                <w:noProof/>
                <w:webHidden/>
              </w:rPr>
            </w:r>
            <w:r w:rsidR="007E704C">
              <w:rPr>
                <w:noProof/>
                <w:webHidden/>
              </w:rPr>
              <w:fldChar w:fldCharType="separate"/>
            </w:r>
            <w:r w:rsidR="007E704C">
              <w:rPr>
                <w:noProof/>
                <w:webHidden/>
              </w:rPr>
              <w:t>5</w:t>
            </w:r>
            <w:r w:rsidR="007E704C">
              <w:rPr>
                <w:noProof/>
                <w:webHidden/>
              </w:rPr>
              <w:fldChar w:fldCharType="end"/>
            </w:r>
          </w:hyperlink>
        </w:p>
        <w:p w14:paraId="3368CD3C" w14:textId="7F215E22" w:rsidR="007E704C" w:rsidRDefault="00000000">
          <w:pPr>
            <w:pStyle w:val="TOC1"/>
            <w:tabs>
              <w:tab w:val="right" w:leader="dot" w:pos="9060"/>
            </w:tabs>
            <w:rPr>
              <w:rFonts w:eastAsiaTheme="minorEastAsia"/>
              <w:noProof/>
              <w:kern w:val="2"/>
              <w:sz w:val="22"/>
              <w:szCs w:val="22"/>
              <w:lang w:eastAsia="de-AT"/>
              <w14:ligatures w14:val="standardContextual"/>
            </w:rPr>
          </w:pPr>
          <w:hyperlink w:anchor="_Toc170377495" w:history="1">
            <w:r w:rsidR="007E704C" w:rsidRPr="009F38C3">
              <w:rPr>
                <w:rStyle w:val="Hyperlink"/>
                <w:noProof/>
              </w:rPr>
              <w:t>Volkswirtschaftliche Effekte von leistbarem Wohnraum</w:t>
            </w:r>
            <w:r w:rsidR="007E704C">
              <w:rPr>
                <w:noProof/>
                <w:webHidden/>
              </w:rPr>
              <w:tab/>
            </w:r>
            <w:r w:rsidR="007E704C">
              <w:rPr>
                <w:noProof/>
                <w:webHidden/>
              </w:rPr>
              <w:fldChar w:fldCharType="begin"/>
            </w:r>
            <w:r w:rsidR="007E704C">
              <w:rPr>
                <w:noProof/>
                <w:webHidden/>
              </w:rPr>
              <w:instrText xml:space="preserve"> PAGEREF _Toc170377495 \h </w:instrText>
            </w:r>
            <w:r w:rsidR="007E704C">
              <w:rPr>
                <w:noProof/>
                <w:webHidden/>
              </w:rPr>
            </w:r>
            <w:r w:rsidR="007E704C">
              <w:rPr>
                <w:noProof/>
                <w:webHidden/>
              </w:rPr>
              <w:fldChar w:fldCharType="separate"/>
            </w:r>
            <w:r w:rsidR="007E704C">
              <w:rPr>
                <w:noProof/>
                <w:webHidden/>
              </w:rPr>
              <w:t>6</w:t>
            </w:r>
            <w:r w:rsidR="007E704C">
              <w:rPr>
                <w:noProof/>
                <w:webHidden/>
              </w:rPr>
              <w:fldChar w:fldCharType="end"/>
            </w:r>
          </w:hyperlink>
        </w:p>
        <w:p w14:paraId="569650EF" w14:textId="459B5B9C" w:rsidR="007E704C" w:rsidRDefault="00000000">
          <w:pPr>
            <w:pStyle w:val="TOC1"/>
            <w:tabs>
              <w:tab w:val="right" w:leader="dot" w:pos="9060"/>
            </w:tabs>
            <w:rPr>
              <w:rFonts w:eastAsiaTheme="minorEastAsia"/>
              <w:noProof/>
              <w:kern w:val="2"/>
              <w:sz w:val="22"/>
              <w:szCs w:val="22"/>
              <w:lang w:eastAsia="de-AT"/>
              <w14:ligatures w14:val="standardContextual"/>
            </w:rPr>
          </w:pPr>
          <w:hyperlink w:anchor="_Toc170377496" w:history="1">
            <w:r w:rsidR="007E704C" w:rsidRPr="009F38C3">
              <w:rPr>
                <w:rStyle w:val="Hyperlink"/>
                <w:noProof/>
              </w:rPr>
              <w:t>Zinswende und nachhaltige Wohnungswirtschaft</w:t>
            </w:r>
            <w:r w:rsidR="007E704C">
              <w:rPr>
                <w:noProof/>
                <w:webHidden/>
              </w:rPr>
              <w:tab/>
            </w:r>
            <w:r w:rsidR="007E704C">
              <w:rPr>
                <w:noProof/>
                <w:webHidden/>
              </w:rPr>
              <w:fldChar w:fldCharType="begin"/>
            </w:r>
            <w:r w:rsidR="007E704C">
              <w:rPr>
                <w:noProof/>
                <w:webHidden/>
              </w:rPr>
              <w:instrText xml:space="preserve"> PAGEREF _Toc170377496 \h </w:instrText>
            </w:r>
            <w:r w:rsidR="007E704C">
              <w:rPr>
                <w:noProof/>
                <w:webHidden/>
              </w:rPr>
            </w:r>
            <w:r w:rsidR="007E704C">
              <w:rPr>
                <w:noProof/>
                <w:webHidden/>
              </w:rPr>
              <w:fldChar w:fldCharType="separate"/>
            </w:r>
            <w:r w:rsidR="007E704C">
              <w:rPr>
                <w:noProof/>
                <w:webHidden/>
              </w:rPr>
              <w:t>7</w:t>
            </w:r>
            <w:r w:rsidR="007E704C">
              <w:rPr>
                <w:noProof/>
                <w:webHidden/>
              </w:rPr>
              <w:fldChar w:fldCharType="end"/>
            </w:r>
          </w:hyperlink>
        </w:p>
        <w:p w14:paraId="5FABCE5E" w14:textId="6F60CF90" w:rsidR="007E704C" w:rsidRDefault="00000000">
          <w:pPr>
            <w:pStyle w:val="TOC1"/>
            <w:tabs>
              <w:tab w:val="right" w:leader="dot" w:pos="9060"/>
            </w:tabs>
            <w:rPr>
              <w:rFonts w:eastAsiaTheme="minorEastAsia"/>
              <w:noProof/>
              <w:kern w:val="2"/>
              <w:sz w:val="22"/>
              <w:szCs w:val="22"/>
              <w:lang w:eastAsia="de-AT"/>
              <w14:ligatures w14:val="standardContextual"/>
            </w:rPr>
          </w:pPr>
          <w:hyperlink w:anchor="_Toc170377497" w:history="1">
            <w:r w:rsidR="007E704C" w:rsidRPr="009F38C3">
              <w:rPr>
                <w:rStyle w:val="Hyperlink"/>
                <w:noProof/>
              </w:rPr>
              <w:t>Förderung des seriellen und modularen Bauens</w:t>
            </w:r>
            <w:r w:rsidR="007E704C">
              <w:rPr>
                <w:noProof/>
                <w:webHidden/>
              </w:rPr>
              <w:tab/>
            </w:r>
            <w:r w:rsidR="007E704C">
              <w:rPr>
                <w:noProof/>
                <w:webHidden/>
              </w:rPr>
              <w:fldChar w:fldCharType="begin"/>
            </w:r>
            <w:r w:rsidR="007E704C">
              <w:rPr>
                <w:noProof/>
                <w:webHidden/>
              </w:rPr>
              <w:instrText xml:space="preserve"> PAGEREF _Toc170377497 \h </w:instrText>
            </w:r>
            <w:r w:rsidR="007E704C">
              <w:rPr>
                <w:noProof/>
                <w:webHidden/>
              </w:rPr>
            </w:r>
            <w:r w:rsidR="007E704C">
              <w:rPr>
                <w:noProof/>
                <w:webHidden/>
              </w:rPr>
              <w:fldChar w:fldCharType="separate"/>
            </w:r>
            <w:r w:rsidR="007E704C">
              <w:rPr>
                <w:noProof/>
                <w:webHidden/>
              </w:rPr>
              <w:t>8</w:t>
            </w:r>
            <w:r w:rsidR="007E704C">
              <w:rPr>
                <w:noProof/>
                <w:webHidden/>
              </w:rPr>
              <w:fldChar w:fldCharType="end"/>
            </w:r>
          </w:hyperlink>
        </w:p>
        <w:p w14:paraId="5D18DB6A" w14:textId="46F4FD7E" w:rsidR="007E704C" w:rsidRDefault="00000000">
          <w:pPr>
            <w:pStyle w:val="TOC1"/>
            <w:tabs>
              <w:tab w:val="right" w:leader="dot" w:pos="9060"/>
            </w:tabs>
            <w:rPr>
              <w:rFonts w:eastAsiaTheme="minorEastAsia"/>
              <w:noProof/>
              <w:kern w:val="2"/>
              <w:sz w:val="22"/>
              <w:szCs w:val="22"/>
              <w:lang w:eastAsia="de-AT"/>
              <w14:ligatures w14:val="standardContextual"/>
            </w:rPr>
          </w:pPr>
          <w:hyperlink w:anchor="_Toc170377498" w:history="1">
            <w:r w:rsidR="007E704C" w:rsidRPr="009F38C3">
              <w:rPr>
                <w:rStyle w:val="Hyperlink"/>
                <w:noProof/>
              </w:rPr>
              <w:t>Energiewende in der Wohnungswirtschaft - Bestandsgebäude</w:t>
            </w:r>
            <w:r w:rsidR="007E704C">
              <w:rPr>
                <w:noProof/>
                <w:webHidden/>
              </w:rPr>
              <w:tab/>
            </w:r>
            <w:r w:rsidR="007E704C">
              <w:rPr>
                <w:noProof/>
                <w:webHidden/>
              </w:rPr>
              <w:fldChar w:fldCharType="begin"/>
            </w:r>
            <w:r w:rsidR="007E704C">
              <w:rPr>
                <w:noProof/>
                <w:webHidden/>
              </w:rPr>
              <w:instrText xml:space="preserve"> PAGEREF _Toc170377498 \h </w:instrText>
            </w:r>
            <w:r w:rsidR="007E704C">
              <w:rPr>
                <w:noProof/>
                <w:webHidden/>
              </w:rPr>
            </w:r>
            <w:r w:rsidR="007E704C">
              <w:rPr>
                <w:noProof/>
                <w:webHidden/>
              </w:rPr>
              <w:fldChar w:fldCharType="separate"/>
            </w:r>
            <w:r w:rsidR="007E704C">
              <w:rPr>
                <w:noProof/>
                <w:webHidden/>
              </w:rPr>
              <w:t>9</w:t>
            </w:r>
            <w:r w:rsidR="007E704C">
              <w:rPr>
                <w:noProof/>
                <w:webHidden/>
              </w:rPr>
              <w:fldChar w:fldCharType="end"/>
            </w:r>
          </w:hyperlink>
        </w:p>
        <w:p w14:paraId="1DA66799" w14:textId="695940B7" w:rsidR="007E704C" w:rsidRDefault="00000000">
          <w:pPr>
            <w:pStyle w:val="TOC1"/>
            <w:tabs>
              <w:tab w:val="right" w:leader="dot" w:pos="9060"/>
            </w:tabs>
            <w:rPr>
              <w:rFonts w:eastAsiaTheme="minorEastAsia"/>
              <w:noProof/>
              <w:kern w:val="2"/>
              <w:sz w:val="22"/>
              <w:szCs w:val="22"/>
              <w:lang w:eastAsia="de-AT"/>
              <w14:ligatures w14:val="standardContextual"/>
            </w:rPr>
          </w:pPr>
          <w:hyperlink w:anchor="_Toc170377499" w:history="1">
            <w:r w:rsidR="007E704C" w:rsidRPr="009F38C3">
              <w:rPr>
                <w:rStyle w:val="Hyperlink"/>
                <w:noProof/>
              </w:rPr>
              <w:t>Soziale Aspekte der Energiewende in der Wohnungswirtschaft</w:t>
            </w:r>
            <w:r w:rsidR="007E704C">
              <w:rPr>
                <w:noProof/>
                <w:webHidden/>
              </w:rPr>
              <w:tab/>
            </w:r>
            <w:r w:rsidR="007E704C">
              <w:rPr>
                <w:noProof/>
                <w:webHidden/>
              </w:rPr>
              <w:fldChar w:fldCharType="begin"/>
            </w:r>
            <w:r w:rsidR="007E704C">
              <w:rPr>
                <w:noProof/>
                <w:webHidden/>
              </w:rPr>
              <w:instrText xml:space="preserve"> PAGEREF _Toc170377499 \h </w:instrText>
            </w:r>
            <w:r w:rsidR="007E704C">
              <w:rPr>
                <w:noProof/>
                <w:webHidden/>
              </w:rPr>
            </w:r>
            <w:r w:rsidR="007E704C">
              <w:rPr>
                <w:noProof/>
                <w:webHidden/>
              </w:rPr>
              <w:fldChar w:fldCharType="separate"/>
            </w:r>
            <w:r w:rsidR="007E704C">
              <w:rPr>
                <w:noProof/>
                <w:webHidden/>
              </w:rPr>
              <w:t>10</w:t>
            </w:r>
            <w:r w:rsidR="007E704C">
              <w:rPr>
                <w:noProof/>
                <w:webHidden/>
              </w:rPr>
              <w:fldChar w:fldCharType="end"/>
            </w:r>
          </w:hyperlink>
        </w:p>
        <w:p w14:paraId="13E11640" w14:textId="1D929A08" w:rsidR="007E704C" w:rsidRDefault="00000000">
          <w:pPr>
            <w:pStyle w:val="TOC1"/>
            <w:tabs>
              <w:tab w:val="right" w:leader="dot" w:pos="9060"/>
            </w:tabs>
            <w:rPr>
              <w:rFonts w:eastAsiaTheme="minorEastAsia"/>
              <w:noProof/>
              <w:kern w:val="2"/>
              <w:sz w:val="22"/>
              <w:szCs w:val="22"/>
              <w:lang w:eastAsia="de-AT"/>
              <w14:ligatures w14:val="standardContextual"/>
            </w:rPr>
          </w:pPr>
          <w:hyperlink w:anchor="_Toc170377500" w:history="1">
            <w:r w:rsidR="007E704C" w:rsidRPr="009F38C3">
              <w:rPr>
                <w:rStyle w:val="Hyperlink"/>
                <w:noProof/>
              </w:rPr>
              <w:t>Bekämpfung der Obdachlosigkeit in Europa - Umsetzung der Lissabon Deklaration</w:t>
            </w:r>
            <w:r w:rsidR="007E704C">
              <w:rPr>
                <w:noProof/>
                <w:webHidden/>
              </w:rPr>
              <w:tab/>
            </w:r>
            <w:r w:rsidR="007E704C">
              <w:rPr>
                <w:noProof/>
                <w:webHidden/>
              </w:rPr>
              <w:fldChar w:fldCharType="begin"/>
            </w:r>
            <w:r w:rsidR="007E704C">
              <w:rPr>
                <w:noProof/>
                <w:webHidden/>
              </w:rPr>
              <w:instrText xml:space="preserve"> PAGEREF _Toc170377500 \h </w:instrText>
            </w:r>
            <w:r w:rsidR="007E704C">
              <w:rPr>
                <w:noProof/>
                <w:webHidden/>
              </w:rPr>
            </w:r>
            <w:r w:rsidR="007E704C">
              <w:rPr>
                <w:noProof/>
                <w:webHidden/>
              </w:rPr>
              <w:fldChar w:fldCharType="separate"/>
            </w:r>
            <w:r w:rsidR="007E704C">
              <w:rPr>
                <w:noProof/>
                <w:webHidden/>
              </w:rPr>
              <w:t>11</w:t>
            </w:r>
            <w:r w:rsidR="007E704C">
              <w:rPr>
                <w:noProof/>
                <w:webHidden/>
              </w:rPr>
              <w:fldChar w:fldCharType="end"/>
            </w:r>
          </w:hyperlink>
        </w:p>
        <w:p w14:paraId="3D1F5B89" w14:textId="79122698" w:rsidR="007E704C" w:rsidRDefault="00000000">
          <w:pPr>
            <w:pStyle w:val="TOC1"/>
            <w:tabs>
              <w:tab w:val="right" w:leader="dot" w:pos="9060"/>
            </w:tabs>
            <w:rPr>
              <w:rFonts w:eastAsiaTheme="minorEastAsia"/>
              <w:noProof/>
              <w:kern w:val="2"/>
              <w:sz w:val="22"/>
              <w:szCs w:val="22"/>
              <w:lang w:eastAsia="de-AT"/>
              <w14:ligatures w14:val="standardContextual"/>
            </w:rPr>
          </w:pPr>
          <w:hyperlink w:anchor="_Toc170377501" w:history="1">
            <w:r w:rsidR="007E704C" w:rsidRPr="009F38C3">
              <w:rPr>
                <w:rStyle w:val="Hyperlink"/>
                <w:noProof/>
              </w:rPr>
              <w:t>Bekämpfung der Wohnungslosigkeit in Europa – Präventionsmaßnahmen</w:t>
            </w:r>
            <w:r w:rsidR="007E704C">
              <w:rPr>
                <w:noProof/>
                <w:webHidden/>
              </w:rPr>
              <w:tab/>
            </w:r>
            <w:r w:rsidR="007E704C">
              <w:rPr>
                <w:noProof/>
                <w:webHidden/>
              </w:rPr>
              <w:fldChar w:fldCharType="begin"/>
            </w:r>
            <w:r w:rsidR="007E704C">
              <w:rPr>
                <w:noProof/>
                <w:webHidden/>
              </w:rPr>
              <w:instrText xml:space="preserve"> PAGEREF _Toc170377501 \h </w:instrText>
            </w:r>
            <w:r w:rsidR="007E704C">
              <w:rPr>
                <w:noProof/>
                <w:webHidden/>
              </w:rPr>
            </w:r>
            <w:r w:rsidR="007E704C">
              <w:rPr>
                <w:noProof/>
                <w:webHidden/>
              </w:rPr>
              <w:fldChar w:fldCharType="separate"/>
            </w:r>
            <w:r w:rsidR="007E704C">
              <w:rPr>
                <w:noProof/>
                <w:webHidden/>
              </w:rPr>
              <w:t>12</w:t>
            </w:r>
            <w:r w:rsidR="007E704C">
              <w:rPr>
                <w:noProof/>
                <w:webHidden/>
              </w:rPr>
              <w:fldChar w:fldCharType="end"/>
            </w:r>
          </w:hyperlink>
        </w:p>
        <w:p w14:paraId="770758C7" w14:textId="10B8CB47" w:rsidR="007E704C" w:rsidRDefault="00000000">
          <w:pPr>
            <w:pStyle w:val="TOC1"/>
            <w:tabs>
              <w:tab w:val="right" w:leader="dot" w:pos="9060"/>
            </w:tabs>
            <w:rPr>
              <w:rFonts w:eastAsiaTheme="minorEastAsia"/>
              <w:noProof/>
              <w:kern w:val="2"/>
              <w:sz w:val="22"/>
              <w:szCs w:val="22"/>
              <w:lang w:eastAsia="de-AT"/>
              <w14:ligatures w14:val="standardContextual"/>
            </w:rPr>
          </w:pPr>
          <w:hyperlink w:anchor="_Toc170377502" w:history="1">
            <w:r w:rsidR="007E704C" w:rsidRPr="009F38C3">
              <w:rPr>
                <w:rStyle w:val="Hyperlink"/>
                <w:noProof/>
              </w:rPr>
              <w:t>Bekämpfung der Wohnungs- und Obdachlosigkeit in Europa – Monitoring</w:t>
            </w:r>
            <w:r w:rsidR="007E704C">
              <w:rPr>
                <w:noProof/>
                <w:webHidden/>
              </w:rPr>
              <w:tab/>
            </w:r>
            <w:r w:rsidR="007E704C">
              <w:rPr>
                <w:noProof/>
                <w:webHidden/>
              </w:rPr>
              <w:fldChar w:fldCharType="begin"/>
            </w:r>
            <w:r w:rsidR="007E704C">
              <w:rPr>
                <w:noProof/>
                <w:webHidden/>
              </w:rPr>
              <w:instrText xml:space="preserve"> PAGEREF _Toc170377502 \h </w:instrText>
            </w:r>
            <w:r w:rsidR="007E704C">
              <w:rPr>
                <w:noProof/>
                <w:webHidden/>
              </w:rPr>
            </w:r>
            <w:r w:rsidR="007E704C">
              <w:rPr>
                <w:noProof/>
                <w:webHidden/>
              </w:rPr>
              <w:fldChar w:fldCharType="separate"/>
            </w:r>
            <w:r w:rsidR="007E704C">
              <w:rPr>
                <w:noProof/>
                <w:webHidden/>
              </w:rPr>
              <w:t>13</w:t>
            </w:r>
            <w:r w:rsidR="007E704C">
              <w:rPr>
                <w:noProof/>
                <w:webHidden/>
              </w:rPr>
              <w:fldChar w:fldCharType="end"/>
            </w:r>
          </w:hyperlink>
        </w:p>
        <w:p w14:paraId="6FE5CB77" w14:textId="63049154" w:rsidR="007E704C" w:rsidRDefault="00000000">
          <w:pPr>
            <w:pStyle w:val="TOC1"/>
            <w:tabs>
              <w:tab w:val="right" w:leader="dot" w:pos="9060"/>
            </w:tabs>
            <w:rPr>
              <w:rFonts w:eastAsiaTheme="minorEastAsia"/>
              <w:noProof/>
              <w:kern w:val="2"/>
              <w:sz w:val="22"/>
              <w:szCs w:val="22"/>
              <w:lang w:eastAsia="de-AT"/>
              <w14:ligatures w14:val="standardContextual"/>
            </w:rPr>
          </w:pPr>
          <w:hyperlink w:anchor="_Toc170377503" w:history="1">
            <w:r w:rsidR="007E704C" w:rsidRPr="009F38C3">
              <w:rPr>
                <w:rStyle w:val="Hyperlink"/>
                <w:noProof/>
              </w:rPr>
              <w:t>Wiederaufbau in der Ukraine: die Relevanz des gemeinnützigen Wohnbaus</w:t>
            </w:r>
            <w:r w:rsidR="007E704C">
              <w:rPr>
                <w:noProof/>
                <w:webHidden/>
              </w:rPr>
              <w:tab/>
            </w:r>
            <w:r w:rsidR="007E704C">
              <w:rPr>
                <w:noProof/>
                <w:webHidden/>
              </w:rPr>
              <w:fldChar w:fldCharType="begin"/>
            </w:r>
            <w:r w:rsidR="007E704C">
              <w:rPr>
                <w:noProof/>
                <w:webHidden/>
              </w:rPr>
              <w:instrText xml:space="preserve"> PAGEREF _Toc170377503 \h </w:instrText>
            </w:r>
            <w:r w:rsidR="007E704C">
              <w:rPr>
                <w:noProof/>
                <w:webHidden/>
              </w:rPr>
            </w:r>
            <w:r w:rsidR="007E704C">
              <w:rPr>
                <w:noProof/>
                <w:webHidden/>
              </w:rPr>
              <w:fldChar w:fldCharType="separate"/>
            </w:r>
            <w:r w:rsidR="007E704C">
              <w:rPr>
                <w:noProof/>
                <w:webHidden/>
              </w:rPr>
              <w:t>14</w:t>
            </w:r>
            <w:r w:rsidR="007E704C">
              <w:rPr>
                <w:noProof/>
                <w:webHidden/>
              </w:rPr>
              <w:fldChar w:fldCharType="end"/>
            </w:r>
          </w:hyperlink>
        </w:p>
        <w:p w14:paraId="5DBB9A20" w14:textId="1C3AD195" w:rsidR="007E704C" w:rsidRDefault="00000000">
          <w:pPr>
            <w:pStyle w:val="TOC1"/>
            <w:tabs>
              <w:tab w:val="right" w:leader="dot" w:pos="9060"/>
            </w:tabs>
            <w:rPr>
              <w:rFonts w:eastAsiaTheme="minorEastAsia"/>
              <w:noProof/>
              <w:kern w:val="2"/>
              <w:sz w:val="22"/>
              <w:szCs w:val="22"/>
              <w:lang w:eastAsia="de-AT"/>
              <w14:ligatures w14:val="standardContextual"/>
            </w:rPr>
          </w:pPr>
          <w:hyperlink w:anchor="_Toc170377504" w:history="1">
            <w:r w:rsidR="007E704C" w:rsidRPr="009F38C3">
              <w:rPr>
                <w:rStyle w:val="Hyperlink"/>
                <w:noProof/>
              </w:rPr>
              <w:t>Leistbares Wohnen als Empfehlung im Europäischen Semester</w:t>
            </w:r>
            <w:r w:rsidR="007E704C">
              <w:rPr>
                <w:noProof/>
                <w:webHidden/>
              </w:rPr>
              <w:tab/>
            </w:r>
            <w:r w:rsidR="007E704C">
              <w:rPr>
                <w:noProof/>
                <w:webHidden/>
              </w:rPr>
              <w:fldChar w:fldCharType="begin"/>
            </w:r>
            <w:r w:rsidR="007E704C">
              <w:rPr>
                <w:noProof/>
                <w:webHidden/>
              </w:rPr>
              <w:instrText xml:space="preserve"> PAGEREF _Toc170377504 \h </w:instrText>
            </w:r>
            <w:r w:rsidR="007E704C">
              <w:rPr>
                <w:noProof/>
                <w:webHidden/>
              </w:rPr>
            </w:r>
            <w:r w:rsidR="007E704C">
              <w:rPr>
                <w:noProof/>
                <w:webHidden/>
              </w:rPr>
              <w:fldChar w:fldCharType="separate"/>
            </w:r>
            <w:r w:rsidR="007E704C">
              <w:rPr>
                <w:noProof/>
                <w:webHidden/>
              </w:rPr>
              <w:t>15</w:t>
            </w:r>
            <w:r w:rsidR="007E704C">
              <w:rPr>
                <w:noProof/>
                <w:webHidden/>
              </w:rPr>
              <w:fldChar w:fldCharType="end"/>
            </w:r>
          </w:hyperlink>
        </w:p>
        <w:p w14:paraId="0114AE3F" w14:textId="249E52CB" w:rsidR="007E704C" w:rsidRDefault="00000000">
          <w:pPr>
            <w:pStyle w:val="TOC1"/>
            <w:tabs>
              <w:tab w:val="right" w:leader="dot" w:pos="9060"/>
            </w:tabs>
            <w:rPr>
              <w:rFonts w:eastAsiaTheme="minorEastAsia"/>
              <w:noProof/>
              <w:kern w:val="2"/>
              <w:sz w:val="22"/>
              <w:szCs w:val="22"/>
              <w:lang w:eastAsia="de-AT"/>
              <w14:ligatures w14:val="standardContextual"/>
            </w:rPr>
          </w:pPr>
          <w:hyperlink w:anchor="_Toc170377505" w:history="1">
            <w:r w:rsidR="007E704C" w:rsidRPr="009F38C3">
              <w:rPr>
                <w:rStyle w:val="Hyperlink"/>
                <w:noProof/>
              </w:rPr>
              <w:t>Gemeinnütziger Wohnbau im Stabilitäts- und Wachstumspakt</w:t>
            </w:r>
            <w:r w:rsidR="007E704C">
              <w:rPr>
                <w:noProof/>
                <w:webHidden/>
              </w:rPr>
              <w:tab/>
            </w:r>
            <w:r w:rsidR="007E704C">
              <w:rPr>
                <w:noProof/>
                <w:webHidden/>
              </w:rPr>
              <w:fldChar w:fldCharType="begin"/>
            </w:r>
            <w:r w:rsidR="007E704C">
              <w:rPr>
                <w:noProof/>
                <w:webHidden/>
              </w:rPr>
              <w:instrText xml:space="preserve"> PAGEREF _Toc170377505 \h </w:instrText>
            </w:r>
            <w:r w:rsidR="007E704C">
              <w:rPr>
                <w:noProof/>
                <w:webHidden/>
              </w:rPr>
            </w:r>
            <w:r w:rsidR="007E704C">
              <w:rPr>
                <w:noProof/>
                <w:webHidden/>
              </w:rPr>
              <w:fldChar w:fldCharType="separate"/>
            </w:r>
            <w:r w:rsidR="007E704C">
              <w:rPr>
                <w:noProof/>
                <w:webHidden/>
              </w:rPr>
              <w:t>16</w:t>
            </w:r>
            <w:r w:rsidR="007E704C">
              <w:rPr>
                <w:noProof/>
                <w:webHidden/>
              </w:rPr>
              <w:fldChar w:fldCharType="end"/>
            </w:r>
          </w:hyperlink>
        </w:p>
        <w:p w14:paraId="116D5A97" w14:textId="5A47B89A" w:rsidR="007E704C" w:rsidRDefault="00000000">
          <w:pPr>
            <w:pStyle w:val="TOC1"/>
            <w:tabs>
              <w:tab w:val="right" w:leader="dot" w:pos="9060"/>
            </w:tabs>
            <w:rPr>
              <w:rFonts w:eastAsiaTheme="minorEastAsia"/>
              <w:noProof/>
              <w:kern w:val="2"/>
              <w:sz w:val="22"/>
              <w:szCs w:val="22"/>
              <w:lang w:eastAsia="de-AT"/>
              <w14:ligatures w14:val="standardContextual"/>
            </w:rPr>
          </w:pPr>
          <w:hyperlink w:anchor="_Toc170377506" w:history="1">
            <w:r w:rsidR="007E704C" w:rsidRPr="009F38C3">
              <w:rPr>
                <w:rStyle w:val="Hyperlink"/>
                <w:noProof/>
              </w:rPr>
              <w:t>Objektförderung vor Subjektförderung im Wohnbau</w:t>
            </w:r>
            <w:r w:rsidR="007E704C">
              <w:rPr>
                <w:noProof/>
                <w:webHidden/>
              </w:rPr>
              <w:tab/>
            </w:r>
            <w:r w:rsidR="007E704C">
              <w:rPr>
                <w:noProof/>
                <w:webHidden/>
              </w:rPr>
              <w:fldChar w:fldCharType="begin"/>
            </w:r>
            <w:r w:rsidR="007E704C">
              <w:rPr>
                <w:noProof/>
                <w:webHidden/>
              </w:rPr>
              <w:instrText xml:space="preserve"> PAGEREF _Toc170377506 \h </w:instrText>
            </w:r>
            <w:r w:rsidR="007E704C">
              <w:rPr>
                <w:noProof/>
                <w:webHidden/>
              </w:rPr>
            </w:r>
            <w:r w:rsidR="007E704C">
              <w:rPr>
                <w:noProof/>
                <w:webHidden/>
              </w:rPr>
              <w:fldChar w:fldCharType="separate"/>
            </w:r>
            <w:r w:rsidR="007E704C">
              <w:rPr>
                <w:noProof/>
                <w:webHidden/>
              </w:rPr>
              <w:t>17</w:t>
            </w:r>
            <w:r w:rsidR="007E704C">
              <w:rPr>
                <w:noProof/>
                <w:webHidden/>
              </w:rPr>
              <w:fldChar w:fldCharType="end"/>
            </w:r>
          </w:hyperlink>
        </w:p>
        <w:p w14:paraId="2B391312" w14:textId="668B347E" w:rsidR="007E704C" w:rsidRDefault="00000000">
          <w:pPr>
            <w:pStyle w:val="TOC1"/>
            <w:tabs>
              <w:tab w:val="right" w:leader="dot" w:pos="9060"/>
            </w:tabs>
            <w:rPr>
              <w:rFonts w:eastAsiaTheme="minorEastAsia"/>
              <w:noProof/>
              <w:kern w:val="2"/>
              <w:sz w:val="22"/>
              <w:szCs w:val="22"/>
              <w:lang w:eastAsia="de-AT"/>
              <w14:ligatures w14:val="standardContextual"/>
            </w:rPr>
          </w:pPr>
          <w:hyperlink w:anchor="_Toc170377507" w:history="1">
            <w:r w:rsidR="007E704C" w:rsidRPr="009F38C3">
              <w:rPr>
                <w:rStyle w:val="Hyperlink"/>
                <w:bCs/>
                <w:noProof/>
              </w:rPr>
              <w:t>S</w:t>
            </w:r>
            <w:r w:rsidR="007E704C" w:rsidRPr="009F38C3">
              <w:rPr>
                <w:rStyle w:val="Hyperlink"/>
                <w:noProof/>
              </w:rPr>
              <w:t>ozial-ökologische Modernisierung der Wohnbaubestände</w:t>
            </w:r>
            <w:r w:rsidR="007E704C">
              <w:rPr>
                <w:noProof/>
                <w:webHidden/>
              </w:rPr>
              <w:tab/>
            </w:r>
            <w:r w:rsidR="007E704C">
              <w:rPr>
                <w:noProof/>
                <w:webHidden/>
              </w:rPr>
              <w:fldChar w:fldCharType="begin"/>
            </w:r>
            <w:r w:rsidR="007E704C">
              <w:rPr>
                <w:noProof/>
                <w:webHidden/>
              </w:rPr>
              <w:instrText xml:space="preserve"> PAGEREF _Toc170377507 \h </w:instrText>
            </w:r>
            <w:r w:rsidR="007E704C">
              <w:rPr>
                <w:noProof/>
                <w:webHidden/>
              </w:rPr>
            </w:r>
            <w:r w:rsidR="007E704C">
              <w:rPr>
                <w:noProof/>
                <w:webHidden/>
              </w:rPr>
              <w:fldChar w:fldCharType="separate"/>
            </w:r>
            <w:r w:rsidR="007E704C">
              <w:rPr>
                <w:noProof/>
                <w:webHidden/>
              </w:rPr>
              <w:t>19</w:t>
            </w:r>
            <w:r w:rsidR="007E704C">
              <w:rPr>
                <w:noProof/>
                <w:webHidden/>
              </w:rPr>
              <w:fldChar w:fldCharType="end"/>
            </w:r>
          </w:hyperlink>
        </w:p>
        <w:p w14:paraId="479D7211" w14:textId="1F74BA19" w:rsidR="007E704C" w:rsidRDefault="00000000">
          <w:pPr>
            <w:pStyle w:val="TOC1"/>
            <w:tabs>
              <w:tab w:val="right" w:leader="dot" w:pos="9060"/>
            </w:tabs>
            <w:rPr>
              <w:rFonts w:eastAsiaTheme="minorEastAsia"/>
              <w:noProof/>
              <w:kern w:val="2"/>
              <w:sz w:val="22"/>
              <w:szCs w:val="22"/>
              <w:lang w:eastAsia="de-AT"/>
              <w14:ligatures w14:val="standardContextual"/>
            </w:rPr>
          </w:pPr>
          <w:hyperlink w:anchor="_Toc170377508" w:history="1">
            <w:r w:rsidR="007E704C" w:rsidRPr="009F38C3">
              <w:rPr>
                <w:rStyle w:val="Hyperlink"/>
                <w:bCs/>
                <w:noProof/>
              </w:rPr>
              <w:t>Vermeidung sozial segregierter und vulnerabler Stadtquartiere</w:t>
            </w:r>
            <w:r w:rsidR="007E704C">
              <w:rPr>
                <w:noProof/>
                <w:webHidden/>
              </w:rPr>
              <w:tab/>
            </w:r>
            <w:r w:rsidR="007E704C">
              <w:rPr>
                <w:noProof/>
                <w:webHidden/>
              </w:rPr>
              <w:fldChar w:fldCharType="begin"/>
            </w:r>
            <w:r w:rsidR="007E704C">
              <w:rPr>
                <w:noProof/>
                <w:webHidden/>
              </w:rPr>
              <w:instrText xml:space="preserve"> PAGEREF _Toc170377508 \h </w:instrText>
            </w:r>
            <w:r w:rsidR="007E704C">
              <w:rPr>
                <w:noProof/>
                <w:webHidden/>
              </w:rPr>
            </w:r>
            <w:r w:rsidR="007E704C">
              <w:rPr>
                <w:noProof/>
                <w:webHidden/>
              </w:rPr>
              <w:fldChar w:fldCharType="separate"/>
            </w:r>
            <w:r w:rsidR="007E704C">
              <w:rPr>
                <w:noProof/>
                <w:webHidden/>
              </w:rPr>
              <w:t>20</w:t>
            </w:r>
            <w:r w:rsidR="007E704C">
              <w:rPr>
                <w:noProof/>
                <w:webHidden/>
              </w:rPr>
              <w:fldChar w:fldCharType="end"/>
            </w:r>
          </w:hyperlink>
        </w:p>
        <w:p w14:paraId="5F0ED004" w14:textId="7E2DD42B" w:rsidR="00781939" w:rsidRDefault="00781939" w:rsidP="0050443A">
          <w:r>
            <w:rPr>
              <w:lang w:val="de-DE"/>
            </w:rPr>
            <w:fldChar w:fldCharType="end"/>
          </w:r>
        </w:p>
      </w:sdtContent>
    </w:sdt>
    <w:p w14:paraId="0F0830B1" w14:textId="77777777" w:rsidR="00185F39" w:rsidRDefault="00185F39" w:rsidP="0050443A"/>
    <w:p w14:paraId="73A9E9DE" w14:textId="77777777" w:rsidR="00185F39" w:rsidRDefault="00185F39" w:rsidP="0050443A"/>
    <w:p w14:paraId="7002D337" w14:textId="77777777" w:rsidR="00185F39" w:rsidRDefault="00185F39" w:rsidP="0050443A"/>
    <w:p w14:paraId="0BEA45D3" w14:textId="77777777" w:rsidR="00185F39" w:rsidRDefault="00185F39" w:rsidP="0050443A"/>
    <w:p w14:paraId="5A834BC9" w14:textId="77777777" w:rsidR="00185F39" w:rsidRDefault="00185F39" w:rsidP="0050443A"/>
    <w:p w14:paraId="4DEDFF5F" w14:textId="77777777" w:rsidR="00D7254B" w:rsidRDefault="00D7254B" w:rsidP="0050443A"/>
    <w:p w14:paraId="22ED59FC" w14:textId="77777777" w:rsidR="00D7254B" w:rsidRDefault="00D7254B" w:rsidP="0050443A"/>
    <w:p w14:paraId="0BA36B3F" w14:textId="77777777" w:rsidR="00D7254B" w:rsidRDefault="00D7254B" w:rsidP="0050443A"/>
    <w:p w14:paraId="5B474762" w14:textId="77777777" w:rsidR="00D7254B" w:rsidRDefault="00D7254B" w:rsidP="0050443A"/>
    <w:p w14:paraId="527C4F2E" w14:textId="77777777" w:rsidR="00D7254B" w:rsidRDefault="00D7254B" w:rsidP="0050443A"/>
    <w:p w14:paraId="5D65DDC0" w14:textId="77777777" w:rsidR="00D7254B" w:rsidRDefault="00D7254B" w:rsidP="0050443A"/>
    <w:p w14:paraId="169D50E3" w14:textId="77777777" w:rsidR="00D7254B" w:rsidRDefault="00D7254B" w:rsidP="0050443A"/>
    <w:p w14:paraId="02319FD8" w14:textId="77777777" w:rsidR="00D7254B" w:rsidRDefault="00D7254B" w:rsidP="0050443A"/>
    <w:p w14:paraId="27DC54AD" w14:textId="77777777" w:rsidR="00D7254B" w:rsidRDefault="00D7254B" w:rsidP="0050443A"/>
    <w:p w14:paraId="58CBD454" w14:textId="77777777" w:rsidR="00D7254B" w:rsidRDefault="00D7254B" w:rsidP="0050443A"/>
    <w:p w14:paraId="1A79EDBE" w14:textId="77777777" w:rsidR="00D7254B" w:rsidRDefault="00D7254B" w:rsidP="00D7254B"/>
    <w:p w14:paraId="357F3A9D" w14:textId="77777777" w:rsidR="00D7254B" w:rsidRPr="00D7254B" w:rsidRDefault="00D7254B" w:rsidP="00D7254B"/>
    <w:p w14:paraId="52B4FA90" w14:textId="77777777" w:rsidR="00185F39" w:rsidRDefault="00185F39" w:rsidP="00EC3FAA"/>
    <w:p w14:paraId="5309949F" w14:textId="77777777" w:rsidR="00126135" w:rsidRDefault="00126135" w:rsidP="0050443A"/>
    <w:p w14:paraId="011D72EF" w14:textId="77777777" w:rsidR="0050443A" w:rsidRDefault="0050443A" w:rsidP="0050443A"/>
    <w:p w14:paraId="58D865D2" w14:textId="77777777" w:rsidR="0050443A" w:rsidRDefault="0050443A" w:rsidP="0082018A"/>
    <w:p w14:paraId="07D71F1A" w14:textId="77777777" w:rsidR="0082018A" w:rsidRDefault="0082018A" w:rsidP="0082018A"/>
    <w:p w14:paraId="57E2FA0F" w14:textId="77777777" w:rsidR="0082018A" w:rsidRDefault="0082018A" w:rsidP="0082018A"/>
    <w:p w14:paraId="2605E4AB" w14:textId="27CC1712" w:rsidR="00185F39" w:rsidRPr="0050443A" w:rsidRDefault="008D7808" w:rsidP="0088466A">
      <w:pPr>
        <w:pStyle w:val="Heading1"/>
        <w:rPr>
          <w:i/>
          <w:iCs/>
        </w:rPr>
      </w:pPr>
      <w:bookmarkStart w:id="0" w:name="_Toc170377492"/>
      <w:r w:rsidRPr="0050443A">
        <w:t>Arbeitsbedingungen in der Bauwirtschaft</w:t>
      </w:r>
      <w:bookmarkEnd w:id="0"/>
    </w:p>
    <w:tbl>
      <w:tblPr>
        <w:tblStyle w:val="TableGrid"/>
        <w:tblW w:w="0" w:type="auto"/>
        <w:tblInd w:w="108" w:type="dxa"/>
        <w:tblLook w:val="04A0" w:firstRow="1" w:lastRow="0" w:firstColumn="1" w:lastColumn="0" w:noHBand="0" w:noVBand="1"/>
      </w:tblPr>
      <w:tblGrid>
        <w:gridCol w:w="9060"/>
      </w:tblGrid>
      <w:tr w:rsidR="00C12BC9" w:rsidRPr="0050443A" w14:paraId="7F15DADB" w14:textId="77777777" w:rsidTr="0088466A">
        <w:tc>
          <w:tcPr>
            <w:tcW w:w="9060" w:type="dxa"/>
            <w:shd w:val="clear" w:color="auto" w:fill="D9D9D9" w:themeFill="background1" w:themeFillShade="D9"/>
          </w:tcPr>
          <w:p w14:paraId="18E0B1E8" w14:textId="4EC418C5" w:rsidR="00C12BC9" w:rsidRPr="0050443A" w:rsidRDefault="00C12BC9" w:rsidP="00115D5D">
            <w:pPr>
              <w:spacing w:before="120" w:after="120"/>
              <w:jc w:val="both"/>
              <w:rPr>
                <w:rFonts w:ascii="Aptos" w:hAnsi="Aptos"/>
                <w:b/>
                <w:iCs/>
                <w:sz w:val="22"/>
                <w:szCs w:val="22"/>
              </w:rPr>
            </w:pPr>
            <w:r w:rsidRPr="0050443A">
              <w:rPr>
                <w:rFonts w:ascii="Aptos" w:hAnsi="Aptos"/>
                <w:b/>
                <w:iCs/>
                <w:sz w:val="22"/>
                <w:szCs w:val="22"/>
              </w:rPr>
              <w:t>Frage</w:t>
            </w:r>
          </w:p>
        </w:tc>
      </w:tr>
      <w:tr w:rsidR="00C12BC9" w:rsidRPr="0050443A" w14:paraId="5A114903" w14:textId="77777777" w:rsidTr="0088466A">
        <w:tc>
          <w:tcPr>
            <w:tcW w:w="9060" w:type="dxa"/>
          </w:tcPr>
          <w:p w14:paraId="047A1200" w14:textId="03DFDCF0" w:rsidR="00C12BC9" w:rsidRPr="0050443A" w:rsidRDefault="0088466A" w:rsidP="002B5096">
            <w:pPr>
              <w:jc w:val="both"/>
              <w:rPr>
                <w:rFonts w:ascii="Aptos" w:hAnsi="Aptos"/>
                <w:b/>
                <w:bCs/>
                <w:sz w:val="22"/>
                <w:szCs w:val="22"/>
              </w:rPr>
            </w:pPr>
            <w:r w:rsidRPr="0088466A">
              <w:rPr>
                <w:rFonts w:ascii="Aptos" w:hAnsi="Aptos"/>
                <w:sz w:val="22"/>
                <w:szCs w:val="22"/>
              </w:rPr>
              <w:t>Die Bau- und Immobilienwirtschaft ist ein wichtiger Arbeitgeber in Europa und von entscheidender Bedeutung für den Wirtschaftsstandort Europa. Gerade in kleineren Mitgliedsstaaten mit vielen angrenzenden EU-Nachbarländern kann es auf Baustellen zu Sozial- und Lohndumping kommen. Die Gründung von Bauunternehmen, die nach Abschluss des Bauvorhabens direkt in den Konkurs gehen und/oder Steuerhinterziehung betreiben, schadet den öffentlichen Haushalten und verursacht hohe negative soziale Externalitäten.</w:t>
            </w:r>
            <w:r>
              <w:rPr>
                <w:rFonts w:ascii="Aptos" w:hAnsi="Aptos"/>
                <w:sz w:val="22"/>
                <w:szCs w:val="22"/>
              </w:rPr>
              <w:t xml:space="preserve"> </w:t>
            </w:r>
            <w:r w:rsidR="00325640" w:rsidRPr="00325640">
              <w:rPr>
                <w:rFonts w:ascii="Aptos" w:hAnsi="Aptos"/>
                <w:b/>
                <w:bCs/>
                <w:sz w:val="22"/>
                <w:szCs w:val="22"/>
              </w:rPr>
              <w:t>Wie wollen Sie Sozial- und Lohndumping in der Bauwirtschaft verhindern?</w:t>
            </w:r>
          </w:p>
        </w:tc>
      </w:tr>
      <w:tr w:rsidR="00C12BC9" w:rsidRPr="0050443A" w14:paraId="47F229F0" w14:textId="77777777" w:rsidTr="0088466A">
        <w:tc>
          <w:tcPr>
            <w:tcW w:w="9060" w:type="dxa"/>
            <w:shd w:val="clear" w:color="auto" w:fill="D9D9D9" w:themeFill="background1" w:themeFillShade="D9"/>
          </w:tcPr>
          <w:p w14:paraId="45CF9774" w14:textId="7F552D65" w:rsidR="00C12BC9" w:rsidRPr="0050443A" w:rsidRDefault="00C12BC9" w:rsidP="00115D5D">
            <w:pPr>
              <w:spacing w:before="120" w:after="120"/>
              <w:jc w:val="both"/>
              <w:rPr>
                <w:rFonts w:ascii="Aptos" w:hAnsi="Aptos"/>
                <w:b/>
                <w:bCs/>
                <w:sz w:val="22"/>
                <w:szCs w:val="22"/>
              </w:rPr>
            </w:pPr>
            <w:r w:rsidRPr="0050443A">
              <w:rPr>
                <w:rFonts w:ascii="Aptos" w:hAnsi="Aptos"/>
                <w:b/>
                <w:bCs/>
                <w:sz w:val="22"/>
                <w:szCs w:val="22"/>
              </w:rPr>
              <w:t>Nachfrage</w:t>
            </w:r>
          </w:p>
        </w:tc>
      </w:tr>
      <w:tr w:rsidR="00C12BC9" w:rsidRPr="0050443A" w14:paraId="3BC90C17" w14:textId="77777777" w:rsidTr="0088466A">
        <w:tc>
          <w:tcPr>
            <w:tcW w:w="9060" w:type="dxa"/>
          </w:tcPr>
          <w:p w14:paraId="57D9F71E" w14:textId="1AD6C994" w:rsidR="00325640" w:rsidRPr="00325640" w:rsidRDefault="00325640" w:rsidP="00325640">
            <w:pPr>
              <w:pStyle w:val="ListParagraph"/>
              <w:numPr>
                <w:ilvl w:val="0"/>
                <w:numId w:val="65"/>
              </w:numPr>
              <w:spacing w:before="120" w:after="120"/>
              <w:jc w:val="both"/>
              <w:rPr>
                <w:rFonts w:ascii="Aptos" w:hAnsi="Aptos"/>
                <w:sz w:val="22"/>
                <w:szCs w:val="22"/>
              </w:rPr>
            </w:pPr>
            <w:r w:rsidRPr="00325640">
              <w:rPr>
                <w:rFonts w:ascii="Aptos" w:hAnsi="Aptos"/>
                <w:sz w:val="22"/>
                <w:szCs w:val="22"/>
              </w:rPr>
              <w:t>Wie wollen Sie sichere Arbeitsbedingungen auf europäischen Baustellen gewährleisten?</w:t>
            </w:r>
          </w:p>
          <w:p w14:paraId="4D832902" w14:textId="5DE9C81A" w:rsidR="00C12BC9" w:rsidRPr="00325640" w:rsidRDefault="00325640" w:rsidP="00325640">
            <w:pPr>
              <w:pStyle w:val="ListParagraph"/>
              <w:numPr>
                <w:ilvl w:val="0"/>
                <w:numId w:val="65"/>
              </w:numPr>
              <w:spacing w:before="120" w:after="120"/>
              <w:jc w:val="both"/>
              <w:rPr>
                <w:rFonts w:ascii="Aptos" w:hAnsi="Aptos"/>
                <w:sz w:val="22"/>
                <w:szCs w:val="22"/>
              </w:rPr>
            </w:pPr>
            <w:r w:rsidRPr="00325640">
              <w:rPr>
                <w:rFonts w:ascii="Aptos" w:hAnsi="Aptos"/>
                <w:sz w:val="22"/>
                <w:szCs w:val="22"/>
              </w:rPr>
              <w:t xml:space="preserve">Wie möchten Sie sicherstellen, dass die Verantwortlichen auf europäischen Baustellen (Geschäftsführer:innen) </w:t>
            </w:r>
            <w:r>
              <w:rPr>
                <w:rFonts w:ascii="Aptos" w:hAnsi="Aptos"/>
                <w:sz w:val="22"/>
                <w:szCs w:val="22"/>
              </w:rPr>
              <w:t>z. B.</w:t>
            </w:r>
            <w:r w:rsidRPr="00325640">
              <w:rPr>
                <w:rFonts w:ascii="Aptos" w:hAnsi="Aptos"/>
                <w:sz w:val="22"/>
                <w:szCs w:val="22"/>
              </w:rPr>
              <w:t xml:space="preserve"> bei arbeitsrechtlichen Vergehen, Steuer- und Abgabenbetrug oder Umweltverschmutzung</w:t>
            </w:r>
            <w:r>
              <w:rPr>
                <w:rFonts w:ascii="Aptos" w:hAnsi="Aptos"/>
                <w:sz w:val="22"/>
                <w:szCs w:val="22"/>
              </w:rPr>
              <w:t xml:space="preserve"> belangt werden</w:t>
            </w:r>
            <w:r w:rsidRPr="00325640">
              <w:rPr>
                <w:rFonts w:ascii="Aptos" w:hAnsi="Aptos"/>
                <w:sz w:val="22"/>
                <w:szCs w:val="22"/>
              </w:rPr>
              <w:t>?</w:t>
            </w:r>
          </w:p>
        </w:tc>
      </w:tr>
    </w:tbl>
    <w:p w14:paraId="63F75527" w14:textId="77777777" w:rsidR="00C12BC9" w:rsidRDefault="00C12BC9" w:rsidP="00CF5D2B">
      <w:pPr>
        <w:spacing w:after="120"/>
        <w:jc w:val="both"/>
        <w:rPr>
          <w:rFonts w:ascii="Aptos" w:hAnsi="Aptos"/>
          <w:i/>
          <w:iCs/>
          <w:sz w:val="22"/>
          <w:szCs w:val="22"/>
          <w:u w:val="single"/>
        </w:rPr>
      </w:pPr>
    </w:p>
    <w:tbl>
      <w:tblPr>
        <w:tblStyle w:val="TableNormal1"/>
        <w:tblW w:w="0" w:type="auto"/>
        <w:tblLayout w:type="fixed"/>
        <w:tblLook w:val="01E0" w:firstRow="1" w:lastRow="1" w:firstColumn="1" w:lastColumn="1" w:noHBand="0" w:noVBand="0"/>
      </w:tblPr>
      <w:tblGrid>
        <w:gridCol w:w="9066"/>
      </w:tblGrid>
      <w:tr w:rsidR="00715DD3" w:rsidRPr="009B5839" w14:paraId="71203FFB" w14:textId="77777777" w:rsidTr="003D4657">
        <w:trPr>
          <w:trHeight w:val="277"/>
        </w:trPr>
        <w:tc>
          <w:tcPr>
            <w:tcW w:w="9066" w:type="dxa"/>
            <w:shd w:val="clear" w:color="auto" w:fill="D9D9D9"/>
          </w:tcPr>
          <w:p w14:paraId="490F759F" w14:textId="77777777" w:rsidR="00715DD3" w:rsidRPr="009B5839" w:rsidRDefault="00715DD3" w:rsidP="003D4657">
            <w:pPr>
              <w:pStyle w:val="TableParagraph"/>
              <w:spacing w:line="258" w:lineRule="exact"/>
              <w:ind w:left="0"/>
              <w:rPr>
                <w:rFonts w:ascii="Aptos" w:hAnsi="Aptos"/>
                <w:b/>
                <w:sz w:val="24"/>
              </w:rPr>
            </w:pPr>
            <w:r>
              <w:rPr>
                <w:rFonts w:ascii="Aptos" w:hAnsi="Aptos"/>
                <w:b/>
                <w:sz w:val="24"/>
              </w:rPr>
              <w:t>Hintergrundinformationen</w:t>
            </w:r>
          </w:p>
        </w:tc>
      </w:tr>
    </w:tbl>
    <w:p w14:paraId="664676F3" w14:textId="77777777" w:rsidR="00715DD3" w:rsidRDefault="00715DD3" w:rsidP="00715DD3">
      <w:pPr>
        <w:jc w:val="both"/>
        <w:rPr>
          <w:rFonts w:ascii="Aptos" w:hAnsi="Aptos"/>
        </w:rPr>
      </w:pPr>
      <w:r w:rsidRPr="0088466A">
        <w:rPr>
          <w:rFonts w:ascii="Aptos" w:hAnsi="Aptos"/>
          <w:sz w:val="22"/>
          <w:szCs w:val="22"/>
        </w:rPr>
        <w:t xml:space="preserve">Sozial- und Lohndumping führen in Europa zu erheblichen Steuerausfällen und schwächen die Finanzkraft der öffentlichen Hand. Dies beeinträchtigt wiederum öffentliche Investitionen in Infrastruktur und soziale Dienstleistungen. Die Bau- und Immobilienwirtschaft </w:t>
      </w:r>
      <w:r>
        <w:rPr>
          <w:rFonts w:ascii="Aptos" w:hAnsi="Aptos"/>
          <w:sz w:val="22"/>
          <w:szCs w:val="22"/>
        </w:rPr>
        <w:t>ist ein</w:t>
      </w:r>
      <w:r w:rsidRPr="0088466A">
        <w:rPr>
          <w:rFonts w:ascii="Aptos" w:hAnsi="Aptos"/>
          <w:sz w:val="22"/>
          <w:szCs w:val="22"/>
        </w:rPr>
        <w:t xml:space="preserve"> wichtige</w:t>
      </w:r>
      <w:r>
        <w:rPr>
          <w:rFonts w:ascii="Aptos" w:hAnsi="Aptos"/>
          <w:sz w:val="22"/>
          <w:szCs w:val="22"/>
        </w:rPr>
        <w:t>r</w:t>
      </w:r>
      <w:r w:rsidRPr="0088466A">
        <w:rPr>
          <w:rFonts w:ascii="Aptos" w:hAnsi="Aptos"/>
          <w:sz w:val="22"/>
          <w:szCs w:val="22"/>
        </w:rPr>
        <w:t xml:space="preserve"> </w:t>
      </w:r>
      <w:r>
        <w:rPr>
          <w:rFonts w:ascii="Aptos" w:hAnsi="Aptos"/>
          <w:sz w:val="22"/>
          <w:szCs w:val="22"/>
        </w:rPr>
        <w:t>Sektor mit vielen Beschäftigten</w:t>
      </w:r>
      <w:r w:rsidRPr="0088466A">
        <w:rPr>
          <w:rFonts w:ascii="Aptos" w:hAnsi="Aptos"/>
          <w:sz w:val="22"/>
          <w:szCs w:val="22"/>
        </w:rPr>
        <w:t xml:space="preserve"> für den Wirtschaftsstandort Europa. Gerade in kleineren Mitgliedstaaten mit vielen angrenzenden EU-Nachbarländern kann es jedoch zu Sozial- und Lohndumping auf den Baustellen kommen. Neugründungen von Bauunternehmen, die nach Abschluss des Bauvorhabens direkt in die gewollte Insolvenz gehen und/oder Steuerhinterziehung betreiben, schädigen die öffentlichen Haushalte und verursachen hohe negative soziale Externalitäten. Um diesen Herausforderungen zu begegnen, sollten verstärkte Kontrollen und eine verbesserte Zusammenarbeit zwischen den nationalen Arbeitsinspektionen und den europäischen Institutionen etabliert werden. Dadurch kann die Einhaltung von Arbeits- und Sozialstandards gewährleistet werden. Eine Harmonisierung von Arbeitsbedingungen und Mindestlöhnen innerhalb der EU würde faire Wettbewerbsbedingungen schaffen und Lohndumping verhindern. Gute Arbeitsbedingungen sind aus Sicht der Daseinsvorsorge von großer Bedeutung, da sie zu höherer Produktivität, geringeren Fehlzeiten und höherer Mitarbeiterzufriedenheit führen. Dies stärkt </w:t>
      </w:r>
      <w:r>
        <w:rPr>
          <w:rFonts w:ascii="Aptos" w:hAnsi="Aptos"/>
          <w:sz w:val="22"/>
          <w:szCs w:val="22"/>
        </w:rPr>
        <w:t>insgesamt die Volkswirtschaft</w:t>
      </w:r>
      <w:r w:rsidRPr="0088466A">
        <w:rPr>
          <w:rFonts w:ascii="Aptos" w:hAnsi="Aptos"/>
          <w:sz w:val="22"/>
          <w:szCs w:val="22"/>
        </w:rPr>
        <w:t xml:space="preserve"> und trägt zur langfristigen Stabilität und Nachhaltigkeit des Wirtschaftsstandortes Europa bei.</w:t>
      </w:r>
    </w:p>
    <w:p w14:paraId="651C4A9E" w14:textId="77777777" w:rsidR="0088466A" w:rsidRDefault="0088466A" w:rsidP="0050443A">
      <w:pPr>
        <w:rPr>
          <w:rFonts w:ascii="Aptos" w:hAnsi="Aptos"/>
        </w:rPr>
      </w:pPr>
    </w:p>
    <w:p w14:paraId="5F9DA0F8" w14:textId="77777777" w:rsidR="00715DD3" w:rsidRDefault="00715DD3" w:rsidP="0050443A">
      <w:pPr>
        <w:rPr>
          <w:rFonts w:ascii="Aptos" w:hAnsi="Aptos"/>
        </w:rPr>
      </w:pPr>
    </w:p>
    <w:p w14:paraId="3BDB4C0C" w14:textId="77777777" w:rsidR="00715DD3" w:rsidRDefault="00715DD3" w:rsidP="0050443A">
      <w:pPr>
        <w:rPr>
          <w:rFonts w:ascii="Aptos" w:hAnsi="Aptos"/>
        </w:rPr>
      </w:pPr>
    </w:p>
    <w:p w14:paraId="6023107C" w14:textId="77777777" w:rsidR="0088466A" w:rsidRDefault="0088466A" w:rsidP="0050443A">
      <w:pPr>
        <w:rPr>
          <w:rFonts w:ascii="Aptos" w:hAnsi="Aptos"/>
        </w:rPr>
      </w:pPr>
    </w:p>
    <w:p w14:paraId="26A4E405" w14:textId="77777777" w:rsidR="00C43FDD" w:rsidRDefault="00C43FDD" w:rsidP="0050443A">
      <w:pPr>
        <w:rPr>
          <w:rFonts w:ascii="Aptos" w:hAnsi="Aptos"/>
        </w:rPr>
      </w:pPr>
    </w:p>
    <w:p w14:paraId="2386587B" w14:textId="77777777" w:rsidR="00C43FDD" w:rsidRPr="0050443A" w:rsidRDefault="00C43FDD" w:rsidP="0050443A">
      <w:pPr>
        <w:rPr>
          <w:rFonts w:ascii="Aptos" w:hAnsi="Aptos"/>
        </w:rPr>
      </w:pPr>
    </w:p>
    <w:p w14:paraId="3D27E7AB" w14:textId="77777777" w:rsidR="0050443A" w:rsidRDefault="0050443A" w:rsidP="0050443A">
      <w:pPr>
        <w:rPr>
          <w:rFonts w:ascii="Aptos" w:hAnsi="Aptos"/>
        </w:rPr>
      </w:pPr>
    </w:p>
    <w:p w14:paraId="0980CD75" w14:textId="77777777" w:rsidR="00325640" w:rsidRDefault="00325640" w:rsidP="0050443A">
      <w:pPr>
        <w:rPr>
          <w:rFonts w:ascii="Aptos" w:hAnsi="Aptos"/>
        </w:rPr>
      </w:pPr>
    </w:p>
    <w:p w14:paraId="665FB92B" w14:textId="77777777" w:rsidR="001A1F08" w:rsidRDefault="001A1F08" w:rsidP="0050443A">
      <w:pPr>
        <w:rPr>
          <w:rFonts w:ascii="Aptos" w:hAnsi="Aptos"/>
        </w:rPr>
      </w:pPr>
    </w:p>
    <w:p w14:paraId="708A0203" w14:textId="77777777" w:rsidR="0088466A" w:rsidRDefault="0088466A" w:rsidP="0088466A"/>
    <w:p w14:paraId="5E678082" w14:textId="77777777" w:rsidR="0088466A" w:rsidRDefault="0088466A" w:rsidP="0088466A"/>
    <w:p w14:paraId="481FBD27" w14:textId="77777777" w:rsidR="0088466A" w:rsidRDefault="0088466A" w:rsidP="0088466A">
      <w:pPr>
        <w:pStyle w:val="Heading1"/>
      </w:pPr>
    </w:p>
    <w:p w14:paraId="78D0D1A9" w14:textId="77BA7B79" w:rsidR="0082018A" w:rsidRPr="0082018A" w:rsidRDefault="008A5FDC" w:rsidP="0088466A">
      <w:pPr>
        <w:pStyle w:val="Heading1"/>
      </w:pPr>
      <w:bookmarkStart w:id="1" w:name="_Toc170377493"/>
      <w:r>
        <w:t>G</w:t>
      </w:r>
      <w:r w:rsidRPr="008A5FDC">
        <w:t>emeinnützige</w:t>
      </w:r>
      <w:r w:rsidR="008E6447">
        <w:t xml:space="preserve">r </w:t>
      </w:r>
      <w:r w:rsidR="00325640" w:rsidRPr="00325640">
        <w:t xml:space="preserve">Wohnungsbau </w:t>
      </w:r>
      <w:r w:rsidR="00325640">
        <w:t xml:space="preserve">als </w:t>
      </w:r>
      <w:r w:rsidR="00325640" w:rsidRPr="00325640">
        <w:t>Inflation</w:t>
      </w:r>
      <w:r w:rsidR="00325640">
        <w:t>sbekämpfung</w:t>
      </w:r>
      <w:bookmarkEnd w:id="1"/>
    </w:p>
    <w:tbl>
      <w:tblPr>
        <w:tblStyle w:val="TableGrid"/>
        <w:tblW w:w="0" w:type="auto"/>
        <w:tblInd w:w="108" w:type="dxa"/>
        <w:tblLook w:val="04A0" w:firstRow="1" w:lastRow="0" w:firstColumn="1" w:lastColumn="0" w:noHBand="0" w:noVBand="1"/>
      </w:tblPr>
      <w:tblGrid>
        <w:gridCol w:w="9060"/>
      </w:tblGrid>
      <w:tr w:rsidR="00115D5D" w:rsidRPr="0050443A" w14:paraId="76276214" w14:textId="77777777" w:rsidTr="0088466A">
        <w:tc>
          <w:tcPr>
            <w:tcW w:w="9060" w:type="dxa"/>
            <w:shd w:val="clear" w:color="auto" w:fill="D9D9D9" w:themeFill="background1" w:themeFillShade="D9"/>
          </w:tcPr>
          <w:p w14:paraId="60F37048" w14:textId="7B74FC85" w:rsidR="00115D5D" w:rsidRPr="0050443A" w:rsidRDefault="00115D5D" w:rsidP="00072582">
            <w:pPr>
              <w:spacing w:before="120" w:after="120"/>
              <w:jc w:val="both"/>
              <w:rPr>
                <w:rFonts w:ascii="Aptos" w:hAnsi="Aptos"/>
                <w:b/>
                <w:iCs/>
                <w:sz w:val="22"/>
                <w:szCs w:val="22"/>
              </w:rPr>
            </w:pPr>
            <w:r w:rsidRPr="0050443A">
              <w:rPr>
                <w:rFonts w:ascii="Aptos" w:hAnsi="Aptos"/>
                <w:b/>
                <w:iCs/>
                <w:sz w:val="22"/>
                <w:szCs w:val="22"/>
              </w:rPr>
              <w:t>Frage</w:t>
            </w:r>
          </w:p>
        </w:tc>
      </w:tr>
      <w:tr w:rsidR="00115D5D" w:rsidRPr="0050443A" w14:paraId="45AF86AF" w14:textId="77777777" w:rsidTr="0088466A">
        <w:tc>
          <w:tcPr>
            <w:tcW w:w="9060" w:type="dxa"/>
          </w:tcPr>
          <w:p w14:paraId="5FEA96FE" w14:textId="15E7765D" w:rsidR="00115D5D" w:rsidRPr="00325640" w:rsidRDefault="00325640" w:rsidP="00325640">
            <w:pPr>
              <w:jc w:val="both"/>
              <w:rPr>
                <w:rFonts w:ascii="Aptos" w:hAnsi="Aptos"/>
                <w:b/>
                <w:bCs/>
                <w:sz w:val="22"/>
                <w:szCs w:val="22"/>
              </w:rPr>
            </w:pPr>
            <w:r w:rsidRPr="00325640">
              <w:rPr>
                <w:rFonts w:ascii="Aptos" w:hAnsi="Aptos"/>
                <w:sz w:val="22"/>
                <w:szCs w:val="22"/>
              </w:rPr>
              <w:t xml:space="preserve">Leistbares Wohnen ist eine wesentliche Grundlage für </w:t>
            </w:r>
            <w:r w:rsidR="0088466A">
              <w:rPr>
                <w:rFonts w:ascii="Aptos" w:hAnsi="Aptos"/>
                <w:sz w:val="22"/>
                <w:szCs w:val="22"/>
              </w:rPr>
              <w:t xml:space="preserve">die </w:t>
            </w:r>
            <w:r w:rsidRPr="00325640">
              <w:rPr>
                <w:rFonts w:ascii="Aptos" w:hAnsi="Aptos"/>
                <w:sz w:val="22"/>
                <w:szCs w:val="22"/>
              </w:rPr>
              <w:t xml:space="preserve">Versorgungssicherheit, </w:t>
            </w:r>
            <w:r w:rsidR="0088466A">
              <w:rPr>
                <w:rFonts w:ascii="Aptos" w:hAnsi="Aptos"/>
                <w:sz w:val="22"/>
                <w:szCs w:val="22"/>
              </w:rPr>
              <w:t xml:space="preserve">den </w:t>
            </w:r>
            <w:r w:rsidRPr="00325640">
              <w:rPr>
                <w:rFonts w:ascii="Aptos" w:hAnsi="Aptos"/>
                <w:sz w:val="22"/>
                <w:szCs w:val="22"/>
              </w:rPr>
              <w:t xml:space="preserve">Wirtschaftsstandort und </w:t>
            </w:r>
            <w:r w:rsidR="0088466A">
              <w:rPr>
                <w:rFonts w:ascii="Aptos" w:hAnsi="Aptos"/>
                <w:sz w:val="22"/>
                <w:szCs w:val="22"/>
              </w:rPr>
              <w:t xml:space="preserve">den </w:t>
            </w:r>
            <w:r w:rsidRPr="00325640">
              <w:rPr>
                <w:rFonts w:ascii="Aptos" w:hAnsi="Aptos"/>
                <w:sz w:val="22"/>
                <w:szCs w:val="22"/>
              </w:rPr>
              <w:t xml:space="preserve">Wohlstand in Europa. Steigende Wohnkosten können jedoch nicht nur die einzelnen Haushalte belasten, sondern auch gesamtwirtschaftliche Herausforderungen mit sich bringen. Insbesondere in Ländern, in denen die Mieten an die Inflationsrate gekoppelt sind, wie in Österreich, können hohe Mieten den Inflationsdruck verstärken. </w:t>
            </w:r>
            <w:r w:rsidR="0088466A" w:rsidRPr="0088466A">
              <w:rPr>
                <w:rFonts w:ascii="Aptos" w:hAnsi="Aptos"/>
                <w:sz w:val="22"/>
                <w:szCs w:val="22"/>
              </w:rPr>
              <w:t>Die gemeinnützige Wohnungswirtschaft kann daher einen wichtigen Beitrag zur Bekämpfung von Inflationsrisiken in Europa leisten, indem sie sowohl die einzelnen Haushalte als auch die gesamte Volkswirtschaft entlastet.</w:t>
            </w:r>
            <w:r w:rsidRPr="00325640">
              <w:rPr>
                <w:rFonts w:ascii="Aptos" w:hAnsi="Aptos"/>
                <w:sz w:val="22"/>
                <w:szCs w:val="22"/>
              </w:rPr>
              <w:t xml:space="preserve"> </w:t>
            </w:r>
            <w:r w:rsidRPr="00325640">
              <w:rPr>
                <w:rFonts w:ascii="Aptos" w:hAnsi="Aptos"/>
                <w:b/>
                <w:bCs/>
                <w:sz w:val="22"/>
                <w:szCs w:val="22"/>
              </w:rPr>
              <w:t xml:space="preserve">Welche Initiativen </w:t>
            </w:r>
            <w:r>
              <w:rPr>
                <w:rFonts w:ascii="Aptos" w:hAnsi="Aptos"/>
                <w:b/>
                <w:bCs/>
                <w:sz w:val="22"/>
                <w:szCs w:val="22"/>
              </w:rPr>
              <w:t>planen Sie,</w:t>
            </w:r>
            <w:r w:rsidRPr="00325640">
              <w:rPr>
                <w:rFonts w:ascii="Aptos" w:hAnsi="Aptos"/>
                <w:b/>
                <w:bCs/>
                <w:sz w:val="22"/>
                <w:szCs w:val="22"/>
              </w:rPr>
              <w:t xml:space="preserve"> um die Inflation in Europa einzudämmen und welche Rolle spiel</w:t>
            </w:r>
            <w:r w:rsidR="00E238F5">
              <w:rPr>
                <w:rFonts w:ascii="Aptos" w:hAnsi="Aptos"/>
                <w:b/>
                <w:bCs/>
                <w:sz w:val="22"/>
                <w:szCs w:val="22"/>
              </w:rPr>
              <w:t>en</w:t>
            </w:r>
            <w:r w:rsidRPr="00325640">
              <w:rPr>
                <w:rFonts w:ascii="Aptos" w:hAnsi="Aptos"/>
                <w:b/>
                <w:bCs/>
                <w:sz w:val="22"/>
                <w:szCs w:val="22"/>
              </w:rPr>
              <w:t xml:space="preserve"> Ihrer </w:t>
            </w:r>
            <w:r>
              <w:rPr>
                <w:rFonts w:ascii="Aptos" w:hAnsi="Aptos"/>
                <w:b/>
                <w:bCs/>
                <w:sz w:val="22"/>
                <w:szCs w:val="22"/>
              </w:rPr>
              <w:t>Auffassung</w:t>
            </w:r>
            <w:r w:rsidRPr="00325640">
              <w:rPr>
                <w:rFonts w:ascii="Aptos" w:hAnsi="Aptos"/>
                <w:b/>
                <w:bCs/>
                <w:sz w:val="22"/>
                <w:szCs w:val="22"/>
              </w:rPr>
              <w:t xml:space="preserve"> </w:t>
            </w:r>
            <w:r w:rsidR="00020036" w:rsidRPr="00325640">
              <w:rPr>
                <w:rFonts w:ascii="Aptos" w:hAnsi="Aptos"/>
                <w:b/>
                <w:bCs/>
                <w:sz w:val="22"/>
                <w:szCs w:val="22"/>
              </w:rPr>
              <w:t>nach</w:t>
            </w:r>
            <w:r w:rsidR="00020036">
              <w:rPr>
                <w:rFonts w:ascii="Aptos" w:hAnsi="Aptos"/>
                <w:b/>
                <w:bCs/>
                <w:sz w:val="22"/>
                <w:szCs w:val="22"/>
              </w:rPr>
              <w:t xml:space="preserve"> dabei</w:t>
            </w:r>
            <w:r w:rsidR="00020036" w:rsidRPr="00325640">
              <w:rPr>
                <w:rFonts w:ascii="Aptos" w:hAnsi="Aptos"/>
                <w:b/>
                <w:bCs/>
                <w:sz w:val="22"/>
                <w:szCs w:val="22"/>
              </w:rPr>
              <w:t xml:space="preserve"> </w:t>
            </w:r>
            <w:r w:rsidR="00020036">
              <w:rPr>
                <w:rFonts w:ascii="Aptos" w:hAnsi="Aptos"/>
                <w:b/>
                <w:bCs/>
                <w:sz w:val="22"/>
                <w:szCs w:val="22"/>
              </w:rPr>
              <w:t>der gemeinnützige Wohnungsbau</w:t>
            </w:r>
            <w:r w:rsidRPr="00325640">
              <w:rPr>
                <w:rFonts w:ascii="Aptos" w:hAnsi="Aptos"/>
                <w:b/>
                <w:bCs/>
                <w:sz w:val="22"/>
                <w:szCs w:val="22"/>
              </w:rPr>
              <w:t>?</w:t>
            </w:r>
          </w:p>
        </w:tc>
      </w:tr>
      <w:tr w:rsidR="00115D5D" w:rsidRPr="0050443A" w14:paraId="0B46780A" w14:textId="77777777" w:rsidTr="0088466A">
        <w:tc>
          <w:tcPr>
            <w:tcW w:w="9060" w:type="dxa"/>
            <w:shd w:val="clear" w:color="auto" w:fill="D9D9D9" w:themeFill="background1" w:themeFillShade="D9"/>
          </w:tcPr>
          <w:p w14:paraId="79CEBD70" w14:textId="2F59ACCC" w:rsidR="00115D5D" w:rsidRPr="0050443A" w:rsidRDefault="00115D5D" w:rsidP="00072582">
            <w:pPr>
              <w:spacing w:before="120" w:after="120"/>
              <w:jc w:val="both"/>
              <w:rPr>
                <w:rFonts w:ascii="Aptos" w:hAnsi="Aptos"/>
                <w:b/>
                <w:bCs/>
                <w:sz w:val="22"/>
                <w:szCs w:val="22"/>
              </w:rPr>
            </w:pPr>
            <w:r w:rsidRPr="0050443A">
              <w:rPr>
                <w:rFonts w:ascii="Aptos" w:hAnsi="Aptos"/>
                <w:b/>
                <w:bCs/>
                <w:sz w:val="22"/>
                <w:szCs w:val="22"/>
              </w:rPr>
              <w:t>Nachfrag</w:t>
            </w:r>
            <w:r w:rsidR="00E30101" w:rsidRPr="0050443A">
              <w:rPr>
                <w:rFonts w:ascii="Aptos" w:hAnsi="Aptos"/>
                <w:b/>
                <w:bCs/>
                <w:sz w:val="22"/>
                <w:szCs w:val="22"/>
              </w:rPr>
              <w:t>e</w:t>
            </w:r>
          </w:p>
        </w:tc>
      </w:tr>
      <w:tr w:rsidR="00115D5D" w:rsidRPr="0050443A" w14:paraId="71E617CB" w14:textId="77777777" w:rsidTr="0088466A">
        <w:tc>
          <w:tcPr>
            <w:tcW w:w="9060" w:type="dxa"/>
          </w:tcPr>
          <w:p w14:paraId="78CFCD0A" w14:textId="4A0C5A28" w:rsidR="00325640" w:rsidRPr="00325640" w:rsidRDefault="00325640" w:rsidP="0088466A">
            <w:pPr>
              <w:pStyle w:val="ListParagraph"/>
              <w:numPr>
                <w:ilvl w:val="0"/>
                <w:numId w:val="65"/>
              </w:numPr>
              <w:spacing w:before="120" w:after="120"/>
              <w:jc w:val="both"/>
              <w:rPr>
                <w:rFonts w:ascii="Aptos" w:hAnsi="Aptos"/>
                <w:sz w:val="22"/>
                <w:szCs w:val="22"/>
              </w:rPr>
            </w:pPr>
            <w:r w:rsidRPr="00325640">
              <w:rPr>
                <w:rFonts w:ascii="Aptos" w:hAnsi="Aptos"/>
                <w:sz w:val="22"/>
                <w:szCs w:val="22"/>
              </w:rPr>
              <w:t xml:space="preserve">Planen Sie EU-Programme, die den Ausbau des </w:t>
            </w:r>
            <w:r w:rsidR="00E238F5" w:rsidRPr="00325640">
              <w:rPr>
                <w:rFonts w:ascii="Aptos" w:hAnsi="Aptos"/>
                <w:sz w:val="22"/>
                <w:szCs w:val="22"/>
              </w:rPr>
              <w:t>gemein</w:t>
            </w:r>
            <w:r w:rsidR="00E238F5">
              <w:rPr>
                <w:rFonts w:ascii="Aptos" w:hAnsi="Aptos"/>
                <w:sz w:val="22"/>
                <w:szCs w:val="22"/>
              </w:rPr>
              <w:t>nützigen</w:t>
            </w:r>
            <w:r w:rsidRPr="00325640">
              <w:rPr>
                <w:rFonts w:ascii="Aptos" w:hAnsi="Aptos"/>
                <w:sz w:val="22"/>
                <w:szCs w:val="22"/>
              </w:rPr>
              <w:t xml:space="preserve"> Wohnbaus fördern?</w:t>
            </w:r>
          </w:p>
          <w:p w14:paraId="491218EF" w14:textId="56EB7A2F" w:rsidR="00115D5D" w:rsidRPr="00325640" w:rsidRDefault="006940BE" w:rsidP="0088466A">
            <w:pPr>
              <w:pStyle w:val="ListParagraph"/>
              <w:numPr>
                <w:ilvl w:val="0"/>
                <w:numId w:val="65"/>
              </w:numPr>
              <w:spacing w:before="120" w:after="120"/>
              <w:jc w:val="both"/>
              <w:rPr>
                <w:rFonts w:ascii="Aptos" w:hAnsi="Aptos"/>
              </w:rPr>
            </w:pPr>
            <w:r w:rsidRPr="00325640">
              <w:rPr>
                <w:rFonts w:ascii="Aptos" w:hAnsi="Aptos"/>
                <w:sz w:val="22"/>
                <w:szCs w:val="22"/>
              </w:rPr>
              <w:t xml:space="preserve">Sehen Sie eine zweckgewidmete Förderung des </w:t>
            </w:r>
            <w:r w:rsidR="00E238F5" w:rsidRPr="00325640">
              <w:rPr>
                <w:rFonts w:ascii="Aptos" w:hAnsi="Aptos"/>
                <w:sz w:val="22"/>
                <w:szCs w:val="22"/>
              </w:rPr>
              <w:t>gemein</w:t>
            </w:r>
            <w:r w:rsidR="00E238F5">
              <w:rPr>
                <w:rFonts w:ascii="Aptos" w:hAnsi="Aptos"/>
                <w:sz w:val="22"/>
                <w:szCs w:val="22"/>
              </w:rPr>
              <w:t>nützigen</w:t>
            </w:r>
            <w:r w:rsidRPr="00325640">
              <w:rPr>
                <w:rFonts w:ascii="Aptos" w:hAnsi="Aptos"/>
                <w:sz w:val="22"/>
                <w:szCs w:val="22"/>
              </w:rPr>
              <w:t xml:space="preserve"> Wohnbaus vor, um </w:t>
            </w:r>
            <w:r w:rsidR="00325640">
              <w:rPr>
                <w:rFonts w:ascii="Aptos" w:hAnsi="Aptos"/>
                <w:sz w:val="22"/>
                <w:szCs w:val="22"/>
              </w:rPr>
              <w:t>langfristig leistbaren Wohnraum abzusichern?</w:t>
            </w:r>
          </w:p>
          <w:p w14:paraId="2977BEF9" w14:textId="2EA1315A" w:rsidR="00325640" w:rsidRPr="00325640" w:rsidRDefault="00325640" w:rsidP="0088466A">
            <w:pPr>
              <w:pStyle w:val="ListParagraph"/>
              <w:numPr>
                <w:ilvl w:val="0"/>
                <w:numId w:val="65"/>
              </w:numPr>
              <w:spacing w:before="120" w:after="120"/>
              <w:jc w:val="both"/>
              <w:rPr>
                <w:rFonts w:ascii="Aptos" w:hAnsi="Aptos"/>
              </w:rPr>
            </w:pPr>
            <w:r w:rsidRPr="00325640">
              <w:rPr>
                <w:rFonts w:ascii="Aptos" w:hAnsi="Aptos"/>
                <w:sz w:val="22"/>
                <w:szCs w:val="22"/>
              </w:rPr>
              <w:t>Planen Sie fixe Indexierungen in der Wohnwirtschaft, um den Inflationsdruck zu mindern?</w:t>
            </w:r>
          </w:p>
        </w:tc>
      </w:tr>
    </w:tbl>
    <w:p w14:paraId="54ADFDCE" w14:textId="77777777" w:rsidR="0088466A" w:rsidRDefault="0088466A" w:rsidP="0050443A">
      <w:pPr>
        <w:spacing w:after="120"/>
        <w:jc w:val="both"/>
        <w:rPr>
          <w:rFonts w:ascii="Aptos" w:hAnsi="Aptos"/>
          <w:b/>
          <w:iCs/>
          <w:sz w:val="22"/>
          <w:szCs w:val="22"/>
        </w:rPr>
      </w:pPr>
    </w:p>
    <w:tbl>
      <w:tblPr>
        <w:tblStyle w:val="TableNormal1"/>
        <w:tblW w:w="0" w:type="auto"/>
        <w:tblLayout w:type="fixed"/>
        <w:tblLook w:val="01E0" w:firstRow="1" w:lastRow="1" w:firstColumn="1" w:lastColumn="1" w:noHBand="0" w:noVBand="0"/>
      </w:tblPr>
      <w:tblGrid>
        <w:gridCol w:w="9066"/>
      </w:tblGrid>
      <w:tr w:rsidR="00715DD3" w:rsidRPr="009B5839" w14:paraId="179C60B6" w14:textId="77777777" w:rsidTr="003D4657">
        <w:trPr>
          <w:trHeight w:val="277"/>
        </w:trPr>
        <w:tc>
          <w:tcPr>
            <w:tcW w:w="9066" w:type="dxa"/>
            <w:shd w:val="clear" w:color="auto" w:fill="D9D9D9"/>
          </w:tcPr>
          <w:p w14:paraId="02412105" w14:textId="77777777" w:rsidR="00715DD3" w:rsidRPr="009B5839" w:rsidRDefault="00715DD3" w:rsidP="003D4657">
            <w:pPr>
              <w:pStyle w:val="TableParagraph"/>
              <w:spacing w:line="258" w:lineRule="exact"/>
              <w:ind w:left="0"/>
              <w:rPr>
                <w:rFonts w:ascii="Aptos" w:hAnsi="Aptos"/>
                <w:b/>
                <w:sz w:val="24"/>
              </w:rPr>
            </w:pPr>
            <w:r>
              <w:rPr>
                <w:rFonts w:ascii="Aptos" w:hAnsi="Aptos"/>
                <w:b/>
                <w:sz w:val="24"/>
              </w:rPr>
              <w:t>Hintergrundinformationen</w:t>
            </w:r>
          </w:p>
        </w:tc>
      </w:tr>
    </w:tbl>
    <w:p w14:paraId="34487FD5" w14:textId="77777777" w:rsidR="00715DD3" w:rsidRDefault="00715DD3" w:rsidP="00715DD3">
      <w:pPr>
        <w:jc w:val="both"/>
        <w:rPr>
          <w:rFonts w:ascii="Aptos" w:hAnsi="Aptos"/>
          <w:sz w:val="22"/>
          <w:szCs w:val="22"/>
        </w:rPr>
      </w:pPr>
      <w:r>
        <w:rPr>
          <w:rFonts w:ascii="Aptos" w:hAnsi="Aptos"/>
          <w:sz w:val="22"/>
          <w:szCs w:val="22"/>
        </w:rPr>
        <w:t>G</w:t>
      </w:r>
      <w:r w:rsidRPr="001A1F08">
        <w:rPr>
          <w:rFonts w:ascii="Aptos" w:hAnsi="Aptos"/>
          <w:sz w:val="22"/>
          <w:szCs w:val="22"/>
        </w:rPr>
        <w:t xml:space="preserve">emeinnützige </w:t>
      </w:r>
      <w:r>
        <w:rPr>
          <w:rFonts w:ascii="Aptos" w:hAnsi="Aptos"/>
          <w:sz w:val="22"/>
          <w:szCs w:val="22"/>
        </w:rPr>
        <w:t xml:space="preserve">Bauvereinigungen </w:t>
      </w:r>
      <w:r w:rsidRPr="001A1F08">
        <w:rPr>
          <w:rFonts w:ascii="Aptos" w:hAnsi="Aptos"/>
          <w:sz w:val="22"/>
          <w:szCs w:val="22"/>
        </w:rPr>
        <w:t>leisten einen wichtigen Beitrag zur sozialen Stabilität, indem sie leistbaren Wohnraum zur Verfügung stellen und verhindern, dass die Mietkosten überproportional steigen. Da sie nicht gewinnorientiert arbeiten, liegen die Mieten in der Regel unter dem Marktniveau und wirken somit dämpfend auf den gesamten Mietmarkt (</w:t>
      </w:r>
      <w:r w:rsidRPr="002F2207">
        <w:rPr>
          <w:rFonts w:ascii="Aptos" w:hAnsi="Aptos"/>
          <w:i/>
          <w:iCs/>
          <w:sz w:val="22"/>
          <w:szCs w:val="22"/>
        </w:rPr>
        <w:t>Kostenmiete</w:t>
      </w:r>
      <w:r w:rsidRPr="001A1F08">
        <w:rPr>
          <w:rFonts w:ascii="Aptos" w:hAnsi="Aptos"/>
          <w:sz w:val="22"/>
          <w:szCs w:val="22"/>
        </w:rPr>
        <w:t xml:space="preserve">) </w:t>
      </w:r>
      <w:r w:rsidRPr="001A1F08">
        <w:rPr>
          <w:rFonts w:ascii="Aptos" w:hAnsi="Aptos"/>
          <w:sz w:val="22"/>
          <w:szCs w:val="22"/>
          <w:vertAlign w:val="subscript"/>
        </w:rPr>
        <w:t>(1).</w:t>
      </w:r>
      <w:r w:rsidRPr="001A1F08">
        <w:rPr>
          <w:rFonts w:ascii="Aptos" w:hAnsi="Aptos"/>
          <w:sz w:val="22"/>
          <w:szCs w:val="22"/>
        </w:rPr>
        <w:t xml:space="preserve"> </w:t>
      </w:r>
      <w:r w:rsidRPr="00020036">
        <w:rPr>
          <w:rFonts w:ascii="Aptos" w:hAnsi="Aptos"/>
          <w:sz w:val="22"/>
          <w:szCs w:val="22"/>
        </w:rPr>
        <w:t xml:space="preserve">Die steuerliche Begünstigung gemeinnütziger Bauträger ist daher ein wirksames Instrument zur Stabilisierung des Wohnungsmarktes und zur langfristigen Sicherung leistbaren Wohnens. Gemeinnützige Bauträger entlasten damit die Haushalte bei den Wohnkosten und reduzieren den Inflationsdruck auf die Wirtschaft. Gemeinnützige Bauvereinigungen sind nicht nur ein wichtiger Auftraggeber in der Bauwirtschaft, sondern ermöglichen vielen EU-Bürger:innen den Zugang zu qualitativ hochwertigem und leistbarem Wohnraum. </w:t>
      </w:r>
      <w:r>
        <w:rPr>
          <w:rFonts w:ascii="Aptos" w:hAnsi="Aptos"/>
          <w:sz w:val="22"/>
          <w:szCs w:val="22"/>
        </w:rPr>
        <w:t xml:space="preserve">Aus Perspektive </w:t>
      </w:r>
      <w:r w:rsidRPr="00020036">
        <w:rPr>
          <w:rFonts w:ascii="Aptos" w:hAnsi="Aptos"/>
          <w:sz w:val="22"/>
          <w:szCs w:val="22"/>
        </w:rPr>
        <w:t>der Daseinsvorsorge ist leistbares Wohnen eine wesentliche Grundlage für die wirtschaftliche und soziale Entwicklung in Europa. In Ländern, in denen die Mieten an die Inflationsrate gekoppelt sind, wie in Österreich, können hohe Mieten den Inflationsdruck verstärken.</w:t>
      </w:r>
      <w:r>
        <w:rPr>
          <w:rFonts w:ascii="Aptos" w:hAnsi="Aptos"/>
          <w:sz w:val="22"/>
          <w:szCs w:val="22"/>
        </w:rPr>
        <w:t xml:space="preserve"> </w:t>
      </w:r>
      <w:r w:rsidRPr="00F0248A">
        <w:rPr>
          <w:rFonts w:ascii="Aptos" w:hAnsi="Aptos"/>
          <w:sz w:val="22"/>
          <w:szCs w:val="22"/>
        </w:rPr>
        <w:t>Die gemeinnützige Wohnungswirtschaft kann daher einen wichtigen Beitrag zur Bekämpfung von Inflationsrisiken in Europa leisten</w:t>
      </w:r>
      <w:r>
        <w:rPr>
          <w:rFonts w:ascii="Aptos" w:hAnsi="Aptos"/>
          <w:sz w:val="22"/>
          <w:szCs w:val="22"/>
        </w:rPr>
        <w:t xml:space="preserve"> und </w:t>
      </w:r>
      <w:r w:rsidRPr="00F0248A">
        <w:rPr>
          <w:rFonts w:ascii="Aptos" w:hAnsi="Aptos"/>
          <w:sz w:val="22"/>
          <w:szCs w:val="22"/>
        </w:rPr>
        <w:t>entlastet sowohl die einzelnen Haushalte als auch die gesamte Volkswirtschaft.</w:t>
      </w:r>
    </w:p>
    <w:p w14:paraId="5C5CD08A" w14:textId="77777777" w:rsidR="00715DD3" w:rsidRDefault="00715DD3" w:rsidP="00715DD3">
      <w:pPr>
        <w:jc w:val="both"/>
        <w:rPr>
          <w:rFonts w:ascii="Aptos" w:hAnsi="Aptos"/>
          <w:sz w:val="22"/>
          <w:szCs w:val="22"/>
        </w:rPr>
      </w:pPr>
    </w:p>
    <w:p w14:paraId="6FB926E1" w14:textId="77777777" w:rsidR="00715DD3" w:rsidRPr="001A1F08" w:rsidRDefault="00715DD3" w:rsidP="00715DD3">
      <w:pPr>
        <w:pStyle w:val="ListParagraph"/>
        <w:numPr>
          <w:ilvl w:val="0"/>
          <w:numId w:val="95"/>
        </w:numPr>
        <w:jc w:val="both"/>
        <w:rPr>
          <w:rFonts w:ascii="Aptos" w:hAnsi="Aptos"/>
          <w:sz w:val="18"/>
          <w:szCs w:val="18"/>
          <w:lang w:val="en-GB"/>
        </w:rPr>
      </w:pPr>
      <w:r w:rsidRPr="001A1F08">
        <w:rPr>
          <w:rFonts w:ascii="Aptos" w:hAnsi="Aptos"/>
          <w:sz w:val="18"/>
          <w:szCs w:val="18"/>
          <w:lang w:val="en-GB"/>
        </w:rPr>
        <w:t>Klien/Kössl et al. 2023: The Price-Damping Effect of Non-Profit Housing</w:t>
      </w:r>
    </w:p>
    <w:p w14:paraId="2D158365" w14:textId="77777777" w:rsidR="00715DD3" w:rsidRPr="001A1F08" w:rsidRDefault="00000000" w:rsidP="00715DD3">
      <w:pPr>
        <w:pStyle w:val="ListParagraph"/>
        <w:ind w:left="360"/>
        <w:jc w:val="both"/>
        <w:rPr>
          <w:rFonts w:ascii="Aptos" w:hAnsi="Aptos"/>
          <w:sz w:val="18"/>
          <w:szCs w:val="18"/>
          <w:lang w:val="en-GB"/>
        </w:rPr>
      </w:pPr>
      <w:hyperlink r:id="rId10" w:anchor="download" w:history="1">
        <w:r w:rsidR="00715DD3" w:rsidRPr="001A1F08">
          <w:rPr>
            <w:rStyle w:val="Hyperlink"/>
            <w:rFonts w:ascii="Aptos" w:hAnsi="Aptos"/>
            <w:sz w:val="18"/>
            <w:szCs w:val="18"/>
            <w:lang w:val="en-GB"/>
          </w:rPr>
          <w:t>https://ideas.repec.org/p/wfo/rbrief/y2023i6.html#download</w:t>
        </w:r>
      </w:hyperlink>
    </w:p>
    <w:p w14:paraId="72CECAA5" w14:textId="77777777" w:rsidR="00715DD3" w:rsidRPr="00715DD3" w:rsidRDefault="00715DD3" w:rsidP="0050443A">
      <w:pPr>
        <w:spacing w:after="120"/>
        <w:jc w:val="both"/>
        <w:rPr>
          <w:rFonts w:ascii="Aptos" w:hAnsi="Aptos"/>
          <w:b/>
          <w:iCs/>
          <w:sz w:val="22"/>
          <w:szCs w:val="22"/>
          <w:lang w:val="en-GB"/>
        </w:rPr>
      </w:pPr>
    </w:p>
    <w:p w14:paraId="22395676" w14:textId="77777777" w:rsidR="00C12BC9" w:rsidRPr="00C43FDD" w:rsidRDefault="00C12BC9" w:rsidP="00187376">
      <w:pPr>
        <w:rPr>
          <w:rFonts w:ascii="Aptos" w:hAnsi="Aptos"/>
          <w:lang w:val="en-GB"/>
        </w:rPr>
        <w:sectPr w:rsidR="00C12BC9" w:rsidRPr="00C43FDD" w:rsidSect="00C0412A">
          <w:headerReference w:type="even" r:id="rId11"/>
          <w:headerReference w:type="default" r:id="rId12"/>
          <w:footerReference w:type="even" r:id="rId13"/>
          <w:footerReference w:type="default" r:id="rId14"/>
          <w:headerReference w:type="first" r:id="rId15"/>
          <w:footerReference w:type="first" r:id="rId16"/>
          <w:pgSz w:w="11906" w:h="16838"/>
          <w:pgMar w:top="1418" w:right="1418" w:bottom="1134" w:left="1418" w:header="708" w:footer="510" w:gutter="0"/>
          <w:cols w:space="708"/>
          <w:docGrid w:linePitch="360"/>
        </w:sectPr>
      </w:pPr>
    </w:p>
    <w:p w14:paraId="3184A33D" w14:textId="77777777" w:rsidR="00435075" w:rsidRPr="00C43FDD" w:rsidRDefault="00435075" w:rsidP="00435075">
      <w:pPr>
        <w:jc w:val="both"/>
        <w:rPr>
          <w:rFonts w:ascii="Aptos" w:hAnsi="Aptos"/>
          <w:bCs/>
          <w:sz w:val="22"/>
          <w:szCs w:val="22"/>
          <w:u w:val="single"/>
          <w:lang w:val="en-GB"/>
        </w:rPr>
      </w:pPr>
    </w:p>
    <w:p w14:paraId="68CDF89B" w14:textId="77777777" w:rsidR="0050443A" w:rsidRDefault="0050443A" w:rsidP="0050443A">
      <w:pPr>
        <w:rPr>
          <w:rFonts w:ascii="Aptos" w:hAnsi="Aptos"/>
          <w:lang w:val="en-GB"/>
        </w:rPr>
      </w:pPr>
    </w:p>
    <w:p w14:paraId="47481DC6" w14:textId="77777777" w:rsidR="00F0248A" w:rsidRPr="00C43FDD" w:rsidRDefault="00F0248A" w:rsidP="0050443A">
      <w:pPr>
        <w:rPr>
          <w:rFonts w:ascii="Aptos" w:hAnsi="Aptos"/>
          <w:lang w:val="en-GB"/>
        </w:rPr>
      </w:pPr>
    </w:p>
    <w:p w14:paraId="1A41C655" w14:textId="34AB106B" w:rsidR="0082018A" w:rsidRPr="0082018A" w:rsidRDefault="00AB6891" w:rsidP="00F0248A">
      <w:pPr>
        <w:pStyle w:val="Heading1"/>
      </w:pPr>
      <w:bookmarkStart w:id="2" w:name="_Toc170377494"/>
      <w:r w:rsidRPr="0050443A">
        <w:t xml:space="preserve">Rahmenbedingungen für </w:t>
      </w:r>
      <w:r w:rsidR="00BB5AC4">
        <w:t>gemeinnützige</w:t>
      </w:r>
      <w:r w:rsidRPr="0050443A">
        <w:t xml:space="preserve"> Akteure am Wohnungsmarkt</w:t>
      </w:r>
      <w:bookmarkEnd w:id="2"/>
    </w:p>
    <w:tbl>
      <w:tblPr>
        <w:tblStyle w:val="TableGrid"/>
        <w:tblW w:w="0" w:type="auto"/>
        <w:tblInd w:w="108" w:type="dxa"/>
        <w:tblLook w:val="04A0" w:firstRow="1" w:lastRow="0" w:firstColumn="1" w:lastColumn="0" w:noHBand="0" w:noVBand="1"/>
      </w:tblPr>
      <w:tblGrid>
        <w:gridCol w:w="9060"/>
      </w:tblGrid>
      <w:tr w:rsidR="00435075" w:rsidRPr="0050443A" w14:paraId="18B2D08D" w14:textId="77777777" w:rsidTr="00F0248A">
        <w:tc>
          <w:tcPr>
            <w:tcW w:w="9060" w:type="dxa"/>
            <w:shd w:val="clear" w:color="auto" w:fill="D9D9D9" w:themeFill="background1" w:themeFillShade="D9"/>
          </w:tcPr>
          <w:p w14:paraId="6987C58E" w14:textId="4556F9D4" w:rsidR="00435075" w:rsidRPr="0050443A" w:rsidRDefault="00435075" w:rsidP="00072582">
            <w:pPr>
              <w:spacing w:before="120" w:after="120"/>
              <w:jc w:val="both"/>
              <w:rPr>
                <w:rFonts w:ascii="Aptos" w:hAnsi="Aptos"/>
                <w:b/>
                <w:iCs/>
                <w:sz w:val="22"/>
                <w:szCs w:val="22"/>
              </w:rPr>
            </w:pPr>
            <w:r w:rsidRPr="0050443A">
              <w:rPr>
                <w:rFonts w:ascii="Aptos" w:hAnsi="Aptos"/>
                <w:b/>
                <w:iCs/>
                <w:sz w:val="22"/>
                <w:szCs w:val="22"/>
              </w:rPr>
              <w:t>Frage</w:t>
            </w:r>
          </w:p>
        </w:tc>
      </w:tr>
      <w:tr w:rsidR="00435075" w:rsidRPr="0050443A" w14:paraId="46BCD13E" w14:textId="77777777" w:rsidTr="00F0248A">
        <w:tc>
          <w:tcPr>
            <w:tcW w:w="9060" w:type="dxa"/>
          </w:tcPr>
          <w:p w14:paraId="12C26581" w14:textId="200057A7" w:rsidR="00435075" w:rsidRPr="0050443A" w:rsidRDefault="008A5FDC" w:rsidP="00325640">
            <w:pPr>
              <w:jc w:val="both"/>
              <w:rPr>
                <w:rFonts w:ascii="Aptos" w:hAnsi="Aptos"/>
                <w:b/>
                <w:bCs/>
                <w:sz w:val="22"/>
                <w:szCs w:val="22"/>
              </w:rPr>
            </w:pPr>
            <w:r>
              <w:rPr>
                <w:rFonts w:ascii="Aptos" w:hAnsi="Aptos"/>
                <w:sz w:val="22"/>
                <w:szCs w:val="22"/>
              </w:rPr>
              <w:t>G</w:t>
            </w:r>
            <w:r w:rsidRPr="00325640">
              <w:rPr>
                <w:rFonts w:ascii="Aptos" w:hAnsi="Aptos"/>
                <w:sz w:val="22"/>
                <w:szCs w:val="22"/>
              </w:rPr>
              <w:t>emein</w:t>
            </w:r>
            <w:r>
              <w:rPr>
                <w:rFonts w:ascii="Aptos" w:hAnsi="Aptos"/>
                <w:sz w:val="22"/>
                <w:szCs w:val="22"/>
              </w:rPr>
              <w:t>nützige</w:t>
            </w:r>
            <w:r w:rsidR="00325640" w:rsidRPr="00325640">
              <w:rPr>
                <w:rFonts w:ascii="Aptos" w:hAnsi="Aptos"/>
                <w:sz w:val="22"/>
                <w:szCs w:val="22"/>
              </w:rPr>
              <w:t xml:space="preserve"> Bauträger stabilisieren die Nachfrage in der Bauwirtschaft, sind verlässliche Traditionsunternehmen und leisten einen wertvollen Beitrag zur nachhaltigen </w:t>
            </w:r>
            <w:r w:rsidR="00F0248A">
              <w:rPr>
                <w:rFonts w:ascii="Aptos" w:hAnsi="Aptos"/>
                <w:sz w:val="22"/>
                <w:szCs w:val="22"/>
              </w:rPr>
              <w:t>Wohnungsmarktentwicklung</w:t>
            </w:r>
            <w:r w:rsidR="00325640" w:rsidRPr="00325640">
              <w:rPr>
                <w:rFonts w:ascii="Aptos" w:hAnsi="Aptos"/>
                <w:sz w:val="22"/>
                <w:szCs w:val="22"/>
              </w:rPr>
              <w:t xml:space="preserve">. </w:t>
            </w:r>
            <w:r w:rsidR="00F0248A" w:rsidRPr="00F0248A">
              <w:rPr>
                <w:rFonts w:ascii="Aptos" w:hAnsi="Aptos"/>
                <w:sz w:val="22"/>
                <w:szCs w:val="22"/>
              </w:rPr>
              <w:t>Sie stellen sicher, dass auch sozial schwache Gruppen und die breite Mittelschicht leistbaren Wohnraum erhalten. Darüber hinaus stellen sie einen wichtigen Hebel für die sozial-ökologische Transformation dar und tragen somit zur Erreichung der europäischen Klimaziele bei.</w:t>
            </w:r>
            <w:r w:rsidR="00325640" w:rsidRPr="00325640">
              <w:rPr>
                <w:rFonts w:ascii="Aptos" w:hAnsi="Aptos"/>
                <w:sz w:val="22"/>
                <w:szCs w:val="22"/>
              </w:rPr>
              <w:t xml:space="preserve"> </w:t>
            </w:r>
            <w:r w:rsidR="00325640" w:rsidRPr="00325640">
              <w:rPr>
                <w:rFonts w:ascii="Aptos" w:hAnsi="Aptos"/>
                <w:b/>
                <w:bCs/>
                <w:sz w:val="22"/>
                <w:szCs w:val="22"/>
              </w:rPr>
              <w:t>Wie wollen Sie die wirtschaftlichen und rechtlichen Rahmenbedingungen für gemeinnützige Wohnbauträger fördern?</w:t>
            </w:r>
          </w:p>
        </w:tc>
      </w:tr>
      <w:tr w:rsidR="00435075" w:rsidRPr="0050443A" w14:paraId="197E404F" w14:textId="77777777" w:rsidTr="00F0248A">
        <w:tc>
          <w:tcPr>
            <w:tcW w:w="9060" w:type="dxa"/>
            <w:shd w:val="clear" w:color="auto" w:fill="D9D9D9" w:themeFill="background1" w:themeFillShade="D9"/>
          </w:tcPr>
          <w:p w14:paraId="54B40705" w14:textId="36E35E52" w:rsidR="00435075" w:rsidRPr="0050443A" w:rsidRDefault="00435075" w:rsidP="00072582">
            <w:pPr>
              <w:spacing w:before="120" w:after="120"/>
              <w:jc w:val="both"/>
              <w:rPr>
                <w:rFonts w:ascii="Aptos" w:hAnsi="Aptos"/>
                <w:b/>
                <w:bCs/>
                <w:sz w:val="22"/>
                <w:szCs w:val="22"/>
              </w:rPr>
            </w:pPr>
            <w:r w:rsidRPr="0050443A">
              <w:rPr>
                <w:rFonts w:ascii="Aptos" w:hAnsi="Aptos"/>
                <w:b/>
                <w:bCs/>
                <w:sz w:val="22"/>
                <w:szCs w:val="22"/>
              </w:rPr>
              <w:t>Nachfrage</w:t>
            </w:r>
          </w:p>
        </w:tc>
      </w:tr>
      <w:tr w:rsidR="00435075" w:rsidRPr="0050443A" w14:paraId="0FC5FE70" w14:textId="77777777" w:rsidTr="00F0248A">
        <w:tc>
          <w:tcPr>
            <w:tcW w:w="9060" w:type="dxa"/>
          </w:tcPr>
          <w:p w14:paraId="6642FD0B" w14:textId="2FDEA10B" w:rsidR="00325640" w:rsidRPr="00325640" w:rsidRDefault="00325640" w:rsidP="00325640">
            <w:pPr>
              <w:pStyle w:val="ListParagraph"/>
              <w:numPr>
                <w:ilvl w:val="0"/>
                <w:numId w:val="67"/>
              </w:numPr>
              <w:spacing w:before="120" w:after="120"/>
              <w:jc w:val="both"/>
              <w:rPr>
                <w:rFonts w:ascii="Aptos" w:hAnsi="Aptos"/>
                <w:sz w:val="22"/>
                <w:szCs w:val="22"/>
              </w:rPr>
            </w:pPr>
            <w:r w:rsidRPr="00325640">
              <w:rPr>
                <w:rFonts w:ascii="Aptos" w:hAnsi="Aptos"/>
                <w:sz w:val="22"/>
                <w:szCs w:val="22"/>
              </w:rPr>
              <w:t>Welche Initiativen sehen Sie, um das Mietpreisniveau - insbesondere in den Ballungszentren - langfristig zu senken?</w:t>
            </w:r>
          </w:p>
          <w:p w14:paraId="1B75C2FC" w14:textId="6B861A79" w:rsidR="00435075" w:rsidRPr="0050443A" w:rsidRDefault="00325640" w:rsidP="00325640">
            <w:pPr>
              <w:pStyle w:val="ListParagraph"/>
              <w:numPr>
                <w:ilvl w:val="0"/>
                <w:numId w:val="67"/>
              </w:numPr>
              <w:spacing w:before="120" w:after="120"/>
              <w:jc w:val="both"/>
              <w:rPr>
                <w:rFonts w:ascii="Aptos" w:hAnsi="Aptos"/>
                <w:sz w:val="22"/>
                <w:szCs w:val="22"/>
              </w:rPr>
            </w:pPr>
            <w:r w:rsidRPr="00325640">
              <w:rPr>
                <w:rFonts w:ascii="Aptos" w:hAnsi="Aptos"/>
                <w:sz w:val="22"/>
                <w:szCs w:val="22"/>
              </w:rPr>
              <w:t xml:space="preserve">Welche Rolle kommt Ihrer </w:t>
            </w:r>
            <w:r>
              <w:rPr>
                <w:rFonts w:ascii="Aptos" w:hAnsi="Aptos"/>
                <w:sz w:val="22"/>
                <w:szCs w:val="22"/>
              </w:rPr>
              <w:t xml:space="preserve">Auffassung </w:t>
            </w:r>
            <w:r w:rsidRPr="00325640">
              <w:rPr>
                <w:rFonts w:ascii="Aptos" w:hAnsi="Aptos"/>
                <w:sz w:val="22"/>
                <w:szCs w:val="22"/>
              </w:rPr>
              <w:t>nach dem gemeinnützigen</w:t>
            </w:r>
            <w:r w:rsidR="00716D18">
              <w:rPr>
                <w:rFonts w:ascii="Aptos" w:hAnsi="Aptos"/>
                <w:sz w:val="22"/>
                <w:szCs w:val="22"/>
              </w:rPr>
              <w:t xml:space="preserve"> </w:t>
            </w:r>
            <w:r w:rsidRPr="00325640">
              <w:rPr>
                <w:rFonts w:ascii="Aptos" w:hAnsi="Aptos"/>
                <w:sz w:val="22"/>
                <w:szCs w:val="22"/>
              </w:rPr>
              <w:t xml:space="preserve">und dem kommunalen Wohnungsbau zu, um </w:t>
            </w:r>
            <w:r>
              <w:rPr>
                <w:rFonts w:ascii="Aptos" w:hAnsi="Aptos"/>
                <w:sz w:val="22"/>
                <w:szCs w:val="22"/>
              </w:rPr>
              <w:t xml:space="preserve">auch </w:t>
            </w:r>
            <w:r w:rsidRPr="00325640">
              <w:rPr>
                <w:rFonts w:ascii="Aptos" w:hAnsi="Aptos"/>
                <w:sz w:val="22"/>
                <w:szCs w:val="22"/>
              </w:rPr>
              <w:t>die „freien Mieten“ langfristig zu senken?</w:t>
            </w:r>
          </w:p>
        </w:tc>
      </w:tr>
    </w:tbl>
    <w:p w14:paraId="39BECDB4" w14:textId="77777777" w:rsidR="00435075" w:rsidRPr="0050443A" w:rsidRDefault="00435075" w:rsidP="00435075">
      <w:pPr>
        <w:spacing w:after="120"/>
        <w:jc w:val="both"/>
        <w:rPr>
          <w:rFonts w:ascii="Aptos" w:hAnsi="Aptos"/>
          <w:i/>
          <w:iCs/>
          <w:sz w:val="22"/>
          <w:szCs w:val="22"/>
          <w:u w:val="single"/>
        </w:rPr>
      </w:pPr>
    </w:p>
    <w:tbl>
      <w:tblPr>
        <w:tblStyle w:val="TableNormal1"/>
        <w:tblW w:w="0" w:type="auto"/>
        <w:tblLayout w:type="fixed"/>
        <w:tblLook w:val="01E0" w:firstRow="1" w:lastRow="1" w:firstColumn="1" w:lastColumn="1" w:noHBand="0" w:noVBand="0"/>
      </w:tblPr>
      <w:tblGrid>
        <w:gridCol w:w="9066"/>
      </w:tblGrid>
      <w:tr w:rsidR="00715DD3" w:rsidRPr="009B5839" w14:paraId="46461CBC" w14:textId="77777777" w:rsidTr="003D4657">
        <w:trPr>
          <w:trHeight w:val="277"/>
        </w:trPr>
        <w:tc>
          <w:tcPr>
            <w:tcW w:w="9066" w:type="dxa"/>
            <w:shd w:val="clear" w:color="auto" w:fill="D9D9D9"/>
          </w:tcPr>
          <w:p w14:paraId="31EF596B" w14:textId="77777777" w:rsidR="00715DD3" w:rsidRPr="009B5839" w:rsidRDefault="00715DD3" w:rsidP="003D4657">
            <w:pPr>
              <w:pStyle w:val="TableParagraph"/>
              <w:spacing w:line="258" w:lineRule="exact"/>
              <w:ind w:left="0"/>
              <w:rPr>
                <w:rFonts w:ascii="Aptos" w:hAnsi="Aptos"/>
                <w:b/>
                <w:sz w:val="24"/>
              </w:rPr>
            </w:pPr>
            <w:r>
              <w:rPr>
                <w:rFonts w:ascii="Aptos" w:hAnsi="Aptos"/>
                <w:b/>
                <w:sz w:val="24"/>
              </w:rPr>
              <w:t>Hintergrundinformationen</w:t>
            </w:r>
          </w:p>
        </w:tc>
      </w:tr>
    </w:tbl>
    <w:p w14:paraId="7F3CFF76" w14:textId="1A4FDABB" w:rsidR="00435075" w:rsidRDefault="00020036" w:rsidP="00435075">
      <w:pPr>
        <w:jc w:val="both"/>
        <w:rPr>
          <w:rFonts w:ascii="Aptos" w:hAnsi="Aptos"/>
          <w:sz w:val="22"/>
          <w:szCs w:val="22"/>
        </w:rPr>
      </w:pPr>
      <w:r>
        <w:rPr>
          <w:rFonts w:ascii="Aptos" w:hAnsi="Aptos"/>
          <w:sz w:val="22"/>
          <w:szCs w:val="22"/>
        </w:rPr>
        <w:t>G</w:t>
      </w:r>
      <w:r w:rsidRPr="001A1F08">
        <w:rPr>
          <w:rFonts w:ascii="Aptos" w:hAnsi="Aptos"/>
          <w:sz w:val="22"/>
          <w:szCs w:val="22"/>
        </w:rPr>
        <w:t xml:space="preserve">emeinnützige </w:t>
      </w:r>
      <w:r>
        <w:rPr>
          <w:rFonts w:ascii="Aptos" w:hAnsi="Aptos"/>
          <w:sz w:val="22"/>
          <w:szCs w:val="22"/>
        </w:rPr>
        <w:t xml:space="preserve">Bauvereinigungen </w:t>
      </w:r>
      <w:r w:rsidRPr="001A1F08">
        <w:rPr>
          <w:rFonts w:ascii="Aptos" w:hAnsi="Aptos"/>
          <w:sz w:val="22"/>
          <w:szCs w:val="22"/>
        </w:rPr>
        <w:t>leisten einen wichtigen Beitrag zur sozialen Stabilität, indem sie leistbaren Wohnraum zur Verfügung stellen und verhindern, dass die Mietkosten überproportional steigen. Da sie nicht gewinnorientiert arbeiten, liegen die Mieten in der Regel unter dem Marktniveau und wirken somit dämpfend auf den gesamten Mietmarkt (</w:t>
      </w:r>
      <w:r w:rsidRPr="002F2207">
        <w:rPr>
          <w:rFonts w:ascii="Aptos" w:hAnsi="Aptos"/>
          <w:i/>
          <w:iCs/>
          <w:sz w:val="22"/>
          <w:szCs w:val="22"/>
        </w:rPr>
        <w:t>Kostenmiete</w:t>
      </w:r>
      <w:r w:rsidRPr="001A1F08">
        <w:rPr>
          <w:rFonts w:ascii="Aptos" w:hAnsi="Aptos"/>
          <w:sz w:val="22"/>
          <w:szCs w:val="22"/>
        </w:rPr>
        <w:t xml:space="preserve">) </w:t>
      </w:r>
      <w:r w:rsidRPr="001A1F08">
        <w:rPr>
          <w:rFonts w:ascii="Aptos" w:hAnsi="Aptos"/>
          <w:sz w:val="22"/>
          <w:szCs w:val="22"/>
          <w:vertAlign w:val="subscript"/>
        </w:rPr>
        <w:t>(1).</w:t>
      </w:r>
      <w:r w:rsidRPr="001A1F08">
        <w:rPr>
          <w:rFonts w:ascii="Aptos" w:hAnsi="Aptos"/>
          <w:sz w:val="22"/>
          <w:szCs w:val="22"/>
        </w:rPr>
        <w:t xml:space="preserve"> </w:t>
      </w:r>
      <w:r w:rsidRPr="00020036">
        <w:rPr>
          <w:rFonts w:ascii="Aptos" w:hAnsi="Aptos"/>
          <w:sz w:val="22"/>
          <w:szCs w:val="22"/>
        </w:rPr>
        <w:t>Die steuerliche Begünstigung gemeinnütziger Bauträger ist daher ein wirksames Instrument zur Stabilisierung des Wohnungsmarktes und zur langfristigen Sicherung leistbaren Wohnens. Gemeinnützige Bauträger entlasten damit die Haushalte bei den Wohnkosten und reduzieren den Inflationsdruck auf die Wirtschaft. Gemeinnützige Bauvereinigungen sind nicht nur ein wichtiger Auftraggeber in der Bauwirtschaft, sondern ermöglichen vielen EU-Bürger:innen den Zugang zu qualitativ hochwertigem und leistbarem Wohnraum.</w:t>
      </w:r>
      <w:r>
        <w:rPr>
          <w:rFonts w:ascii="Aptos" w:hAnsi="Aptos"/>
          <w:sz w:val="22"/>
          <w:szCs w:val="22"/>
        </w:rPr>
        <w:t xml:space="preserve"> </w:t>
      </w:r>
      <w:r w:rsidR="00F0248A" w:rsidRPr="00F0248A">
        <w:rPr>
          <w:rFonts w:ascii="Aptos" w:hAnsi="Aptos"/>
          <w:sz w:val="22"/>
          <w:szCs w:val="22"/>
        </w:rPr>
        <w:t>Aus Perspektive der Daseinsvorsorge stellt leistbarer Wohnraum eine wesentliche Grundlage für die wirtschaftliche und gesellschaftliche Entwicklung in Europa dar</w:t>
      </w:r>
      <w:r w:rsidR="002F2207">
        <w:rPr>
          <w:rFonts w:ascii="Aptos" w:hAnsi="Aptos"/>
          <w:sz w:val="22"/>
          <w:szCs w:val="22"/>
        </w:rPr>
        <w:t xml:space="preserve"> und es braucht entsprechende rechtliche Rahmenbedingungen in Europa, damit gemeinnützige und kommunale Akteure diesen Wohnraum schaffen können. </w:t>
      </w:r>
    </w:p>
    <w:p w14:paraId="78AD7889" w14:textId="77777777" w:rsidR="00F0248A" w:rsidRDefault="00F0248A" w:rsidP="00435075">
      <w:pPr>
        <w:jc w:val="both"/>
        <w:rPr>
          <w:rFonts w:ascii="Aptos" w:hAnsi="Aptos"/>
          <w:bCs/>
          <w:sz w:val="22"/>
          <w:szCs w:val="22"/>
          <w:u w:val="single"/>
        </w:rPr>
      </w:pPr>
    </w:p>
    <w:p w14:paraId="7857156B" w14:textId="77777777" w:rsidR="00576C2A" w:rsidRPr="001A1F08" w:rsidRDefault="00576C2A" w:rsidP="00576C2A">
      <w:pPr>
        <w:pStyle w:val="ListParagraph"/>
        <w:numPr>
          <w:ilvl w:val="0"/>
          <w:numId w:val="96"/>
        </w:numPr>
        <w:jc w:val="both"/>
        <w:rPr>
          <w:rFonts w:ascii="Aptos" w:hAnsi="Aptos"/>
          <w:sz w:val="18"/>
          <w:szCs w:val="18"/>
          <w:lang w:val="en-GB"/>
        </w:rPr>
      </w:pPr>
      <w:r w:rsidRPr="001A1F08">
        <w:rPr>
          <w:rFonts w:ascii="Aptos" w:hAnsi="Aptos"/>
          <w:sz w:val="18"/>
          <w:szCs w:val="18"/>
          <w:lang w:val="en-GB"/>
        </w:rPr>
        <w:t>Klien/Kössl et al. 2023: The Price-Damping Effect of Non-Profit Housing</w:t>
      </w:r>
    </w:p>
    <w:p w14:paraId="3FDDAF05" w14:textId="77777777" w:rsidR="00576C2A" w:rsidRPr="001A1F08" w:rsidRDefault="00000000" w:rsidP="00F0248A">
      <w:pPr>
        <w:pStyle w:val="ListParagraph"/>
        <w:ind w:left="360"/>
        <w:jc w:val="both"/>
        <w:rPr>
          <w:rFonts w:ascii="Aptos" w:hAnsi="Aptos"/>
          <w:sz w:val="18"/>
          <w:szCs w:val="18"/>
          <w:lang w:val="en-GB"/>
        </w:rPr>
      </w:pPr>
      <w:hyperlink r:id="rId17" w:anchor="download" w:history="1">
        <w:r w:rsidR="00576C2A" w:rsidRPr="001A1F08">
          <w:rPr>
            <w:rStyle w:val="Hyperlink"/>
            <w:rFonts w:ascii="Aptos" w:hAnsi="Aptos"/>
            <w:sz w:val="18"/>
            <w:szCs w:val="18"/>
            <w:lang w:val="en-GB"/>
          </w:rPr>
          <w:t>https://ideas.repec.org/p/wfo/rbrief/y2023i6.html#download</w:t>
        </w:r>
      </w:hyperlink>
    </w:p>
    <w:p w14:paraId="0E46463C" w14:textId="77777777" w:rsidR="00325640" w:rsidRPr="00576C2A" w:rsidRDefault="00325640" w:rsidP="00435075">
      <w:pPr>
        <w:jc w:val="both"/>
        <w:rPr>
          <w:rFonts w:ascii="Aptos" w:hAnsi="Aptos"/>
          <w:bCs/>
          <w:sz w:val="22"/>
          <w:szCs w:val="22"/>
          <w:u w:val="single"/>
          <w:lang w:val="en-GB"/>
        </w:rPr>
      </w:pPr>
    </w:p>
    <w:p w14:paraId="48E5B393" w14:textId="77777777" w:rsidR="00325640" w:rsidRPr="00576C2A" w:rsidRDefault="00325640" w:rsidP="00435075">
      <w:pPr>
        <w:jc w:val="both"/>
        <w:rPr>
          <w:rFonts w:ascii="Aptos" w:hAnsi="Aptos"/>
          <w:bCs/>
          <w:sz w:val="22"/>
          <w:szCs w:val="22"/>
          <w:u w:val="single"/>
          <w:lang w:val="en-GB"/>
        </w:rPr>
      </w:pPr>
    </w:p>
    <w:p w14:paraId="2F25A13D" w14:textId="77777777" w:rsidR="00325640" w:rsidRDefault="00325640" w:rsidP="00435075">
      <w:pPr>
        <w:jc w:val="both"/>
        <w:rPr>
          <w:rFonts w:ascii="Aptos" w:hAnsi="Aptos"/>
          <w:bCs/>
          <w:sz w:val="22"/>
          <w:szCs w:val="22"/>
          <w:u w:val="single"/>
          <w:lang w:val="en-GB"/>
        </w:rPr>
      </w:pPr>
    </w:p>
    <w:p w14:paraId="62A91F40" w14:textId="77777777" w:rsidR="00C96C4D" w:rsidRDefault="00C96C4D" w:rsidP="00435075">
      <w:pPr>
        <w:jc w:val="both"/>
        <w:rPr>
          <w:rFonts w:ascii="Aptos" w:hAnsi="Aptos"/>
          <w:bCs/>
          <w:sz w:val="22"/>
          <w:szCs w:val="22"/>
          <w:u w:val="single"/>
          <w:lang w:val="en-GB"/>
        </w:rPr>
      </w:pPr>
    </w:p>
    <w:p w14:paraId="3D0B0C9C" w14:textId="77777777" w:rsidR="00C96C4D" w:rsidRDefault="00C96C4D" w:rsidP="00435075">
      <w:pPr>
        <w:jc w:val="both"/>
        <w:rPr>
          <w:rFonts w:ascii="Aptos" w:hAnsi="Aptos"/>
          <w:bCs/>
          <w:sz w:val="22"/>
          <w:szCs w:val="22"/>
          <w:u w:val="single"/>
          <w:lang w:val="en-GB"/>
        </w:rPr>
      </w:pPr>
    </w:p>
    <w:p w14:paraId="62AA2309" w14:textId="77777777" w:rsidR="00C96C4D" w:rsidRDefault="00C96C4D" w:rsidP="00435075">
      <w:pPr>
        <w:jc w:val="both"/>
        <w:rPr>
          <w:rFonts w:ascii="Aptos" w:hAnsi="Aptos"/>
          <w:bCs/>
          <w:sz w:val="22"/>
          <w:szCs w:val="22"/>
          <w:u w:val="single"/>
          <w:lang w:val="en-GB"/>
        </w:rPr>
      </w:pPr>
    </w:p>
    <w:p w14:paraId="3C34FA77" w14:textId="77777777" w:rsidR="00C96C4D" w:rsidRDefault="00C96C4D" w:rsidP="00435075">
      <w:pPr>
        <w:jc w:val="both"/>
        <w:rPr>
          <w:rFonts w:ascii="Aptos" w:hAnsi="Aptos"/>
          <w:bCs/>
          <w:sz w:val="22"/>
          <w:szCs w:val="22"/>
          <w:u w:val="single"/>
          <w:lang w:val="en-GB"/>
        </w:rPr>
      </w:pPr>
    </w:p>
    <w:p w14:paraId="68AD3FFD" w14:textId="77777777" w:rsidR="00C96C4D" w:rsidRDefault="00C96C4D" w:rsidP="00435075">
      <w:pPr>
        <w:jc w:val="both"/>
        <w:rPr>
          <w:rFonts w:ascii="Aptos" w:hAnsi="Aptos"/>
          <w:bCs/>
          <w:sz w:val="22"/>
          <w:szCs w:val="22"/>
          <w:u w:val="single"/>
          <w:lang w:val="en-GB"/>
        </w:rPr>
      </w:pPr>
    </w:p>
    <w:p w14:paraId="214640B2" w14:textId="77777777" w:rsidR="00C96C4D" w:rsidRDefault="00C96C4D" w:rsidP="00435075">
      <w:pPr>
        <w:jc w:val="both"/>
        <w:rPr>
          <w:rFonts w:ascii="Aptos" w:hAnsi="Aptos"/>
          <w:bCs/>
          <w:sz w:val="22"/>
          <w:szCs w:val="22"/>
          <w:u w:val="single"/>
          <w:lang w:val="en-GB"/>
        </w:rPr>
      </w:pPr>
    </w:p>
    <w:p w14:paraId="10CB76F0" w14:textId="77777777" w:rsidR="00C96C4D" w:rsidRPr="00576C2A" w:rsidRDefault="00C96C4D" w:rsidP="00435075">
      <w:pPr>
        <w:jc w:val="both"/>
        <w:rPr>
          <w:rFonts w:ascii="Aptos" w:hAnsi="Aptos"/>
          <w:bCs/>
          <w:sz w:val="22"/>
          <w:szCs w:val="22"/>
          <w:u w:val="single"/>
          <w:lang w:val="en-GB"/>
        </w:rPr>
      </w:pPr>
    </w:p>
    <w:p w14:paraId="103BF648" w14:textId="77777777" w:rsidR="00325640" w:rsidRPr="00576C2A" w:rsidRDefault="00325640" w:rsidP="00435075">
      <w:pPr>
        <w:jc w:val="both"/>
        <w:rPr>
          <w:rFonts w:ascii="Aptos" w:hAnsi="Aptos"/>
          <w:bCs/>
          <w:sz w:val="22"/>
          <w:szCs w:val="22"/>
          <w:u w:val="single"/>
          <w:lang w:val="en-GB"/>
        </w:rPr>
      </w:pPr>
    </w:p>
    <w:p w14:paraId="0765DC31" w14:textId="77777777" w:rsidR="00325640" w:rsidRPr="00576C2A" w:rsidRDefault="00325640" w:rsidP="00435075">
      <w:pPr>
        <w:jc w:val="both"/>
        <w:rPr>
          <w:rFonts w:ascii="Aptos" w:hAnsi="Aptos"/>
          <w:bCs/>
          <w:sz w:val="22"/>
          <w:szCs w:val="22"/>
          <w:u w:val="single"/>
          <w:lang w:val="en-GB"/>
        </w:rPr>
      </w:pPr>
    </w:p>
    <w:p w14:paraId="61400A70" w14:textId="77777777" w:rsidR="00325640" w:rsidRDefault="00325640" w:rsidP="00435075">
      <w:pPr>
        <w:jc w:val="both"/>
        <w:rPr>
          <w:rFonts w:ascii="Aptos" w:hAnsi="Aptos"/>
          <w:bCs/>
          <w:sz w:val="22"/>
          <w:szCs w:val="22"/>
          <w:u w:val="single"/>
          <w:lang w:val="en-GB"/>
        </w:rPr>
      </w:pPr>
    </w:p>
    <w:p w14:paraId="416D38E7" w14:textId="77777777" w:rsidR="00020036" w:rsidRPr="00576C2A" w:rsidRDefault="00020036" w:rsidP="00435075">
      <w:pPr>
        <w:jc w:val="both"/>
        <w:rPr>
          <w:rFonts w:ascii="Aptos" w:hAnsi="Aptos"/>
          <w:bCs/>
          <w:sz w:val="22"/>
          <w:szCs w:val="22"/>
          <w:u w:val="single"/>
          <w:lang w:val="en-GB"/>
        </w:rPr>
      </w:pPr>
    </w:p>
    <w:p w14:paraId="24BE6D36" w14:textId="162CD71A" w:rsidR="0082018A" w:rsidRPr="0082018A" w:rsidRDefault="002B5096" w:rsidP="00020036">
      <w:pPr>
        <w:pStyle w:val="Heading1"/>
      </w:pPr>
      <w:bookmarkStart w:id="3" w:name="_Toc170377495"/>
      <w:bookmarkStart w:id="4" w:name="_Hlk164338954"/>
      <w:r w:rsidRPr="0050443A">
        <w:t>Volkswirtschaftliche Effekte von leistbarem Wohnraum</w:t>
      </w:r>
      <w:bookmarkEnd w:id="3"/>
    </w:p>
    <w:tbl>
      <w:tblPr>
        <w:tblStyle w:val="TableGrid"/>
        <w:tblW w:w="0" w:type="auto"/>
        <w:tblInd w:w="108" w:type="dxa"/>
        <w:tblLook w:val="04A0" w:firstRow="1" w:lastRow="0" w:firstColumn="1" w:lastColumn="0" w:noHBand="0" w:noVBand="1"/>
      </w:tblPr>
      <w:tblGrid>
        <w:gridCol w:w="9060"/>
      </w:tblGrid>
      <w:tr w:rsidR="002B5096" w:rsidRPr="0050443A" w14:paraId="2903A494" w14:textId="77777777" w:rsidTr="00715DD3">
        <w:tc>
          <w:tcPr>
            <w:tcW w:w="9060" w:type="dxa"/>
            <w:shd w:val="clear" w:color="auto" w:fill="D9D9D9" w:themeFill="background1" w:themeFillShade="D9"/>
          </w:tcPr>
          <w:p w14:paraId="08D330CC" w14:textId="77777777" w:rsidR="002B5096" w:rsidRPr="0050443A" w:rsidRDefault="002B5096" w:rsidP="00072582">
            <w:pPr>
              <w:spacing w:before="120" w:after="120"/>
              <w:jc w:val="both"/>
              <w:rPr>
                <w:rFonts w:ascii="Aptos" w:hAnsi="Aptos"/>
                <w:b/>
                <w:iCs/>
                <w:sz w:val="22"/>
                <w:szCs w:val="22"/>
              </w:rPr>
            </w:pPr>
            <w:r w:rsidRPr="0050443A">
              <w:rPr>
                <w:rFonts w:ascii="Aptos" w:hAnsi="Aptos"/>
                <w:b/>
                <w:iCs/>
                <w:sz w:val="22"/>
                <w:szCs w:val="22"/>
              </w:rPr>
              <w:t>Frage</w:t>
            </w:r>
          </w:p>
        </w:tc>
      </w:tr>
      <w:tr w:rsidR="002B5096" w:rsidRPr="0050443A" w14:paraId="6747F877" w14:textId="77777777" w:rsidTr="00715DD3">
        <w:tc>
          <w:tcPr>
            <w:tcW w:w="9060" w:type="dxa"/>
          </w:tcPr>
          <w:p w14:paraId="0BCD8A86" w14:textId="3764A5E1" w:rsidR="002B5096" w:rsidRPr="0050443A" w:rsidRDefault="00AD0FA2" w:rsidP="00325640">
            <w:pPr>
              <w:jc w:val="both"/>
              <w:rPr>
                <w:rFonts w:ascii="Aptos" w:hAnsi="Aptos"/>
                <w:b/>
                <w:bCs/>
                <w:sz w:val="22"/>
                <w:szCs w:val="22"/>
              </w:rPr>
            </w:pPr>
            <w:r w:rsidRPr="00AD0FA2">
              <w:rPr>
                <w:rFonts w:ascii="Aptos" w:hAnsi="Aptos"/>
                <w:sz w:val="22"/>
                <w:szCs w:val="22"/>
              </w:rPr>
              <w:t>Die Bauwirtschaft spielt für den Wirtschaftsstandort Europa eine zentrale Rolle, da sie nicht nur einen be</w:t>
            </w:r>
            <w:r w:rsidR="00576C2A">
              <w:rPr>
                <w:rFonts w:ascii="Aptos" w:hAnsi="Aptos"/>
                <w:sz w:val="22"/>
                <w:szCs w:val="22"/>
              </w:rPr>
              <w:t>achtlichen</w:t>
            </w:r>
            <w:r w:rsidRPr="00AD0FA2">
              <w:rPr>
                <w:rFonts w:ascii="Aptos" w:hAnsi="Aptos"/>
                <w:sz w:val="22"/>
                <w:szCs w:val="22"/>
              </w:rPr>
              <w:t xml:space="preserve"> Anteil am Bruttoinlandsprodukt hat, sondern auch eine Vielzahl von Arbeitsplätzen schafft. Eine ausgewogene Wohnungspolitik, die auf leistbares Wohnen setzt, trägt dazu bei, die Ausgaben der privaten Haushalte zu stabilisieren. Der </w:t>
            </w:r>
            <w:r w:rsidR="008A5FDC" w:rsidRPr="00325640">
              <w:rPr>
                <w:rFonts w:ascii="Aptos" w:hAnsi="Aptos"/>
                <w:sz w:val="22"/>
                <w:szCs w:val="22"/>
              </w:rPr>
              <w:t>gemein</w:t>
            </w:r>
            <w:r w:rsidR="008A5FDC">
              <w:rPr>
                <w:rFonts w:ascii="Aptos" w:hAnsi="Aptos"/>
                <w:sz w:val="22"/>
                <w:szCs w:val="22"/>
              </w:rPr>
              <w:t>nützige und kommunale Wohnbau</w:t>
            </w:r>
            <w:r w:rsidR="008A5FDC" w:rsidRPr="00325640">
              <w:rPr>
                <w:rFonts w:ascii="Aptos" w:hAnsi="Aptos"/>
                <w:sz w:val="22"/>
                <w:szCs w:val="22"/>
              </w:rPr>
              <w:t xml:space="preserve"> </w:t>
            </w:r>
            <w:r w:rsidRPr="00AD0FA2">
              <w:rPr>
                <w:rFonts w:ascii="Aptos" w:hAnsi="Aptos"/>
                <w:sz w:val="22"/>
                <w:szCs w:val="22"/>
              </w:rPr>
              <w:t xml:space="preserve">senkt somit die Ausgaben für Wohnen, was wiederum die Konsumausgaben und damit die gesamtwirtschaftliche Nachfrage stützen kann. Leistbares Wohnen ist somit eine wesentliche Grundlage für die Versorgungssicherheit Europas, einen stabilen und widerstandsfähigen Wirtschaftsstandort und Wohlstand. </w:t>
            </w:r>
            <w:r w:rsidRPr="00AD0FA2">
              <w:rPr>
                <w:rFonts w:ascii="Aptos" w:hAnsi="Aptos"/>
                <w:b/>
                <w:bCs/>
                <w:sz w:val="22"/>
                <w:szCs w:val="22"/>
              </w:rPr>
              <w:t>Welche Rolle spielt aus Ihrer Sicht die Wohnungspolitik für die Entwicklung des Wirtschaftsstandortes Europa</w:t>
            </w:r>
            <w:r>
              <w:rPr>
                <w:rFonts w:ascii="Aptos" w:hAnsi="Aptos"/>
                <w:b/>
                <w:bCs/>
                <w:sz w:val="22"/>
                <w:szCs w:val="22"/>
              </w:rPr>
              <w:t xml:space="preserve"> und welche Anreize möchten Sie für den Ausbau leistbaren Wohnraums setzen</w:t>
            </w:r>
            <w:r w:rsidRPr="00AD0FA2">
              <w:rPr>
                <w:rFonts w:ascii="Aptos" w:hAnsi="Aptos"/>
                <w:b/>
                <w:bCs/>
                <w:sz w:val="22"/>
                <w:szCs w:val="22"/>
              </w:rPr>
              <w:t>?</w:t>
            </w:r>
          </w:p>
        </w:tc>
      </w:tr>
      <w:tr w:rsidR="002B5096" w:rsidRPr="0050443A" w14:paraId="478BEF66" w14:textId="77777777" w:rsidTr="00715DD3">
        <w:tc>
          <w:tcPr>
            <w:tcW w:w="9060" w:type="dxa"/>
            <w:shd w:val="clear" w:color="auto" w:fill="D9D9D9" w:themeFill="background1" w:themeFillShade="D9"/>
          </w:tcPr>
          <w:p w14:paraId="4F13D980" w14:textId="77777777" w:rsidR="002B5096" w:rsidRPr="0050443A" w:rsidRDefault="002B5096" w:rsidP="00072582">
            <w:pPr>
              <w:spacing w:before="120" w:after="120"/>
              <w:jc w:val="both"/>
              <w:rPr>
                <w:rFonts w:ascii="Aptos" w:hAnsi="Aptos"/>
                <w:b/>
                <w:bCs/>
                <w:sz w:val="22"/>
                <w:szCs w:val="22"/>
              </w:rPr>
            </w:pPr>
            <w:r w:rsidRPr="0050443A">
              <w:rPr>
                <w:rFonts w:ascii="Aptos" w:hAnsi="Aptos"/>
                <w:b/>
                <w:bCs/>
                <w:sz w:val="22"/>
                <w:szCs w:val="22"/>
              </w:rPr>
              <w:t>Nachfrage</w:t>
            </w:r>
          </w:p>
        </w:tc>
      </w:tr>
      <w:tr w:rsidR="002B5096" w:rsidRPr="0050443A" w14:paraId="6C4140D4" w14:textId="77777777" w:rsidTr="00715DD3">
        <w:tc>
          <w:tcPr>
            <w:tcW w:w="9060" w:type="dxa"/>
          </w:tcPr>
          <w:p w14:paraId="0FA75913" w14:textId="6E298E8A" w:rsidR="00AD0FA2" w:rsidRPr="00AD0FA2" w:rsidRDefault="00AD0FA2" w:rsidP="00AD0FA2">
            <w:pPr>
              <w:pStyle w:val="ListParagraph"/>
              <w:numPr>
                <w:ilvl w:val="0"/>
                <w:numId w:val="65"/>
              </w:numPr>
              <w:spacing w:before="120" w:after="120"/>
              <w:jc w:val="both"/>
              <w:rPr>
                <w:rFonts w:ascii="Aptos" w:hAnsi="Aptos"/>
                <w:sz w:val="22"/>
                <w:szCs w:val="22"/>
              </w:rPr>
            </w:pPr>
            <w:r w:rsidRPr="00AD0FA2">
              <w:rPr>
                <w:rFonts w:ascii="Aptos" w:hAnsi="Aptos"/>
                <w:sz w:val="22"/>
                <w:szCs w:val="22"/>
              </w:rPr>
              <w:t xml:space="preserve">Planen Sie Initiativen und EU-Programme, die insbesondere </w:t>
            </w:r>
            <w:r w:rsidR="008A5FDC" w:rsidRPr="00325640">
              <w:rPr>
                <w:rFonts w:ascii="Aptos" w:hAnsi="Aptos"/>
                <w:sz w:val="22"/>
                <w:szCs w:val="22"/>
              </w:rPr>
              <w:t>gemein</w:t>
            </w:r>
            <w:r w:rsidR="008A5FDC">
              <w:rPr>
                <w:rFonts w:ascii="Aptos" w:hAnsi="Aptos"/>
                <w:sz w:val="22"/>
                <w:szCs w:val="22"/>
              </w:rPr>
              <w:t>nützige und kommunale</w:t>
            </w:r>
            <w:r w:rsidR="008A5FDC" w:rsidRPr="00325640">
              <w:rPr>
                <w:rFonts w:ascii="Aptos" w:hAnsi="Aptos"/>
                <w:sz w:val="22"/>
                <w:szCs w:val="22"/>
              </w:rPr>
              <w:t xml:space="preserve"> </w:t>
            </w:r>
            <w:r w:rsidRPr="00AD0FA2">
              <w:rPr>
                <w:rFonts w:ascii="Aptos" w:hAnsi="Aptos"/>
                <w:sz w:val="22"/>
                <w:szCs w:val="22"/>
              </w:rPr>
              <w:t>Akteure bei der Schaffung von leistbarem Wohnraum unterstützen?</w:t>
            </w:r>
          </w:p>
          <w:p w14:paraId="0B738AAE" w14:textId="77777777" w:rsidR="002B5096" w:rsidRDefault="00AD0FA2" w:rsidP="00AD0FA2">
            <w:pPr>
              <w:pStyle w:val="ListParagraph"/>
              <w:numPr>
                <w:ilvl w:val="0"/>
                <w:numId w:val="65"/>
              </w:numPr>
              <w:spacing w:before="120" w:after="120"/>
              <w:jc w:val="both"/>
              <w:rPr>
                <w:rFonts w:ascii="Aptos" w:hAnsi="Aptos"/>
                <w:sz w:val="22"/>
                <w:szCs w:val="22"/>
              </w:rPr>
            </w:pPr>
            <w:r w:rsidRPr="00AD0FA2">
              <w:rPr>
                <w:rFonts w:ascii="Aptos" w:hAnsi="Aptos"/>
                <w:sz w:val="22"/>
                <w:szCs w:val="22"/>
              </w:rPr>
              <w:t>Wie wollen Sie in Ihrer Legislaturperiode die volkswirtschaftlichen Effekte des leistbaren Wohnens optimieren?</w:t>
            </w:r>
          </w:p>
          <w:p w14:paraId="5E6BE51C" w14:textId="6A9BFDBD" w:rsidR="007F132E" w:rsidRPr="0050443A" w:rsidRDefault="007F132E" w:rsidP="00AD0FA2">
            <w:pPr>
              <w:pStyle w:val="ListParagraph"/>
              <w:numPr>
                <w:ilvl w:val="0"/>
                <w:numId w:val="65"/>
              </w:numPr>
              <w:spacing w:before="120" w:after="120"/>
              <w:jc w:val="both"/>
              <w:rPr>
                <w:rFonts w:ascii="Aptos" w:hAnsi="Aptos"/>
                <w:sz w:val="22"/>
                <w:szCs w:val="22"/>
              </w:rPr>
            </w:pPr>
            <w:r w:rsidRPr="007F132E">
              <w:rPr>
                <w:rFonts w:ascii="Aptos" w:hAnsi="Aptos"/>
                <w:sz w:val="22"/>
                <w:szCs w:val="22"/>
              </w:rPr>
              <w:t>Planen Sie die Einrichtung eines zweckgebundenen Wohnbau-Fonds auf europäischer Ebene, um Investitionen in den Ausbau des sozialen Wohnbaus und die thermische Sanierung zu fördern?</w:t>
            </w:r>
          </w:p>
        </w:tc>
      </w:tr>
    </w:tbl>
    <w:p w14:paraId="14DB25CC" w14:textId="77777777" w:rsidR="0050443A" w:rsidRDefault="0050443A" w:rsidP="0050443A">
      <w:pPr>
        <w:spacing w:after="120"/>
        <w:jc w:val="both"/>
        <w:rPr>
          <w:rFonts w:ascii="Aptos" w:hAnsi="Aptos"/>
          <w:b/>
          <w:iCs/>
          <w:sz w:val="22"/>
          <w:szCs w:val="22"/>
        </w:rPr>
      </w:pPr>
    </w:p>
    <w:tbl>
      <w:tblPr>
        <w:tblStyle w:val="TableNormal1"/>
        <w:tblW w:w="0" w:type="auto"/>
        <w:tblLayout w:type="fixed"/>
        <w:tblLook w:val="01E0" w:firstRow="1" w:lastRow="1" w:firstColumn="1" w:lastColumn="1" w:noHBand="0" w:noVBand="0"/>
      </w:tblPr>
      <w:tblGrid>
        <w:gridCol w:w="9066"/>
      </w:tblGrid>
      <w:tr w:rsidR="00715DD3" w:rsidRPr="009B5839" w14:paraId="36D8EC0E" w14:textId="77777777" w:rsidTr="003D4657">
        <w:trPr>
          <w:trHeight w:val="277"/>
        </w:trPr>
        <w:tc>
          <w:tcPr>
            <w:tcW w:w="9066" w:type="dxa"/>
            <w:shd w:val="clear" w:color="auto" w:fill="D9D9D9"/>
          </w:tcPr>
          <w:p w14:paraId="587C626E" w14:textId="77777777" w:rsidR="00715DD3" w:rsidRPr="009B5839" w:rsidRDefault="00715DD3" w:rsidP="003D4657">
            <w:pPr>
              <w:pStyle w:val="TableParagraph"/>
              <w:spacing w:line="258" w:lineRule="exact"/>
              <w:ind w:left="0"/>
              <w:rPr>
                <w:rFonts w:ascii="Aptos" w:hAnsi="Aptos"/>
                <w:b/>
                <w:sz w:val="24"/>
              </w:rPr>
            </w:pPr>
            <w:r>
              <w:rPr>
                <w:rFonts w:ascii="Aptos" w:hAnsi="Aptos"/>
                <w:b/>
                <w:sz w:val="24"/>
              </w:rPr>
              <w:t>Hintergrundinformationen</w:t>
            </w:r>
          </w:p>
        </w:tc>
      </w:tr>
    </w:tbl>
    <w:p w14:paraId="363A328F" w14:textId="1BE915D3" w:rsidR="00576C2A" w:rsidRDefault="00576C2A" w:rsidP="00576C2A">
      <w:pPr>
        <w:jc w:val="both"/>
        <w:rPr>
          <w:rFonts w:ascii="Aptos" w:hAnsi="Aptos"/>
          <w:sz w:val="22"/>
          <w:szCs w:val="22"/>
        </w:rPr>
      </w:pPr>
      <w:r>
        <w:rPr>
          <w:rFonts w:ascii="Aptos" w:hAnsi="Aptos"/>
          <w:sz w:val="22"/>
          <w:szCs w:val="22"/>
        </w:rPr>
        <w:t xml:space="preserve">Kommunale und gemeinnützige Bauvereinigungen </w:t>
      </w:r>
      <w:r w:rsidRPr="001A1F08">
        <w:rPr>
          <w:rFonts w:ascii="Aptos" w:hAnsi="Aptos"/>
          <w:sz w:val="22"/>
          <w:szCs w:val="22"/>
        </w:rPr>
        <w:t xml:space="preserve">leisten einen wichtigen Beitrag zur sozialen Stabilität, indem sie leistbaren Wohnraum zur Verfügung stellen und verhindern, dass die Mietkosten überproportional steigen. Da sie nicht gewinnorientiert arbeiten, liegen die Mieten in der Regel unter dem Marktniveau und wirken somit dämpfend auf den gesamten Mietmarkt (Kostenmiete) </w:t>
      </w:r>
      <w:r w:rsidRPr="001A1F08">
        <w:rPr>
          <w:rFonts w:ascii="Aptos" w:hAnsi="Aptos"/>
          <w:sz w:val="22"/>
          <w:szCs w:val="22"/>
          <w:vertAlign w:val="subscript"/>
        </w:rPr>
        <w:t>(1).</w:t>
      </w:r>
      <w:r w:rsidRPr="001A1F08">
        <w:rPr>
          <w:rFonts w:ascii="Aptos" w:hAnsi="Aptos"/>
          <w:sz w:val="22"/>
          <w:szCs w:val="22"/>
        </w:rPr>
        <w:t xml:space="preserve"> </w:t>
      </w:r>
      <w:r w:rsidR="00020036" w:rsidRPr="00020036">
        <w:rPr>
          <w:rFonts w:ascii="Aptos" w:hAnsi="Aptos"/>
          <w:sz w:val="22"/>
          <w:szCs w:val="22"/>
        </w:rPr>
        <w:t>Die steuerliche Begünstigung gemeinnütziger Bauträger ist daher ein wirksames Instrument zur Stabilisierung des Wohnungsmarktes und zur langfristigen Sicherung leistbaren Wohnens. Gemeinnützige Bauträger entlasten damit die Haushalte bei den Wohnkosten und reduzieren den Inflationsdruck auf die Wirtschaft. Gemeinnützige Bauvereinigungen sind nicht nur ein wichtiger Auftraggeber in der Bauwirtschaft, sondern ermöglichen vielen EU-Bürger:innen den Zugang zu qualitativ hochwertigem und leistbarem Wohnraum.</w:t>
      </w:r>
      <w:r w:rsidR="00020036">
        <w:rPr>
          <w:rFonts w:ascii="Aptos" w:hAnsi="Aptos"/>
          <w:sz w:val="22"/>
          <w:szCs w:val="22"/>
        </w:rPr>
        <w:t xml:space="preserve"> </w:t>
      </w:r>
      <w:r w:rsidR="00020036" w:rsidRPr="00F0248A">
        <w:rPr>
          <w:rFonts w:ascii="Aptos" w:hAnsi="Aptos"/>
          <w:sz w:val="22"/>
          <w:szCs w:val="22"/>
        </w:rPr>
        <w:t>Aus Perspektive der Daseinsvorsorge stellt leistbarer Wohnraum eine wesentliche Grundlage für die wirtschaftliche und gesellschaftliche Entwicklung in Europa dar</w:t>
      </w:r>
      <w:r w:rsidR="00020036">
        <w:rPr>
          <w:rFonts w:ascii="Aptos" w:hAnsi="Aptos"/>
          <w:sz w:val="22"/>
          <w:szCs w:val="22"/>
        </w:rPr>
        <w:t xml:space="preserve"> und es braucht entsprechende rechtliche Rahmenbedingungen in Europa, damit gemeinnützige und kommunale Akteure diesen Wohnraum schaffen können.</w:t>
      </w:r>
    </w:p>
    <w:p w14:paraId="71B26712" w14:textId="77777777" w:rsidR="00576C2A" w:rsidRDefault="00576C2A" w:rsidP="00576C2A">
      <w:pPr>
        <w:jc w:val="both"/>
        <w:rPr>
          <w:rFonts w:ascii="Aptos" w:hAnsi="Aptos"/>
          <w:bCs/>
          <w:sz w:val="22"/>
          <w:szCs w:val="22"/>
          <w:u w:val="single"/>
        </w:rPr>
      </w:pPr>
    </w:p>
    <w:p w14:paraId="6429168C" w14:textId="77777777" w:rsidR="00576C2A" w:rsidRPr="001A1F08" w:rsidRDefault="00576C2A" w:rsidP="00715DD3">
      <w:pPr>
        <w:pStyle w:val="ListParagraph"/>
        <w:numPr>
          <w:ilvl w:val="0"/>
          <w:numId w:val="97"/>
        </w:numPr>
        <w:ind w:left="360"/>
        <w:jc w:val="both"/>
        <w:rPr>
          <w:rFonts w:ascii="Aptos" w:hAnsi="Aptos"/>
          <w:sz w:val="18"/>
          <w:szCs w:val="18"/>
          <w:lang w:val="en-GB"/>
        </w:rPr>
      </w:pPr>
      <w:r w:rsidRPr="001A1F08">
        <w:rPr>
          <w:rFonts w:ascii="Aptos" w:hAnsi="Aptos"/>
          <w:sz w:val="18"/>
          <w:szCs w:val="18"/>
          <w:lang w:val="en-GB"/>
        </w:rPr>
        <w:t>Klien/Kössl et al. 2023: The Price-Damping Effect of Non-Profit Housing</w:t>
      </w:r>
    </w:p>
    <w:p w14:paraId="1752E030" w14:textId="77777777" w:rsidR="00576C2A" w:rsidRPr="001A1F08" w:rsidRDefault="00000000" w:rsidP="00715DD3">
      <w:pPr>
        <w:pStyle w:val="ListParagraph"/>
        <w:ind w:left="360"/>
        <w:jc w:val="both"/>
        <w:rPr>
          <w:rFonts w:ascii="Aptos" w:hAnsi="Aptos"/>
          <w:sz w:val="18"/>
          <w:szCs w:val="18"/>
          <w:lang w:val="en-GB"/>
        </w:rPr>
      </w:pPr>
      <w:hyperlink r:id="rId18" w:anchor="download" w:history="1">
        <w:r w:rsidR="00576C2A" w:rsidRPr="001A1F08">
          <w:rPr>
            <w:rStyle w:val="Hyperlink"/>
            <w:rFonts w:ascii="Aptos" w:hAnsi="Aptos"/>
            <w:sz w:val="18"/>
            <w:szCs w:val="18"/>
            <w:lang w:val="en-GB"/>
          </w:rPr>
          <w:t>https://ideas.repec.org/p/wfo/rbrief/y2023i6.html#download</w:t>
        </w:r>
      </w:hyperlink>
    </w:p>
    <w:p w14:paraId="1A5FAB55" w14:textId="77777777" w:rsidR="0050443A" w:rsidRPr="00576C2A" w:rsidRDefault="0050443A" w:rsidP="0050443A">
      <w:pPr>
        <w:rPr>
          <w:rFonts w:ascii="Aptos" w:hAnsi="Aptos"/>
          <w:i/>
          <w:iCs/>
          <w:sz w:val="22"/>
          <w:szCs w:val="22"/>
          <w:u w:val="single"/>
          <w:lang w:val="en-GB"/>
        </w:rPr>
      </w:pPr>
    </w:p>
    <w:bookmarkEnd w:id="4"/>
    <w:p w14:paraId="5833A5AF" w14:textId="77777777" w:rsidR="00435075" w:rsidRPr="00576C2A" w:rsidRDefault="00435075" w:rsidP="00435075">
      <w:pPr>
        <w:jc w:val="both"/>
        <w:rPr>
          <w:rFonts w:ascii="Aptos" w:hAnsi="Aptos"/>
          <w:bCs/>
          <w:sz w:val="22"/>
          <w:szCs w:val="22"/>
          <w:u w:val="single"/>
          <w:lang w:val="en-GB"/>
        </w:rPr>
      </w:pPr>
    </w:p>
    <w:p w14:paraId="3307E8F3" w14:textId="77777777" w:rsidR="00AD0FA2" w:rsidRPr="00576C2A" w:rsidRDefault="00AD0FA2" w:rsidP="00435075">
      <w:pPr>
        <w:jc w:val="both"/>
        <w:rPr>
          <w:rFonts w:ascii="Aptos" w:hAnsi="Aptos"/>
          <w:bCs/>
          <w:sz w:val="22"/>
          <w:szCs w:val="22"/>
          <w:u w:val="single"/>
          <w:lang w:val="en-GB"/>
        </w:rPr>
      </w:pPr>
    </w:p>
    <w:p w14:paraId="498F6376" w14:textId="77777777" w:rsidR="00AD0FA2" w:rsidRPr="00576C2A" w:rsidRDefault="00AD0FA2" w:rsidP="00435075">
      <w:pPr>
        <w:jc w:val="both"/>
        <w:rPr>
          <w:rFonts w:ascii="Aptos" w:hAnsi="Aptos"/>
          <w:bCs/>
          <w:sz w:val="22"/>
          <w:szCs w:val="22"/>
          <w:u w:val="single"/>
          <w:lang w:val="en-GB"/>
        </w:rPr>
      </w:pPr>
    </w:p>
    <w:p w14:paraId="781DF44B" w14:textId="77777777" w:rsidR="00AD0FA2" w:rsidRDefault="00AD0FA2" w:rsidP="00435075">
      <w:pPr>
        <w:jc w:val="both"/>
        <w:rPr>
          <w:rFonts w:ascii="Aptos" w:hAnsi="Aptos"/>
          <w:bCs/>
          <w:sz w:val="22"/>
          <w:szCs w:val="22"/>
          <w:u w:val="single"/>
          <w:lang w:val="en-GB"/>
        </w:rPr>
      </w:pPr>
    </w:p>
    <w:p w14:paraId="57186F7A" w14:textId="77777777" w:rsidR="00020036" w:rsidRDefault="00020036" w:rsidP="00435075">
      <w:pPr>
        <w:jc w:val="both"/>
        <w:rPr>
          <w:rFonts w:ascii="Aptos" w:hAnsi="Aptos"/>
          <w:bCs/>
          <w:sz w:val="22"/>
          <w:szCs w:val="22"/>
          <w:u w:val="single"/>
          <w:lang w:val="en-GB"/>
        </w:rPr>
      </w:pPr>
    </w:p>
    <w:p w14:paraId="75891B73" w14:textId="77777777" w:rsidR="00715DD3" w:rsidRDefault="00715DD3" w:rsidP="00435075">
      <w:pPr>
        <w:jc w:val="both"/>
        <w:rPr>
          <w:rFonts w:ascii="Aptos" w:hAnsi="Aptos"/>
          <w:bCs/>
          <w:sz w:val="22"/>
          <w:szCs w:val="22"/>
          <w:u w:val="single"/>
          <w:lang w:val="en-GB"/>
        </w:rPr>
      </w:pPr>
    </w:p>
    <w:p w14:paraId="55536C3E" w14:textId="77777777" w:rsidR="00020036" w:rsidRDefault="00020036" w:rsidP="00435075">
      <w:pPr>
        <w:jc w:val="both"/>
        <w:rPr>
          <w:rFonts w:ascii="Aptos" w:hAnsi="Aptos"/>
          <w:bCs/>
          <w:sz w:val="22"/>
          <w:szCs w:val="22"/>
          <w:u w:val="single"/>
          <w:lang w:val="en-GB"/>
        </w:rPr>
      </w:pPr>
    </w:p>
    <w:p w14:paraId="4BBF72C0" w14:textId="76487CDD" w:rsidR="0082018A" w:rsidRPr="0082018A" w:rsidRDefault="002B5096" w:rsidP="00020036">
      <w:pPr>
        <w:pStyle w:val="Heading1"/>
      </w:pPr>
      <w:bookmarkStart w:id="5" w:name="_Toc170377496"/>
      <w:r w:rsidRPr="0050443A">
        <w:t>Zinswende und nachhaltige Wohnungswirtschaft</w:t>
      </w:r>
      <w:bookmarkEnd w:id="5"/>
    </w:p>
    <w:tbl>
      <w:tblPr>
        <w:tblStyle w:val="TableGrid"/>
        <w:tblW w:w="0" w:type="auto"/>
        <w:tblInd w:w="108" w:type="dxa"/>
        <w:tblLook w:val="04A0" w:firstRow="1" w:lastRow="0" w:firstColumn="1" w:lastColumn="0" w:noHBand="0" w:noVBand="1"/>
      </w:tblPr>
      <w:tblGrid>
        <w:gridCol w:w="9060"/>
      </w:tblGrid>
      <w:tr w:rsidR="00435075" w:rsidRPr="0050443A" w14:paraId="76D9628F" w14:textId="77777777" w:rsidTr="00715DD3">
        <w:tc>
          <w:tcPr>
            <w:tcW w:w="9060" w:type="dxa"/>
            <w:shd w:val="clear" w:color="auto" w:fill="D9D9D9" w:themeFill="background1" w:themeFillShade="D9"/>
          </w:tcPr>
          <w:p w14:paraId="02BBB9F3" w14:textId="49743079" w:rsidR="00435075" w:rsidRPr="0050443A" w:rsidRDefault="00435075" w:rsidP="00072582">
            <w:pPr>
              <w:spacing w:before="120" w:after="120"/>
              <w:jc w:val="both"/>
              <w:rPr>
                <w:rFonts w:ascii="Aptos" w:hAnsi="Aptos"/>
                <w:b/>
                <w:iCs/>
                <w:sz w:val="22"/>
                <w:szCs w:val="22"/>
              </w:rPr>
            </w:pPr>
            <w:r w:rsidRPr="0050443A">
              <w:rPr>
                <w:rFonts w:ascii="Aptos" w:hAnsi="Aptos"/>
                <w:b/>
                <w:iCs/>
                <w:sz w:val="22"/>
                <w:szCs w:val="22"/>
              </w:rPr>
              <w:t>Frage</w:t>
            </w:r>
          </w:p>
        </w:tc>
      </w:tr>
      <w:tr w:rsidR="00435075" w:rsidRPr="0050443A" w14:paraId="6D7E3473" w14:textId="77777777" w:rsidTr="00715DD3">
        <w:tc>
          <w:tcPr>
            <w:tcW w:w="9060" w:type="dxa"/>
          </w:tcPr>
          <w:p w14:paraId="7F976157" w14:textId="04E245DF" w:rsidR="00435075" w:rsidRPr="00AD0FA2" w:rsidRDefault="00AD0FA2" w:rsidP="002B5096">
            <w:pPr>
              <w:jc w:val="both"/>
              <w:rPr>
                <w:rFonts w:ascii="Aptos" w:hAnsi="Aptos"/>
                <w:i/>
                <w:iCs/>
                <w:sz w:val="22"/>
                <w:szCs w:val="22"/>
              </w:rPr>
            </w:pPr>
            <w:r w:rsidRPr="00AD0FA2">
              <w:rPr>
                <w:rFonts w:ascii="Aptos" w:hAnsi="Aptos"/>
                <w:sz w:val="22"/>
                <w:szCs w:val="22"/>
              </w:rPr>
              <w:t xml:space="preserve">Der Immobiliensektor spielt eine entscheidende Rolle auf den Finanzmärkten, und die Erfahrungen der Vergangenheit haben gezeigt, dass Finanzmarktkrisen durch </w:t>
            </w:r>
            <w:r w:rsidR="00020036">
              <w:rPr>
                <w:rFonts w:ascii="Aptos" w:hAnsi="Aptos"/>
                <w:sz w:val="22"/>
                <w:szCs w:val="22"/>
              </w:rPr>
              <w:t>ausfallende</w:t>
            </w:r>
            <w:r w:rsidRPr="00AD0FA2">
              <w:rPr>
                <w:rFonts w:ascii="Aptos" w:hAnsi="Aptos"/>
                <w:sz w:val="22"/>
                <w:szCs w:val="22"/>
              </w:rPr>
              <w:t xml:space="preserve"> Vermögenswerte in diesem Sektor ausgelöst oder verschärft werden können. </w:t>
            </w:r>
            <w:r w:rsidR="00020036" w:rsidRPr="00020036">
              <w:rPr>
                <w:rFonts w:ascii="Aptos" w:hAnsi="Aptos"/>
                <w:sz w:val="22"/>
                <w:szCs w:val="22"/>
              </w:rPr>
              <w:t>Angesichts der Immobilienpreisentwicklung vor und nach der Zinswende und der jüngsten Rezession stellt sich die Frage, wie Spekulationen und Finanzblasen auf dem Immobilienmarkt vermieden werden können, um langfristig Stabilität zu gewährleisten.</w:t>
            </w:r>
            <w:r w:rsidRPr="00AD0FA2">
              <w:rPr>
                <w:rFonts w:ascii="Aptos" w:hAnsi="Aptos"/>
                <w:sz w:val="22"/>
                <w:szCs w:val="22"/>
              </w:rPr>
              <w:t xml:space="preserve"> </w:t>
            </w:r>
            <w:r w:rsidRPr="00AD0FA2">
              <w:rPr>
                <w:rFonts w:ascii="Aptos" w:hAnsi="Aptos"/>
                <w:b/>
                <w:bCs/>
                <w:sz w:val="22"/>
                <w:szCs w:val="22"/>
              </w:rPr>
              <w:t>Welche Initiativen und Steuerungsinstrumente planen Sie, dass der überhitzte Immobilienmarkt in Europa keine neue Finanzkrise auslöst?</w:t>
            </w:r>
          </w:p>
        </w:tc>
      </w:tr>
      <w:tr w:rsidR="00435075" w:rsidRPr="0050443A" w14:paraId="5E546101" w14:textId="77777777" w:rsidTr="00715DD3">
        <w:tc>
          <w:tcPr>
            <w:tcW w:w="9060" w:type="dxa"/>
            <w:shd w:val="clear" w:color="auto" w:fill="D9D9D9" w:themeFill="background1" w:themeFillShade="D9"/>
          </w:tcPr>
          <w:p w14:paraId="1DAF04B5" w14:textId="6EC425B0" w:rsidR="00435075" w:rsidRPr="0050443A" w:rsidRDefault="00435075" w:rsidP="00072582">
            <w:pPr>
              <w:spacing w:before="120" w:after="120"/>
              <w:jc w:val="both"/>
              <w:rPr>
                <w:rFonts w:ascii="Aptos" w:hAnsi="Aptos"/>
                <w:b/>
                <w:bCs/>
                <w:sz w:val="22"/>
                <w:szCs w:val="22"/>
              </w:rPr>
            </w:pPr>
            <w:r w:rsidRPr="0050443A">
              <w:rPr>
                <w:rFonts w:ascii="Aptos" w:hAnsi="Aptos"/>
                <w:b/>
                <w:bCs/>
                <w:sz w:val="22"/>
                <w:szCs w:val="22"/>
              </w:rPr>
              <w:t>Nachfrage</w:t>
            </w:r>
          </w:p>
        </w:tc>
      </w:tr>
      <w:tr w:rsidR="00435075" w:rsidRPr="0050443A" w14:paraId="193A5397" w14:textId="77777777" w:rsidTr="00715DD3">
        <w:tc>
          <w:tcPr>
            <w:tcW w:w="9060" w:type="dxa"/>
          </w:tcPr>
          <w:p w14:paraId="238FD399" w14:textId="1C75A358" w:rsidR="00AD0FA2" w:rsidRPr="00AD0FA2" w:rsidRDefault="00AD0FA2" w:rsidP="00AD0FA2">
            <w:pPr>
              <w:pStyle w:val="ListParagraph"/>
              <w:numPr>
                <w:ilvl w:val="0"/>
                <w:numId w:val="65"/>
              </w:numPr>
              <w:spacing w:before="120" w:after="120"/>
              <w:jc w:val="both"/>
              <w:rPr>
                <w:rFonts w:ascii="Aptos" w:hAnsi="Aptos"/>
                <w:sz w:val="22"/>
                <w:szCs w:val="22"/>
              </w:rPr>
            </w:pPr>
            <w:r w:rsidRPr="00AD0FA2">
              <w:rPr>
                <w:rFonts w:ascii="Aptos" w:hAnsi="Aptos"/>
                <w:sz w:val="22"/>
                <w:szCs w:val="22"/>
              </w:rPr>
              <w:t>Wie wollen Sie verhindern, dass bei der nächsten Niedrigzinspolitik wieder eine Spekulationsblase im Wohnungsbau entsteht und das Geld in den spekulativen Wohnungsbau fließt?</w:t>
            </w:r>
          </w:p>
          <w:p w14:paraId="661A479E" w14:textId="4B4E271D" w:rsidR="00435075" w:rsidRPr="0050443A" w:rsidRDefault="00AD0FA2" w:rsidP="00AD0FA2">
            <w:pPr>
              <w:pStyle w:val="ListParagraph"/>
              <w:numPr>
                <w:ilvl w:val="0"/>
                <w:numId w:val="65"/>
              </w:numPr>
              <w:spacing w:before="120" w:after="120"/>
              <w:jc w:val="both"/>
              <w:rPr>
                <w:rFonts w:ascii="Aptos" w:hAnsi="Aptos"/>
                <w:sz w:val="22"/>
                <w:szCs w:val="22"/>
              </w:rPr>
            </w:pPr>
            <w:r w:rsidRPr="00AD0FA2">
              <w:rPr>
                <w:rFonts w:ascii="Aptos" w:hAnsi="Aptos"/>
                <w:sz w:val="22"/>
                <w:szCs w:val="22"/>
              </w:rPr>
              <w:t xml:space="preserve">Welche Rolle spielen in Ihren Überlegungen </w:t>
            </w:r>
            <w:r w:rsidR="00BB5AC4" w:rsidRPr="00325640">
              <w:rPr>
                <w:rFonts w:ascii="Aptos" w:hAnsi="Aptos"/>
                <w:sz w:val="22"/>
                <w:szCs w:val="22"/>
              </w:rPr>
              <w:t>gemein</w:t>
            </w:r>
            <w:r w:rsidR="00BB5AC4">
              <w:rPr>
                <w:rFonts w:ascii="Aptos" w:hAnsi="Aptos"/>
                <w:sz w:val="22"/>
                <w:szCs w:val="22"/>
              </w:rPr>
              <w:t>nützige</w:t>
            </w:r>
            <w:r w:rsidR="00BB5AC4" w:rsidRPr="00325640">
              <w:rPr>
                <w:rFonts w:ascii="Aptos" w:hAnsi="Aptos"/>
                <w:sz w:val="22"/>
                <w:szCs w:val="22"/>
              </w:rPr>
              <w:t xml:space="preserve"> </w:t>
            </w:r>
            <w:r w:rsidRPr="00AD0FA2">
              <w:rPr>
                <w:rFonts w:ascii="Aptos" w:hAnsi="Aptos"/>
                <w:sz w:val="22"/>
                <w:szCs w:val="22"/>
              </w:rPr>
              <w:t>Akteure für eine nachhaltige Wohnungswirtschaft?</w:t>
            </w:r>
          </w:p>
        </w:tc>
      </w:tr>
    </w:tbl>
    <w:p w14:paraId="6DA57D80" w14:textId="77777777" w:rsidR="00435075" w:rsidRDefault="00435075" w:rsidP="00435075">
      <w:pPr>
        <w:spacing w:after="120"/>
        <w:jc w:val="both"/>
        <w:rPr>
          <w:rFonts w:ascii="Aptos" w:hAnsi="Aptos"/>
          <w:i/>
          <w:iCs/>
          <w:sz w:val="22"/>
          <w:szCs w:val="22"/>
          <w:u w:val="single"/>
        </w:rPr>
      </w:pPr>
    </w:p>
    <w:tbl>
      <w:tblPr>
        <w:tblStyle w:val="TableNormal1"/>
        <w:tblW w:w="0" w:type="auto"/>
        <w:tblLayout w:type="fixed"/>
        <w:tblLook w:val="01E0" w:firstRow="1" w:lastRow="1" w:firstColumn="1" w:lastColumn="1" w:noHBand="0" w:noVBand="0"/>
      </w:tblPr>
      <w:tblGrid>
        <w:gridCol w:w="9066"/>
      </w:tblGrid>
      <w:tr w:rsidR="00715DD3" w:rsidRPr="009B5839" w14:paraId="6C676C52" w14:textId="77777777" w:rsidTr="003D4657">
        <w:trPr>
          <w:trHeight w:val="277"/>
        </w:trPr>
        <w:tc>
          <w:tcPr>
            <w:tcW w:w="9066" w:type="dxa"/>
            <w:shd w:val="clear" w:color="auto" w:fill="D9D9D9"/>
          </w:tcPr>
          <w:p w14:paraId="4DDB2D58" w14:textId="77777777" w:rsidR="00715DD3" w:rsidRPr="009B5839" w:rsidRDefault="00715DD3" w:rsidP="003D4657">
            <w:pPr>
              <w:pStyle w:val="TableParagraph"/>
              <w:spacing w:line="258" w:lineRule="exact"/>
              <w:ind w:left="0"/>
              <w:rPr>
                <w:rFonts w:ascii="Aptos" w:hAnsi="Aptos"/>
                <w:b/>
                <w:sz w:val="24"/>
              </w:rPr>
            </w:pPr>
            <w:r>
              <w:rPr>
                <w:rFonts w:ascii="Aptos" w:hAnsi="Aptos"/>
                <w:b/>
                <w:sz w:val="24"/>
              </w:rPr>
              <w:t>Hintergrundinformationen</w:t>
            </w:r>
          </w:p>
        </w:tc>
      </w:tr>
    </w:tbl>
    <w:p w14:paraId="57792E81" w14:textId="59C7F4CB" w:rsidR="00E875CA" w:rsidRPr="00D14E6F" w:rsidRDefault="00D14E6F" w:rsidP="006A23AC">
      <w:pPr>
        <w:jc w:val="both"/>
        <w:rPr>
          <w:rFonts w:ascii="Aptos" w:hAnsi="Aptos"/>
          <w:sz w:val="22"/>
          <w:szCs w:val="22"/>
        </w:rPr>
      </w:pPr>
      <w:r w:rsidRPr="00D14E6F">
        <w:rPr>
          <w:rFonts w:ascii="Aptos" w:hAnsi="Aptos"/>
          <w:sz w:val="22"/>
          <w:szCs w:val="22"/>
        </w:rPr>
        <w:t xml:space="preserve">Die Zinswende seit Juli 2022, d.h. die Umkehr der langjährigen Niedrigzinspolitik hin zu steigenden Zinsen, hatte erhebliche Auswirkungen auf die Immobilienwirtschaft. Obwohl der Leitzins der EZB </w:t>
      </w:r>
      <w:r w:rsidR="00395C5B">
        <w:rPr>
          <w:rFonts w:ascii="Aptos" w:hAnsi="Aptos"/>
          <w:sz w:val="22"/>
          <w:szCs w:val="22"/>
        </w:rPr>
        <w:t xml:space="preserve">Mitte des </w:t>
      </w:r>
      <w:r w:rsidRPr="00D14E6F">
        <w:rPr>
          <w:rFonts w:ascii="Aptos" w:hAnsi="Aptos"/>
          <w:sz w:val="22"/>
          <w:szCs w:val="22"/>
        </w:rPr>
        <w:t>Jahr</w:t>
      </w:r>
      <w:r w:rsidR="00395C5B">
        <w:rPr>
          <w:rFonts w:ascii="Aptos" w:hAnsi="Aptos"/>
          <w:sz w:val="22"/>
          <w:szCs w:val="22"/>
        </w:rPr>
        <w:t>es</w:t>
      </w:r>
      <w:r w:rsidRPr="00D14E6F">
        <w:rPr>
          <w:rFonts w:ascii="Aptos" w:hAnsi="Aptos"/>
          <w:sz w:val="22"/>
          <w:szCs w:val="22"/>
        </w:rPr>
        <w:t xml:space="preserve"> 2024 leicht gesenkt wurde, kämpft die Branche weiterhin mit den steigenden Zinsen der letzten zwei Jahre. Diese steigenden Finanzierungskosten für Bauvorhaben und Hypotheken dämpfen die Nachfrage nach Immobilien und üben Druck auf die Preise aus, insbesondere in Zeiten wirtschaftlicher Unsicherheit wie nach der jüngsten Rezession</w:t>
      </w:r>
      <w:r w:rsidR="00395C5B">
        <w:rPr>
          <w:rFonts w:ascii="Aptos" w:hAnsi="Aptos"/>
          <w:sz w:val="22"/>
          <w:szCs w:val="22"/>
        </w:rPr>
        <w:t xml:space="preserve"> </w:t>
      </w:r>
      <w:r w:rsidR="00395C5B" w:rsidRPr="00395C5B">
        <w:rPr>
          <w:rFonts w:ascii="Aptos" w:hAnsi="Aptos"/>
          <w:sz w:val="22"/>
          <w:szCs w:val="22"/>
          <w:vertAlign w:val="subscript"/>
        </w:rPr>
        <w:t>(1)</w:t>
      </w:r>
      <w:r w:rsidRPr="00D14E6F">
        <w:rPr>
          <w:rFonts w:ascii="Aptos" w:hAnsi="Aptos"/>
          <w:sz w:val="22"/>
          <w:szCs w:val="22"/>
        </w:rPr>
        <w:t xml:space="preserve">. Ein Rückgang der </w:t>
      </w:r>
      <w:r w:rsidR="00020036">
        <w:rPr>
          <w:rFonts w:ascii="Aptos" w:hAnsi="Aptos"/>
          <w:sz w:val="22"/>
          <w:szCs w:val="22"/>
        </w:rPr>
        <w:t>Wirtschaftsaktivität</w:t>
      </w:r>
      <w:r w:rsidRPr="00D14E6F">
        <w:rPr>
          <w:rFonts w:ascii="Aptos" w:hAnsi="Aptos"/>
          <w:sz w:val="22"/>
          <w:szCs w:val="22"/>
        </w:rPr>
        <w:t xml:space="preserve"> im Immobiliensektor hat direkte Auswirkungen auf die Beschäftigung, die Zulieferbranchen und die Verfügbarkeit von bezahlbarem Wohnraum. Angesichts dieser Entwicklungen stellt sich die Frage, wie Spekulation und Finanzblasen auf dem Immobilienmarkt vermieden werden können, um langfristige Stabilität zu gewährleisten. Der Immobiliensektor ist ein sehr relevanter Faktor auf den Finanzmärkten. Die Finanzkrise 2007/2008 hat gezeigt, dass faule Hypothekenkredite große Banken und Kreditinstitute ins Wanken bringen und damit das gesamte Finanzsystem destabilisieren können. Eine Rückkehr zur Niedrigzinspolitik könnte erneut zu Spekulationsblasen gewinnorientierter Akteure führen. Aus Sicht der Daseinsvorsorge ist nachhaltige</w:t>
      </w:r>
      <w:r w:rsidR="00020036">
        <w:rPr>
          <w:rFonts w:ascii="Aptos" w:hAnsi="Aptos"/>
          <w:sz w:val="22"/>
          <w:szCs w:val="22"/>
        </w:rPr>
        <w:t xml:space="preserve"> Investitionen in leistbaren Wohnraum </w:t>
      </w:r>
      <w:r w:rsidRPr="00D14E6F">
        <w:rPr>
          <w:rFonts w:ascii="Aptos" w:hAnsi="Aptos"/>
          <w:sz w:val="22"/>
          <w:szCs w:val="22"/>
        </w:rPr>
        <w:t xml:space="preserve">ein wichtiger Hebel für langfristiges Wachstum, wirtschaftliche Stabilität und </w:t>
      </w:r>
      <w:r w:rsidR="00020036">
        <w:rPr>
          <w:rFonts w:ascii="Aptos" w:hAnsi="Aptos"/>
          <w:sz w:val="22"/>
          <w:szCs w:val="22"/>
        </w:rPr>
        <w:t>gesellschaftspolitischen Zusammenhalt</w:t>
      </w:r>
      <w:r w:rsidRPr="00D14E6F">
        <w:rPr>
          <w:rFonts w:ascii="Aptos" w:hAnsi="Aptos"/>
          <w:sz w:val="22"/>
          <w:szCs w:val="22"/>
        </w:rPr>
        <w:t>. Insbesondere gemeinnützige Bauträger bieten ein gutes Gegengewicht zur Immobilienspekulation und sind verlässliche Partner in wirtschaftlich unsicheren Zeiten.</w:t>
      </w:r>
    </w:p>
    <w:p w14:paraId="2DBE9FD2" w14:textId="77777777" w:rsidR="000753E6" w:rsidRDefault="000753E6" w:rsidP="006A23AC">
      <w:pPr>
        <w:jc w:val="both"/>
        <w:rPr>
          <w:rFonts w:ascii="Aptos" w:hAnsi="Aptos"/>
        </w:rPr>
      </w:pPr>
    </w:p>
    <w:p w14:paraId="7FB23E10" w14:textId="151F567E" w:rsidR="00395C5B" w:rsidRDefault="00395C5B" w:rsidP="00395C5B">
      <w:pPr>
        <w:pStyle w:val="ListParagraph"/>
        <w:numPr>
          <w:ilvl w:val="0"/>
          <w:numId w:val="98"/>
        </w:numPr>
        <w:jc w:val="both"/>
        <w:rPr>
          <w:rFonts w:ascii="Aptos" w:hAnsi="Aptos"/>
          <w:sz w:val="18"/>
          <w:szCs w:val="18"/>
          <w:lang w:val="en-GB"/>
        </w:rPr>
      </w:pPr>
      <w:r>
        <w:rPr>
          <w:rFonts w:ascii="Aptos" w:hAnsi="Aptos"/>
          <w:sz w:val="18"/>
          <w:szCs w:val="18"/>
          <w:lang w:val="en-GB"/>
        </w:rPr>
        <w:t>US Bank 2024</w:t>
      </w:r>
      <w:r w:rsidRPr="001A1F08">
        <w:rPr>
          <w:rFonts w:ascii="Aptos" w:hAnsi="Aptos"/>
          <w:sz w:val="18"/>
          <w:szCs w:val="18"/>
          <w:lang w:val="en-GB"/>
        </w:rPr>
        <w:t xml:space="preserve">: </w:t>
      </w:r>
      <w:r w:rsidRPr="00395C5B">
        <w:rPr>
          <w:rFonts w:ascii="Aptos" w:hAnsi="Aptos"/>
          <w:sz w:val="18"/>
          <w:szCs w:val="18"/>
          <w:lang w:val="en-GB"/>
        </w:rPr>
        <w:t>The impact of today’s higher interest rates on the housing market</w:t>
      </w:r>
    </w:p>
    <w:p w14:paraId="37D8BC6B" w14:textId="6C3E9916" w:rsidR="00395C5B" w:rsidRPr="00395C5B" w:rsidRDefault="00000000" w:rsidP="00020036">
      <w:pPr>
        <w:pStyle w:val="ListParagraph"/>
        <w:ind w:left="360"/>
        <w:jc w:val="both"/>
        <w:rPr>
          <w:rStyle w:val="Hyperlink"/>
          <w:lang w:val="en-GB"/>
        </w:rPr>
      </w:pPr>
      <w:hyperlink r:id="rId19" w:history="1">
        <w:r w:rsidR="00395C5B">
          <w:rPr>
            <w:rStyle w:val="Hyperlink"/>
            <w:rFonts w:ascii="Aptos" w:hAnsi="Aptos"/>
            <w:sz w:val="18"/>
            <w:szCs w:val="18"/>
            <w:lang w:val="en-GB"/>
          </w:rPr>
          <w:t>https://www.usbank.com/investing/financial-perspectives/investing-insights/interest-rates-impact-on-housing-market.html</w:t>
        </w:r>
      </w:hyperlink>
    </w:p>
    <w:p w14:paraId="516BD271" w14:textId="77777777" w:rsidR="000753E6" w:rsidRPr="00395C5B" w:rsidRDefault="000753E6" w:rsidP="006A23AC">
      <w:pPr>
        <w:jc w:val="both"/>
        <w:rPr>
          <w:rFonts w:ascii="Aptos" w:hAnsi="Aptos"/>
          <w:lang w:val="en-GB"/>
        </w:rPr>
      </w:pPr>
    </w:p>
    <w:p w14:paraId="16798578" w14:textId="77777777" w:rsidR="000753E6" w:rsidRPr="00395C5B" w:rsidRDefault="000753E6" w:rsidP="006A23AC">
      <w:pPr>
        <w:jc w:val="both"/>
        <w:rPr>
          <w:rFonts w:ascii="Aptos" w:hAnsi="Aptos"/>
          <w:lang w:val="en-GB"/>
        </w:rPr>
      </w:pPr>
    </w:p>
    <w:p w14:paraId="31C7F956" w14:textId="77777777" w:rsidR="000753E6" w:rsidRPr="00395C5B" w:rsidRDefault="000753E6" w:rsidP="006A23AC">
      <w:pPr>
        <w:jc w:val="both"/>
        <w:rPr>
          <w:rFonts w:ascii="Aptos" w:hAnsi="Aptos"/>
          <w:lang w:val="en-GB"/>
        </w:rPr>
      </w:pPr>
    </w:p>
    <w:p w14:paraId="4CFA3B44" w14:textId="77777777" w:rsidR="000753E6" w:rsidRDefault="000753E6" w:rsidP="006A23AC">
      <w:pPr>
        <w:jc w:val="both"/>
        <w:rPr>
          <w:rFonts w:ascii="Aptos" w:hAnsi="Aptos"/>
          <w:lang w:val="en-GB"/>
        </w:rPr>
      </w:pPr>
    </w:p>
    <w:p w14:paraId="2C7AF0AD" w14:textId="77777777" w:rsidR="00715DD3" w:rsidRPr="00395C5B" w:rsidRDefault="00715DD3" w:rsidP="006A23AC">
      <w:pPr>
        <w:jc w:val="both"/>
        <w:rPr>
          <w:rFonts w:ascii="Aptos" w:hAnsi="Aptos"/>
          <w:lang w:val="en-GB"/>
        </w:rPr>
      </w:pPr>
    </w:p>
    <w:p w14:paraId="6A1B028B" w14:textId="77777777" w:rsidR="000753E6" w:rsidRPr="00395C5B" w:rsidRDefault="000753E6" w:rsidP="006A23AC">
      <w:pPr>
        <w:jc w:val="both"/>
        <w:rPr>
          <w:rFonts w:ascii="Aptos" w:hAnsi="Aptos"/>
          <w:lang w:val="en-GB"/>
        </w:rPr>
      </w:pPr>
    </w:p>
    <w:p w14:paraId="072E2252" w14:textId="45021B4F" w:rsidR="0082018A" w:rsidRPr="0082018A" w:rsidRDefault="000753E6" w:rsidP="00453A06">
      <w:pPr>
        <w:pStyle w:val="Heading1"/>
      </w:pPr>
      <w:bookmarkStart w:id="6" w:name="_Toc170377497"/>
      <w:r>
        <w:t>Förderung des s</w:t>
      </w:r>
      <w:r w:rsidR="00D0073E" w:rsidRPr="0050443A">
        <w:t>erielle</w:t>
      </w:r>
      <w:r>
        <w:t>n</w:t>
      </w:r>
      <w:r w:rsidR="00D0073E" w:rsidRPr="0050443A">
        <w:t xml:space="preserve"> und </w:t>
      </w:r>
      <w:r>
        <w:t>m</w:t>
      </w:r>
      <w:r w:rsidR="00D0073E" w:rsidRPr="0050443A">
        <w:t>odulare</w:t>
      </w:r>
      <w:r>
        <w:t>n</w:t>
      </w:r>
      <w:r w:rsidR="00D0073E" w:rsidRPr="0050443A">
        <w:t xml:space="preserve"> Bauen</w:t>
      </w:r>
      <w:r>
        <w:t>s</w:t>
      </w:r>
      <w:bookmarkEnd w:id="6"/>
      <w:r w:rsidR="00D0073E" w:rsidRPr="0050443A">
        <w:t xml:space="preserve"> </w:t>
      </w:r>
    </w:p>
    <w:tbl>
      <w:tblPr>
        <w:tblStyle w:val="TableGrid"/>
        <w:tblW w:w="9060" w:type="dxa"/>
        <w:tblInd w:w="108" w:type="dxa"/>
        <w:tblLook w:val="04A0" w:firstRow="1" w:lastRow="0" w:firstColumn="1" w:lastColumn="0" w:noHBand="0" w:noVBand="1"/>
      </w:tblPr>
      <w:tblGrid>
        <w:gridCol w:w="9060"/>
      </w:tblGrid>
      <w:tr w:rsidR="006A23AC" w:rsidRPr="0050443A" w14:paraId="493A240C" w14:textId="77777777" w:rsidTr="00715DD3">
        <w:tc>
          <w:tcPr>
            <w:tcW w:w="9060" w:type="dxa"/>
            <w:shd w:val="clear" w:color="auto" w:fill="D9D9D9" w:themeFill="background1" w:themeFillShade="D9"/>
          </w:tcPr>
          <w:p w14:paraId="6751D3E0" w14:textId="149D5D42" w:rsidR="006A23AC" w:rsidRPr="0050443A" w:rsidRDefault="006A23AC" w:rsidP="00072582">
            <w:pPr>
              <w:spacing w:before="120" w:after="120"/>
              <w:jc w:val="both"/>
              <w:rPr>
                <w:rFonts w:ascii="Aptos" w:hAnsi="Aptos"/>
                <w:b/>
                <w:iCs/>
                <w:sz w:val="22"/>
                <w:szCs w:val="22"/>
              </w:rPr>
            </w:pPr>
            <w:r w:rsidRPr="0050443A">
              <w:rPr>
                <w:rFonts w:ascii="Aptos" w:hAnsi="Aptos"/>
                <w:b/>
                <w:iCs/>
                <w:sz w:val="22"/>
                <w:szCs w:val="22"/>
              </w:rPr>
              <w:t>Frage</w:t>
            </w:r>
          </w:p>
        </w:tc>
      </w:tr>
      <w:tr w:rsidR="006A23AC" w:rsidRPr="0050443A" w14:paraId="4AD21EEF" w14:textId="77777777" w:rsidTr="00715DD3">
        <w:tc>
          <w:tcPr>
            <w:tcW w:w="9060" w:type="dxa"/>
          </w:tcPr>
          <w:p w14:paraId="635EE709" w14:textId="15140F96" w:rsidR="006A23AC" w:rsidRPr="000753E6" w:rsidRDefault="000E5ACC" w:rsidP="00072582">
            <w:pPr>
              <w:spacing w:before="120" w:after="120"/>
              <w:jc w:val="both"/>
              <w:rPr>
                <w:rFonts w:ascii="Aptos" w:hAnsi="Aptos" w:cs="Open Sans"/>
                <w:sz w:val="22"/>
                <w:szCs w:val="22"/>
              </w:rPr>
            </w:pPr>
            <w:r w:rsidRPr="000E5ACC">
              <w:rPr>
                <w:rFonts w:ascii="Aptos" w:hAnsi="Aptos" w:cs="Open Sans"/>
                <w:sz w:val="22"/>
                <w:szCs w:val="22"/>
              </w:rPr>
              <w:t>Der Gebäudesektor ist derzeit für 40 % des Energieverbrauchs und 36 % der Treibhausgasemissionen in der EU verantwortlich. Die EU hat sich zum Ziel gesetzt, dass ab 2030 alle Neubauten Nullemissionsgebäude sein sollen. Serielles und modulares Bauen ermöglicht es, klimafreundliches Bauen durch einen ganzheitlichen Produktansatz stärker in den Fokus zu rücken. Durch die Vorfertigung der Bauteile im Werk verkürzt sich die Bauzeit vor Ort auf durchschnittlich rund sechs Monate und ermöglicht einen effizienten Einsatz knapper Ressourcen wie Personal und Material. Serielles und modulares Bauen ist ein wichtiger Hebel, um die derzeit hohen Baukosten in den Griff zu bekommen und kostengünstigen Wohnraum zu schaffen. Ein weiterer wesentlicher Vorteil ist die Planungssicherheit und Kalkulierbarkeit.</w:t>
            </w:r>
            <w:r>
              <w:rPr>
                <w:rFonts w:ascii="Aptos" w:hAnsi="Aptos" w:cs="Open Sans"/>
                <w:sz w:val="22"/>
                <w:szCs w:val="22"/>
              </w:rPr>
              <w:t xml:space="preserve"> </w:t>
            </w:r>
            <w:r w:rsidR="000753E6" w:rsidRPr="000753E6">
              <w:rPr>
                <w:rFonts w:ascii="Aptos" w:hAnsi="Aptos" w:cs="Open Sans"/>
                <w:b/>
                <w:bCs/>
                <w:sz w:val="22"/>
                <w:szCs w:val="22"/>
              </w:rPr>
              <w:t>Welche Rolle spielt serielles und modulares Bauen in Ihren Überlegungen, um die Ziele des emissionsfreien und leistbaren Wohnbaus zu ermöglichen?</w:t>
            </w:r>
          </w:p>
        </w:tc>
      </w:tr>
      <w:tr w:rsidR="006A23AC" w:rsidRPr="0050443A" w14:paraId="74F369A7" w14:textId="77777777" w:rsidTr="00715DD3">
        <w:tc>
          <w:tcPr>
            <w:tcW w:w="9060" w:type="dxa"/>
            <w:shd w:val="clear" w:color="auto" w:fill="D9D9D9" w:themeFill="background1" w:themeFillShade="D9"/>
          </w:tcPr>
          <w:p w14:paraId="79F9886B" w14:textId="44F20D10" w:rsidR="006A23AC" w:rsidRPr="0050443A" w:rsidRDefault="006A23AC" w:rsidP="00072582">
            <w:pPr>
              <w:spacing w:before="120" w:after="120"/>
              <w:jc w:val="both"/>
              <w:rPr>
                <w:rFonts w:ascii="Aptos" w:hAnsi="Aptos"/>
                <w:b/>
                <w:bCs/>
                <w:sz w:val="22"/>
                <w:szCs w:val="22"/>
              </w:rPr>
            </w:pPr>
            <w:r w:rsidRPr="0050443A">
              <w:rPr>
                <w:rFonts w:ascii="Aptos" w:hAnsi="Aptos"/>
                <w:b/>
                <w:bCs/>
                <w:sz w:val="22"/>
                <w:szCs w:val="22"/>
              </w:rPr>
              <w:t>Nachfrag</w:t>
            </w:r>
            <w:r w:rsidR="00E30101" w:rsidRPr="0050443A">
              <w:rPr>
                <w:rFonts w:ascii="Aptos" w:hAnsi="Aptos"/>
                <w:b/>
                <w:bCs/>
                <w:sz w:val="22"/>
                <w:szCs w:val="22"/>
              </w:rPr>
              <w:t>e</w:t>
            </w:r>
          </w:p>
        </w:tc>
      </w:tr>
      <w:tr w:rsidR="006A23AC" w:rsidRPr="0050443A" w14:paraId="7A6568B0" w14:textId="77777777" w:rsidTr="00715DD3">
        <w:tc>
          <w:tcPr>
            <w:tcW w:w="9060" w:type="dxa"/>
          </w:tcPr>
          <w:p w14:paraId="39292461" w14:textId="657CA21F" w:rsidR="006A23AC" w:rsidRPr="000753E6" w:rsidRDefault="000753E6" w:rsidP="000753E6">
            <w:pPr>
              <w:pStyle w:val="ListParagraph"/>
              <w:numPr>
                <w:ilvl w:val="0"/>
                <w:numId w:val="69"/>
              </w:numPr>
              <w:spacing w:after="160" w:line="259" w:lineRule="auto"/>
              <w:rPr>
                <w:rFonts w:ascii="Aptos" w:hAnsi="Aptos"/>
                <w:sz w:val="22"/>
                <w:szCs w:val="22"/>
              </w:rPr>
            </w:pPr>
            <w:r>
              <w:rPr>
                <w:rFonts w:ascii="Aptos" w:hAnsi="Aptos"/>
                <w:sz w:val="22"/>
                <w:szCs w:val="22"/>
              </w:rPr>
              <w:t xml:space="preserve">Welche EU-Programme und Initiativen planen Sie, um </w:t>
            </w:r>
            <w:r w:rsidR="004920B7" w:rsidRPr="000753E6">
              <w:rPr>
                <w:rFonts w:ascii="Aptos" w:hAnsi="Aptos"/>
                <w:sz w:val="22"/>
                <w:szCs w:val="22"/>
              </w:rPr>
              <w:t xml:space="preserve">kreislaufwirtschaftliche und ressourcenschonende </w:t>
            </w:r>
            <w:r w:rsidR="00007EA7" w:rsidRPr="000753E6">
              <w:rPr>
                <w:rFonts w:ascii="Aptos" w:hAnsi="Aptos"/>
                <w:sz w:val="22"/>
                <w:szCs w:val="22"/>
              </w:rPr>
              <w:t>Bauweisen</w:t>
            </w:r>
            <w:r>
              <w:rPr>
                <w:rFonts w:ascii="Aptos" w:hAnsi="Aptos"/>
                <w:sz w:val="22"/>
                <w:szCs w:val="22"/>
              </w:rPr>
              <w:t xml:space="preserve"> zu fördern</w:t>
            </w:r>
            <w:r w:rsidR="00007EA7" w:rsidRPr="000753E6">
              <w:rPr>
                <w:rFonts w:ascii="Aptos" w:hAnsi="Aptos"/>
                <w:sz w:val="22"/>
                <w:szCs w:val="22"/>
              </w:rPr>
              <w:t>?</w:t>
            </w:r>
          </w:p>
        </w:tc>
      </w:tr>
    </w:tbl>
    <w:p w14:paraId="22E90C82" w14:textId="77777777" w:rsidR="00A0603B" w:rsidRDefault="00A0603B" w:rsidP="0050443A">
      <w:pPr>
        <w:spacing w:after="120"/>
        <w:jc w:val="both"/>
        <w:rPr>
          <w:rFonts w:ascii="Aptos" w:hAnsi="Aptos"/>
          <w:b/>
          <w:iCs/>
          <w:sz w:val="22"/>
          <w:szCs w:val="22"/>
        </w:rPr>
      </w:pPr>
    </w:p>
    <w:tbl>
      <w:tblPr>
        <w:tblStyle w:val="TableNormal1"/>
        <w:tblW w:w="0" w:type="auto"/>
        <w:tblLayout w:type="fixed"/>
        <w:tblLook w:val="01E0" w:firstRow="1" w:lastRow="1" w:firstColumn="1" w:lastColumn="1" w:noHBand="0" w:noVBand="0"/>
      </w:tblPr>
      <w:tblGrid>
        <w:gridCol w:w="9066"/>
      </w:tblGrid>
      <w:tr w:rsidR="00715DD3" w:rsidRPr="009B5839" w14:paraId="28B433B2" w14:textId="77777777" w:rsidTr="003D4657">
        <w:trPr>
          <w:trHeight w:val="277"/>
        </w:trPr>
        <w:tc>
          <w:tcPr>
            <w:tcW w:w="9066" w:type="dxa"/>
            <w:shd w:val="clear" w:color="auto" w:fill="D9D9D9"/>
          </w:tcPr>
          <w:p w14:paraId="5CCC67BA" w14:textId="77777777" w:rsidR="00715DD3" w:rsidRPr="009B5839" w:rsidRDefault="00715DD3" w:rsidP="003D4657">
            <w:pPr>
              <w:pStyle w:val="TableParagraph"/>
              <w:spacing w:line="258" w:lineRule="exact"/>
              <w:ind w:left="0"/>
              <w:rPr>
                <w:rFonts w:ascii="Aptos" w:hAnsi="Aptos"/>
                <w:b/>
                <w:sz w:val="24"/>
              </w:rPr>
            </w:pPr>
            <w:r>
              <w:rPr>
                <w:rFonts w:ascii="Aptos" w:hAnsi="Aptos"/>
                <w:b/>
                <w:sz w:val="24"/>
              </w:rPr>
              <w:t>Hintergrundinformationen</w:t>
            </w:r>
          </w:p>
        </w:tc>
      </w:tr>
    </w:tbl>
    <w:p w14:paraId="5AB49BA5" w14:textId="0D2CAA6A" w:rsidR="0050443A" w:rsidRPr="0050443A" w:rsidRDefault="00A0603B" w:rsidP="00453A06">
      <w:pPr>
        <w:jc w:val="both"/>
        <w:rPr>
          <w:rFonts w:ascii="Aptos" w:hAnsi="Aptos"/>
          <w:i/>
          <w:iCs/>
          <w:sz w:val="22"/>
          <w:szCs w:val="22"/>
          <w:u w:val="single"/>
        </w:rPr>
      </w:pPr>
      <w:r w:rsidRPr="00A0603B">
        <w:rPr>
          <w:rFonts w:ascii="Aptos" w:hAnsi="Aptos"/>
          <w:sz w:val="22"/>
          <w:szCs w:val="22"/>
        </w:rPr>
        <w:t xml:space="preserve">Serielles und modulares Bauen kann einen wertvollen Beitrag zum Klimaschutz im Gebäudesektor leisten. Der Gebäudesektor ist derzeit für 40 </w:t>
      </w:r>
      <w:r>
        <w:rPr>
          <w:rFonts w:ascii="Aptos" w:hAnsi="Aptos"/>
          <w:sz w:val="22"/>
          <w:szCs w:val="22"/>
        </w:rPr>
        <w:t>%</w:t>
      </w:r>
      <w:r w:rsidRPr="00A0603B">
        <w:rPr>
          <w:rFonts w:ascii="Aptos" w:hAnsi="Aptos"/>
          <w:sz w:val="22"/>
          <w:szCs w:val="22"/>
        </w:rPr>
        <w:t xml:space="preserve"> des Energieverbrauchs und 36 </w:t>
      </w:r>
      <w:r>
        <w:rPr>
          <w:rFonts w:ascii="Aptos" w:hAnsi="Aptos"/>
          <w:sz w:val="22"/>
          <w:szCs w:val="22"/>
        </w:rPr>
        <w:t xml:space="preserve">% </w:t>
      </w:r>
      <w:r w:rsidRPr="00A0603B">
        <w:rPr>
          <w:rFonts w:ascii="Aptos" w:hAnsi="Aptos"/>
          <w:sz w:val="22"/>
          <w:szCs w:val="22"/>
        </w:rPr>
        <w:t>der Treibhausgasemissionen in der EU verantwortlich</w:t>
      </w:r>
      <w:r>
        <w:rPr>
          <w:rFonts w:ascii="Aptos" w:hAnsi="Aptos"/>
          <w:sz w:val="22"/>
          <w:szCs w:val="22"/>
        </w:rPr>
        <w:t xml:space="preserve"> </w:t>
      </w:r>
      <w:r w:rsidRPr="00A0603B">
        <w:rPr>
          <w:rFonts w:ascii="Aptos" w:hAnsi="Aptos"/>
          <w:sz w:val="22"/>
          <w:szCs w:val="22"/>
          <w:vertAlign w:val="subscript"/>
        </w:rPr>
        <w:t>(1)</w:t>
      </w:r>
      <w:r>
        <w:rPr>
          <w:rFonts w:ascii="Aptos" w:hAnsi="Aptos"/>
          <w:sz w:val="22"/>
          <w:szCs w:val="22"/>
        </w:rPr>
        <w:t xml:space="preserve"> </w:t>
      </w:r>
      <w:r w:rsidRPr="00A0603B">
        <w:rPr>
          <w:rFonts w:ascii="Aptos" w:hAnsi="Aptos"/>
          <w:sz w:val="22"/>
          <w:szCs w:val="22"/>
        </w:rPr>
        <w:t xml:space="preserve">. </w:t>
      </w:r>
      <w:r w:rsidR="000E5ACC" w:rsidRPr="000E5ACC">
        <w:rPr>
          <w:rFonts w:ascii="Aptos" w:hAnsi="Aptos"/>
          <w:sz w:val="22"/>
          <w:szCs w:val="22"/>
        </w:rPr>
        <w:t>Vor diesem Hintergrund besteht ein enormes Einsparpotenzial zur Bekämpfung des Klimawandels und zur Erreichung der EU-Klimaziele.</w:t>
      </w:r>
      <w:r w:rsidRPr="00A0603B">
        <w:rPr>
          <w:rFonts w:ascii="Aptos" w:hAnsi="Aptos"/>
          <w:sz w:val="22"/>
          <w:szCs w:val="22"/>
        </w:rPr>
        <w:t xml:space="preserve"> In diesem Zusammenhang hat sich die EU das ehrgeizige Ziel gesetzt, dass ab 2030 alle Neubauten Nullemissionsgebäude sein sollen. </w:t>
      </w:r>
      <w:r w:rsidR="000E5ACC">
        <w:rPr>
          <w:rFonts w:ascii="Aptos" w:hAnsi="Aptos"/>
          <w:sz w:val="22"/>
          <w:szCs w:val="22"/>
        </w:rPr>
        <w:t>V</w:t>
      </w:r>
      <w:r w:rsidRPr="00A0603B">
        <w:rPr>
          <w:rFonts w:ascii="Aptos" w:hAnsi="Aptos"/>
          <w:sz w:val="22"/>
          <w:szCs w:val="22"/>
        </w:rPr>
        <w:t xml:space="preserve">orgefertigte Bauteile </w:t>
      </w:r>
      <w:r w:rsidR="000E5ACC">
        <w:rPr>
          <w:rFonts w:ascii="Aptos" w:hAnsi="Aptos"/>
          <w:sz w:val="22"/>
          <w:szCs w:val="22"/>
        </w:rPr>
        <w:t xml:space="preserve">können dabei </w:t>
      </w:r>
      <w:r w:rsidRPr="00A0603B">
        <w:rPr>
          <w:rFonts w:ascii="Aptos" w:hAnsi="Aptos"/>
          <w:sz w:val="22"/>
          <w:szCs w:val="22"/>
        </w:rPr>
        <w:t>den Bauprozess optimieren und die Bauzeit insgesamt verkürzen. Im Durchschnitt verkürzt sich die Bauzeit auf rund sechs Monate, was nicht nur die Effizienz steigert, sondern auch den Einsatz knapper Ressourcen wie Personal und Material optimiert</w:t>
      </w:r>
      <w:r w:rsidR="000E5ACC">
        <w:rPr>
          <w:rFonts w:ascii="Aptos" w:hAnsi="Aptos"/>
          <w:sz w:val="22"/>
          <w:szCs w:val="22"/>
        </w:rPr>
        <w:t xml:space="preserve"> </w:t>
      </w:r>
      <w:r w:rsidR="000E5ACC" w:rsidRPr="000E5ACC">
        <w:rPr>
          <w:rFonts w:ascii="Aptos" w:hAnsi="Aptos"/>
          <w:sz w:val="22"/>
          <w:szCs w:val="22"/>
          <w:vertAlign w:val="subscript"/>
        </w:rPr>
        <w:t>(2)</w:t>
      </w:r>
      <w:r w:rsidRPr="00A0603B">
        <w:rPr>
          <w:rFonts w:ascii="Aptos" w:hAnsi="Aptos"/>
          <w:sz w:val="22"/>
          <w:szCs w:val="22"/>
        </w:rPr>
        <w:t>. Dies ist insbesondere vor dem Hintergrund des Fachkräftemangels in der Baubranche und der begrenzten Verfügbarkeit von Baumaterialien von Bedeutung. Darüber hinaus ermöglicht die industrielle Fertigung der Bauteile höhere Qualitätsstandards und eine bessere Kontrolle der Produktionsprozesse, was letztlich zu langlebigeren und nachhaltigeren Gebäuden führt. Aus Sicht der Daseinsvorsorge ist leistbares Wohnen ein wesentlicher Eckpfeiler des sozialen Wohlergehens. Im Hinblick auf die Klima- und Energieziele der EU kann serielles und modulares Bauen eine vielversprechende Lösung sein, um die hohen Anforderungen an den Klimaschutz im Gebäudesektor zu erfüllen und gleichzeitig kostengünstigen und qualitativ hochwertigen Wohnraum zu schaffen.</w:t>
      </w:r>
    </w:p>
    <w:p w14:paraId="0BF8AD58" w14:textId="660BF2BA" w:rsidR="00723207" w:rsidRDefault="00723207" w:rsidP="00453A06">
      <w:pPr>
        <w:jc w:val="both"/>
        <w:rPr>
          <w:rFonts w:ascii="Aptos" w:hAnsi="Aptos"/>
          <w:sz w:val="22"/>
          <w:szCs w:val="22"/>
        </w:rPr>
      </w:pPr>
    </w:p>
    <w:p w14:paraId="08650B66" w14:textId="23CA5F1A" w:rsidR="000753E6" w:rsidRPr="00A0603B" w:rsidRDefault="00A0603B" w:rsidP="00715DD3">
      <w:pPr>
        <w:pStyle w:val="ListParagraph"/>
        <w:numPr>
          <w:ilvl w:val="0"/>
          <w:numId w:val="99"/>
        </w:numPr>
        <w:ind w:left="360"/>
        <w:jc w:val="both"/>
        <w:rPr>
          <w:rFonts w:ascii="Aptos" w:hAnsi="Aptos"/>
          <w:sz w:val="18"/>
          <w:szCs w:val="18"/>
          <w:lang w:val="en-GB"/>
        </w:rPr>
      </w:pPr>
      <w:r w:rsidRPr="00A0603B">
        <w:rPr>
          <w:rFonts w:ascii="Aptos" w:hAnsi="Aptos"/>
          <w:sz w:val="18"/>
          <w:szCs w:val="18"/>
          <w:lang w:val="en-GB"/>
        </w:rPr>
        <w:t>European Commission 2020: In focus: Energy efficiency in buildings</w:t>
      </w:r>
    </w:p>
    <w:p w14:paraId="02DD4E6D" w14:textId="03520E64" w:rsidR="000753E6" w:rsidRDefault="00000000" w:rsidP="00715DD3">
      <w:pPr>
        <w:pStyle w:val="ListParagraph"/>
        <w:ind w:left="360"/>
        <w:jc w:val="both"/>
        <w:rPr>
          <w:rStyle w:val="Hyperlink"/>
          <w:rFonts w:ascii="Aptos" w:hAnsi="Aptos"/>
          <w:sz w:val="18"/>
          <w:szCs w:val="18"/>
          <w:lang w:val="en-GB"/>
        </w:rPr>
      </w:pPr>
      <w:hyperlink r:id="rId20" w:history="1">
        <w:r w:rsidR="00A0603B" w:rsidRPr="00A0603B">
          <w:rPr>
            <w:rStyle w:val="Hyperlink"/>
            <w:rFonts w:ascii="Aptos" w:hAnsi="Aptos"/>
            <w:sz w:val="18"/>
            <w:szCs w:val="18"/>
            <w:lang w:val="en-GB"/>
          </w:rPr>
          <w:t>https://commission.europa.eu/news/focus-energy-efficiency-buildings-2020-02-17_en</w:t>
        </w:r>
      </w:hyperlink>
    </w:p>
    <w:p w14:paraId="2927A9F4" w14:textId="37CCF255" w:rsidR="000E5ACC" w:rsidRPr="00A0603B" w:rsidRDefault="000E5ACC" w:rsidP="00715DD3">
      <w:pPr>
        <w:pStyle w:val="ListParagraph"/>
        <w:numPr>
          <w:ilvl w:val="0"/>
          <w:numId w:val="99"/>
        </w:numPr>
        <w:ind w:left="360"/>
        <w:jc w:val="both"/>
        <w:rPr>
          <w:rFonts w:ascii="Aptos" w:hAnsi="Aptos"/>
          <w:sz w:val="18"/>
          <w:szCs w:val="18"/>
          <w:lang w:val="en-GB"/>
        </w:rPr>
      </w:pPr>
      <w:r>
        <w:rPr>
          <w:rFonts w:ascii="Aptos" w:hAnsi="Aptos"/>
          <w:sz w:val="18"/>
          <w:szCs w:val="18"/>
          <w:lang w:val="en-GB"/>
        </w:rPr>
        <w:t>Build Review 2023</w:t>
      </w:r>
      <w:r w:rsidRPr="00A0603B">
        <w:rPr>
          <w:rFonts w:ascii="Aptos" w:hAnsi="Aptos"/>
          <w:sz w:val="18"/>
          <w:szCs w:val="18"/>
          <w:lang w:val="en-GB"/>
        </w:rPr>
        <w:t xml:space="preserve">: In focus: </w:t>
      </w:r>
      <w:r>
        <w:rPr>
          <w:rFonts w:ascii="Aptos" w:hAnsi="Aptos"/>
          <w:sz w:val="18"/>
          <w:szCs w:val="18"/>
          <w:lang w:val="en-GB"/>
        </w:rPr>
        <w:t>Modular Building, serial, prefabricated building – the solution to the housing problem?</w:t>
      </w:r>
    </w:p>
    <w:p w14:paraId="71AFC549" w14:textId="59FC820F" w:rsidR="000E5ACC" w:rsidRDefault="00000000" w:rsidP="00715DD3">
      <w:pPr>
        <w:pStyle w:val="ListParagraph"/>
        <w:ind w:left="360"/>
        <w:jc w:val="both"/>
        <w:rPr>
          <w:rStyle w:val="Hyperlink"/>
          <w:rFonts w:ascii="Aptos" w:hAnsi="Aptos"/>
          <w:sz w:val="18"/>
          <w:szCs w:val="18"/>
          <w:lang w:val="en-GB"/>
        </w:rPr>
      </w:pPr>
      <w:hyperlink r:id="rId21" w:history="1">
        <w:r w:rsidR="000E5ACC">
          <w:rPr>
            <w:rStyle w:val="Hyperlink"/>
            <w:rFonts w:ascii="Aptos" w:hAnsi="Aptos"/>
            <w:sz w:val="18"/>
            <w:szCs w:val="18"/>
            <w:lang w:val="en-GB"/>
          </w:rPr>
          <w:t>https://buildreview.org/modular-building-serial-prefabricated-building-the-solution-to-the-housing-problem/</w:t>
        </w:r>
      </w:hyperlink>
    </w:p>
    <w:p w14:paraId="7A0EE9AE" w14:textId="77777777" w:rsidR="000E5ACC" w:rsidRDefault="000E5ACC" w:rsidP="00A0603B">
      <w:pPr>
        <w:pStyle w:val="ListParagraph"/>
        <w:jc w:val="both"/>
        <w:rPr>
          <w:rStyle w:val="Hyperlink"/>
          <w:rFonts w:ascii="Aptos" w:hAnsi="Aptos"/>
          <w:sz w:val="18"/>
          <w:szCs w:val="18"/>
          <w:lang w:val="en-GB"/>
        </w:rPr>
      </w:pPr>
    </w:p>
    <w:p w14:paraId="25EF9FE4" w14:textId="77777777" w:rsidR="000753E6" w:rsidRPr="00A0603B" w:rsidRDefault="000753E6" w:rsidP="00453A06">
      <w:pPr>
        <w:jc w:val="both"/>
        <w:rPr>
          <w:rFonts w:ascii="Aptos" w:hAnsi="Aptos"/>
          <w:sz w:val="22"/>
          <w:szCs w:val="22"/>
          <w:lang w:val="en-GB"/>
        </w:rPr>
      </w:pPr>
    </w:p>
    <w:p w14:paraId="751F2EAE" w14:textId="77777777" w:rsidR="00A0603B" w:rsidRDefault="00A0603B" w:rsidP="00185F39">
      <w:pPr>
        <w:pStyle w:val="Heading1"/>
        <w:rPr>
          <w:lang w:val="en-GB"/>
        </w:rPr>
      </w:pPr>
    </w:p>
    <w:p w14:paraId="46DA2F77" w14:textId="77777777" w:rsidR="00715DD3" w:rsidRDefault="00715DD3" w:rsidP="00715DD3">
      <w:pPr>
        <w:rPr>
          <w:lang w:val="en-GB"/>
        </w:rPr>
      </w:pPr>
    </w:p>
    <w:p w14:paraId="4EEA7AE9" w14:textId="77777777" w:rsidR="00715DD3" w:rsidRDefault="00715DD3" w:rsidP="00715DD3">
      <w:pPr>
        <w:rPr>
          <w:lang w:val="en-GB"/>
        </w:rPr>
      </w:pPr>
    </w:p>
    <w:p w14:paraId="1BA1FA8B" w14:textId="484EB675" w:rsidR="004920B7" w:rsidRPr="0050443A" w:rsidRDefault="004920B7" w:rsidP="00A0603B">
      <w:pPr>
        <w:pStyle w:val="Heading1"/>
      </w:pPr>
      <w:bookmarkStart w:id="7" w:name="_Toc170377498"/>
      <w:r w:rsidRPr="0050443A">
        <w:t xml:space="preserve">Energiewende in der Wohnungswirtschaft </w:t>
      </w:r>
      <w:r w:rsidR="000A68C6" w:rsidRPr="0050443A">
        <w:t>- Bestand</w:t>
      </w:r>
      <w:r w:rsidR="002A1DA7">
        <w:t>sgebäude</w:t>
      </w:r>
      <w:bookmarkEnd w:id="7"/>
    </w:p>
    <w:tbl>
      <w:tblPr>
        <w:tblStyle w:val="TableGrid"/>
        <w:tblW w:w="0" w:type="auto"/>
        <w:tblInd w:w="108" w:type="dxa"/>
        <w:tblLook w:val="04A0" w:firstRow="1" w:lastRow="0" w:firstColumn="1" w:lastColumn="0" w:noHBand="0" w:noVBand="1"/>
      </w:tblPr>
      <w:tblGrid>
        <w:gridCol w:w="9060"/>
      </w:tblGrid>
      <w:tr w:rsidR="00723207" w:rsidRPr="0050443A" w14:paraId="444B70E3" w14:textId="77777777" w:rsidTr="00715DD3">
        <w:tc>
          <w:tcPr>
            <w:tcW w:w="9060" w:type="dxa"/>
            <w:shd w:val="clear" w:color="auto" w:fill="D9D9D9" w:themeFill="background1" w:themeFillShade="D9"/>
          </w:tcPr>
          <w:p w14:paraId="444FCBD5" w14:textId="2E814AE9" w:rsidR="00723207" w:rsidRPr="0050443A" w:rsidRDefault="00723207" w:rsidP="00072582">
            <w:pPr>
              <w:spacing w:before="120" w:after="120"/>
              <w:jc w:val="both"/>
              <w:rPr>
                <w:rFonts w:ascii="Aptos" w:hAnsi="Aptos"/>
                <w:b/>
                <w:iCs/>
                <w:sz w:val="22"/>
                <w:szCs w:val="22"/>
              </w:rPr>
            </w:pPr>
            <w:r w:rsidRPr="0050443A">
              <w:rPr>
                <w:rFonts w:ascii="Aptos" w:hAnsi="Aptos"/>
                <w:b/>
                <w:iCs/>
                <w:sz w:val="22"/>
                <w:szCs w:val="22"/>
              </w:rPr>
              <w:t>Frage</w:t>
            </w:r>
          </w:p>
        </w:tc>
      </w:tr>
      <w:tr w:rsidR="00723207" w:rsidRPr="0050443A" w14:paraId="7231BC61" w14:textId="77777777" w:rsidTr="00715DD3">
        <w:tc>
          <w:tcPr>
            <w:tcW w:w="9060" w:type="dxa"/>
          </w:tcPr>
          <w:p w14:paraId="508DFD0D" w14:textId="1D818908" w:rsidR="00723207" w:rsidRPr="0050443A" w:rsidRDefault="002A1DA7" w:rsidP="00072582">
            <w:pPr>
              <w:spacing w:before="120" w:after="120"/>
              <w:jc w:val="both"/>
              <w:rPr>
                <w:rFonts w:ascii="Aptos" w:hAnsi="Aptos"/>
                <w:b/>
                <w:bCs/>
                <w:sz w:val="22"/>
                <w:szCs w:val="22"/>
                <w:lang w:val="de-DE"/>
              </w:rPr>
            </w:pPr>
            <w:r w:rsidRPr="002A1DA7">
              <w:rPr>
                <w:rFonts w:ascii="Aptos" w:hAnsi="Aptos" w:cs="Open Sans"/>
                <w:sz w:val="22"/>
                <w:szCs w:val="22"/>
              </w:rPr>
              <w:t xml:space="preserve">Bezahlbarer Wohnraum ist eine Grundvoraussetzung dafür, dass Gesellschaften florieren und Menschen dort leben können, wo sie arbeiten möchten. </w:t>
            </w:r>
            <w:r w:rsidR="000E5ACC" w:rsidRPr="000E5ACC">
              <w:rPr>
                <w:rFonts w:ascii="Aptos" w:hAnsi="Aptos" w:cs="Open Sans"/>
                <w:sz w:val="22"/>
                <w:szCs w:val="22"/>
              </w:rPr>
              <w:t>Derzeit entfallen jedoch 40 % des Energieverbrauchs und 36 % der Treibhausgasemissionen in der EU auf den Gebäudesektor.</w:t>
            </w:r>
            <w:r w:rsidRPr="002A1DA7">
              <w:rPr>
                <w:rFonts w:ascii="Aptos" w:hAnsi="Aptos" w:cs="Open Sans"/>
                <w:sz w:val="22"/>
                <w:szCs w:val="22"/>
              </w:rPr>
              <w:t xml:space="preserve"> Die Energie- und Wärmeversorgung in bestehenden Wohngebäuden spielt in dieser </w:t>
            </w:r>
            <w:r w:rsidR="00002BF2">
              <w:rPr>
                <w:rFonts w:ascii="Aptos" w:hAnsi="Aptos" w:cs="Open Sans"/>
                <w:sz w:val="22"/>
                <w:szCs w:val="22"/>
              </w:rPr>
              <w:t>Emissionsb</w:t>
            </w:r>
            <w:r w:rsidRPr="002A1DA7">
              <w:rPr>
                <w:rFonts w:ascii="Aptos" w:hAnsi="Aptos" w:cs="Open Sans"/>
                <w:sz w:val="22"/>
                <w:szCs w:val="22"/>
              </w:rPr>
              <w:t xml:space="preserve">ilanz eine nicht zu vernachlässigende Rolle. </w:t>
            </w:r>
            <w:r w:rsidRPr="002A1DA7">
              <w:rPr>
                <w:rFonts w:ascii="Aptos" w:hAnsi="Aptos" w:cs="Open Sans"/>
                <w:b/>
                <w:bCs/>
                <w:sz w:val="22"/>
                <w:szCs w:val="22"/>
              </w:rPr>
              <w:t>Welche Anreizsysteme wollen Sie europaweit schaffen, um die Energiewende im Wohnungsbestand zu beschleunigen?</w:t>
            </w:r>
          </w:p>
        </w:tc>
      </w:tr>
      <w:tr w:rsidR="00723207" w:rsidRPr="0050443A" w14:paraId="2B5F0F10" w14:textId="77777777" w:rsidTr="00715DD3">
        <w:tc>
          <w:tcPr>
            <w:tcW w:w="9060" w:type="dxa"/>
            <w:shd w:val="clear" w:color="auto" w:fill="D9D9D9" w:themeFill="background1" w:themeFillShade="D9"/>
          </w:tcPr>
          <w:p w14:paraId="7914BB36" w14:textId="469EC661" w:rsidR="00723207" w:rsidRPr="0050443A" w:rsidRDefault="00723207" w:rsidP="00072582">
            <w:pPr>
              <w:spacing w:before="120" w:after="120"/>
              <w:jc w:val="both"/>
              <w:rPr>
                <w:rFonts w:ascii="Aptos" w:hAnsi="Aptos"/>
                <w:b/>
                <w:bCs/>
                <w:sz w:val="22"/>
                <w:szCs w:val="22"/>
              </w:rPr>
            </w:pPr>
            <w:r w:rsidRPr="0050443A">
              <w:rPr>
                <w:rFonts w:ascii="Aptos" w:hAnsi="Aptos"/>
                <w:b/>
                <w:bCs/>
                <w:sz w:val="22"/>
                <w:szCs w:val="22"/>
              </w:rPr>
              <w:t>Nachfrage</w:t>
            </w:r>
          </w:p>
        </w:tc>
      </w:tr>
      <w:tr w:rsidR="00723207" w:rsidRPr="0050443A" w14:paraId="1E6C519A" w14:textId="77777777" w:rsidTr="00715DD3">
        <w:tc>
          <w:tcPr>
            <w:tcW w:w="9060" w:type="dxa"/>
          </w:tcPr>
          <w:p w14:paraId="4F113525" w14:textId="77777777" w:rsidR="002A1DA7" w:rsidRDefault="002A1DA7" w:rsidP="002A1DA7">
            <w:pPr>
              <w:pStyle w:val="ListParagraph"/>
              <w:numPr>
                <w:ilvl w:val="0"/>
                <w:numId w:val="70"/>
              </w:numPr>
              <w:spacing w:before="120" w:after="120"/>
              <w:jc w:val="both"/>
              <w:rPr>
                <w:rFonts w:ascii="Aptos" w:hAnsi="Aptos"/>
                <w:sz w:val="22"/>
                <w:szCs w:val="22"/>
              </w:rPr>
            </w:pPr>
            <w:r w:rsidRPr="002A1DA7">
              <w:rPr>
                <w:rFonts w:ascii="Aptos" w:hAnsi="Aptos"/>
                <w:sz w:val="22"/>
                <w:szCs w:val="22"/>
              </w:rPr>
              <w:t>Planen Sie eine Verschärfung der Richtlinie über die Gesamtenergieeffizienz von Gebäuden (EPBD)</w:t>
            </w:r>
            <w:r>
              <w:rPr>
                <w:rFonts w:ascii="Aptos" w:hAnsi="Aptos"/>
                <w:sz w:val="22"/>
                <w:szCs w:val="22"/>
              </w:rPr>
              <w:t xml:space="preserve"> und wird diese auch für den Wohngebäudesektor gelten?</w:t>
            </w:r>
          </w:p>
          <w:p w14:paraId="78D1A9CF" w14:textId="10D14189" w:rsidR="00595E05" w:rsidRPr="0050443A" w:rsidRDefault="00595E05" w:rsidP="002A1DA7">
            <w:pPr>
              <w:pStyle w:val="ListParagraph"/>
              <w:numPr>
                <w:ilvl w:val="0"/>
                <w:numId w:val="70"/>
              </w:numPr>
              <w:spacing w:before="120" w:after="120"/>
              <w:jc w:val="both"/>
              <w:rPr>
                <w:rFonts w:ascii="Aptos" w:hAnsi="Aptos"/>
                <w:sz w:val="22"/>
                <w:szCs w:val="22"/>
              </w:rPr>
            </w:pPr>
            <w:r w:rsidRPr="00595E05">
              <w:rPr>
                <w:rFonts w:ascii="Aptos" w:hAnsi="Aptos"/>
                <w:sz w:val="22"/>
                <w:szCs w:val="22"/>
              </w:rPr>
              <w:t>Planen Sie die Einrichtung eines zweckgebundenen Wohnbau-Fonds auf europäischer Ebene, um Investitionen in den Ausbau des sozialen Wohnbaus und die thermische Sanierung zu fördern?</w:t>
            </w:r>
          </w:p>
        </w:tc>
      </w:tr>
    </w:tbl>
    <w:p w14:paraId="06C5574A" w14:textId="77777777" w:rsidR="00715DD3" w:rsidRDefault="00715DD3" w:rsidP="00715DD3">
      <w:pPr>
        <w:spacing w:after="120"/>
        <w:jc w:val="both"/>
        <w:rPr>
          <w:rFonts w:ascii="Aptos" w:hAnsi="Aptos"/>
          <w:b/>
          <w:iCs/>
          <w:sz w:val="22"/>
          <w:szCs w:val="22"/>
        </w:rPr>
      </w:pPr>
    </w:p>
    <w:tbl>
      <w:tblPr>
        <w:tblStyle w:val="TableNormal1"/>
        <w:tblW w:w="0" w:type="auto"/>
        <w:tblLayout w:type="fixed"/>
        <w:tblLook w:val="01E0" w:firstRow="1" w:lastRow="1" w:firstColumn="1" w:lastColumn="1" w:noHBand="0" w:noVBand="0"/>
      </w:tblPr>
      <w:tblGrid>
        <w:gridCol w:w="9066"/>
      </w:tblGrid>
      <w:tr w:rsidR="00715DD3" w:rsidRPr="009B5839" w14:paraId="67ECB4D0" w14:textId="77777777" w:rsidTr="003D4657">
        <w:trPr>
          <w:trHeight w:val="277"/>
        </w:trPr>
        <w:tc>
          <w:tcPr>
            <w:tcW w:w="9066" w:type="dxa"/>
            <w:shd w:val="clear" w:color="auto" w:fill="D9D9D9"/>
          </w:tcPr>
          <w:p w14:paraId="5BB272D8" w14:textId="77777777" w:rsidR="00715DD3" w:rsidRPr="009B5839" w:rsidRDefault="00715DD3" w:rsidP="003D4657">
            <w:pPr>
              <w:pStyle w:val="TableParagraph"/>
              <w:spacing w:line="258" w:lineRule="exact"/>
              <w:ind w:left="0"/>
              <w:rPr>
                <w:rFonts w:ascii="Aptos" w:hAnsi="Aptos"/>
                <w:b/>
                <w:sz w:val="24"/>
              </w:rPr>
            </w:pPr>
            <w:r>
              <w:rPr>
                <w:rFonts w:ascii="Aptos" w:hAnsi="Aptos"/>
                <w:b/>
                <w:sz w:val="24"/>
              </w:rPr>
              <w:t>Hintergrundinformationen</w:t>
            </w:r>
          </w:p>
        </w:tc>
      </w:tr>
    </w:tbl>
    <w:p w14:paraId="3752DDA1" w14:textId="4ABCED0E" w:rsidR="000A68C6" w:rsidRDefault="003A063E" w:rsidP="003A063E">
      <w:pPr>
        <w:jc w:val="both"/>
        <w:rPr>
          <w:rFonts w:ascii="Aptos" w:hAnsi="Aptos"/>
          <w:sz w:val="22"/>
          <w:szCs w:val="22"/>
        </w:rPr>
      </w:pPr>
      <w:r w:rsidRPr="003A063E">
        <w:rPr>
          <w:rFonts w:ascii="Aptos" w:hAnsi="Aptos"/>
          <w:sz w:val="22"/>
          <w:szCs w:val="22"/>
        </w:rPr>
        <w:t>Auf den Gebäudesektor entfallen derzeit 40 % des Energieverbrauchs und 36 % der Treibhausgasemissionen in der EU</w:t>
      </w:r>
      <w:r w:rsidR="000E5ACC">
        <w:rPr>
          <w:rFonts w:ascii="Aptos" w:hAnsi="Aptos"/>
          <w:sz w:val="22"/>
          <w:szCs w:val="22"/>
        </w:rPr>
        <w:t xml:space="preserve">, weshalb die Richtlinie über die Gesamtenergieeffizienz von Gebäuden überarbeitet wurde </w:t>
      </w:r>
      <w:r w:rsidRPr="003A063E">
        <w:rPr>
          <w:rFonts w:ascii="Aptos" w:hAnsi="Aptos"/>
          <w:sz w:val="22"/>
          <w:szCs w:val="22"/>
          <w:vertAlign w:val="subscript"/>
        </w:rPr>
        <w:t>(1</w:t>
      </w:r>
      <w:r w:rsidR="000E5ACC">
        <w:rPr>
          <w:rFonts w:ascii="Aptos" w:hAnsi="Aptos"/>
          <w:sz w:val="22"/>
          <w:szCs w:val="22"/>
          <w:vertAlign w:val="subscript"/>
        </w:rPr>
        <w:t>,2</w:t>
      </w:r>
      <w:r w:rsidRPr="003A063E">
        <w:rPr>
          <w:rFonts w:ascii="Aptos" w:hAnsi="Aptos"/>
          <w:sz w:val="22"/>
          <w:szCs w:val="22"/>
          <w:vertAlign w:val="subscript"/>
        </w:rPr>
        <w:t>)</w:t>
      </w:r>
      <w:r w:rsidRPr="003A063E">
        <w:rPr>
          <w:rFonts w:ascii="Aptos" w:hAnsi="Aptos"/>
          <w:sz w:val="22"/>
          <w:szCs w:val="22"/>
        </w:rPr>
        <w:t>. Ein erheblicher Teil dieser Emissionen und des Energieverbrauchs entfällt auf bestehende Wohngebäude, die häufig mit veralteten und ineffizienten Heiz- und Kühlsystemen ausgestattet sind. Im Gegensatz dazu können Neubauten nach den neuesten Energieeffizienzstandards geplant und gebaut werden, was zu einer erheblichen Verringerung des Energieverbrauchs und der Emissionen führt. Moderne Neubauten profitieren von fortschrittlichen Baumaterialien und -techniken, die eine bessere Isolierung, effizientere Heiz- und Kühlsysteme und den Einsatz erneuerbarer Energien umfassen.</w:t>
      </w:r>
      <w:r>
        <w:rPr>
          <w:rFonts w:ascii="Aptos" w:hAnsi="Aptos"/>
          <w:sz w:val="22"/>
          <w:szCs w:val="22"/>
        </w:rPr>
        <w:t xml:space="preserve"> </w:t>
      </w:r>
      <w:r w:rsidRPr="003A063E">
        <w:rPr>
          <w:rFonts w:ascii="Aptos" w:hAnsi="Aptos"/>
          <w:sz w:val="22"/>
          <w:szCs w:val="22"/>
        </w:rPr>
        <w:t>Bestehende Gebäude stellen dagegen eine besondere Herausforderung dar, da ihre Nachrüstung auf moderne Energiestandards oft mit hohen Kosten und baulichen Einschränkungen verbunden ist. Dennoch ist die Sanierung und Modernisierung dieser Gebäude entscheidend, um die Klimaziele zu erreichen und den Energieverbrauch im Gebäudesektor zu senken. Staatliche Förderprogramme und Anreize sind notwendig, um die Sanierung des Gebäudebestandes zu unterstützen und die finanziellen Belastungen für Eigentümer und Mieter zu reduzieren.</w:t>
      </w:r>
      <w:r>
        <w:rPr>
          <w:rFonts w:ascii="Aptos" w:hAnsi="Aptos"/>
          <w:sz w:val="22"/>
          <w:szCs w:val="22"/>
        </w:rPr>
        <w:t xml:space="preserve"> </w:t>
      </w:r>
      <w:r w:rsidR="000E5ACC">
        <w:rPr>
          <w:rFonts w:ascii="Aptos" w:hAnsi="Aptos"/>
          <w:sz w:val="22"/>
          <w:szCs w:val="22"/>
        </w:rPr>
        <w:t>Aus Perspektive der</w:t>
      </w:r>
      <w:r w:rsidRPr="003A063E">
        <w:rPr>
          <w:rFonts w:ascii="Aptos" w:hAnsi="Aptos"/>
          <w:sz w:val="22"/>
          <w:szCs w:val="22"/>
        </w:rPr>
        <w:t xml:space="preserve"> Daseinsvorsorge ist bezahlbarer Wohnraum eine Grundvoraussetzung dafür, dass Gesellschaften prosperieren und Menschen dort leben können, wo sie arbeiten wollen. Auch unter dem Aspekt der Klimagerechtigkeit dürfen sozial benachteiligte Bevölkerungsgruppen nicht vernachlässigt werden. Um die sozial-ökologischen Ziele der EU zu erreichen, ist es daher dringend erforderlich, den Gebäudebestand im Hinblick auf die Energie- und Wärmeversorgung im Bestand zu sanieren und auszubauen.</w:t>
      </w:r>
    </w:p>
    <w:p w14:paraId="684168BE" w14:textId="77777777" w:rsidR="003A063E" w:rsidRPr="0050443A" w:rsidRDefault="003A063E" w:rsidP="003A063E">
      <w:pPr>
        <w:rPr>
          <w:rFonts w:ascii="Aptos" w:hAnsi="Aptos"/>
        </w:rPr>
      </w:pPr>
    </w:p>
    <w:p w14:paraId="29DE5C6B" w14:textId="77777777" w:rsidR="00B5737F" w:rsidRPr="00A0603B" w:rsidRDefault="00B5737F" w:rsidP="00B5737F">
      <w:pPr>
        <w:pStyle w:val="ListParagraph"/>
        <w:numPr>
          <w:ilvl w:val="0"/>
          <w:numId w:val="100"/>
        </w:numPr>
        <w:jc w:val="both"/>
        <w:rPr>
          <w:rFonts w:ascii="Aptos" w:hAnsi="Aptos"/>
          <w:sz w:val="18"/>
          <w:szCs w:val="18"/>
          <w:lang w:val="en-GB"/>
        </w:rPr>
      </w:pPr>
      <w:r w:rsidRPr="00A0603B">
        <w:rPr>
          <w:rFonts w:ascii="Aptos" w:hAnsi="Aptos"/>
          <w:sz w:val="18"/>
          <w:szCs w:val="18"/>
          <w:lang w:val="en-GB"/>
        </w:rPr>
        <w:t>European Commission 2020: In focus: Energy efficiency in buildings</w:t>
      </w:r>
    </w:p>
    <w:p w14:paraId="528C3FE0" w14:textId="300F7E8F" w:rsidR="00B5737F" w:rsidRDefault="00000000" w:rsidP="00B5737F">
      <w:pPr>
        <w:ind w:firstLine="360"/>
        <w:jc w:val="both"/>
        <w:rPr>
          <w:rStyle w:val="Hyperlink"/>
          <w:rFonts w:ascii="Aptos" w:hAnsi="Aptos"/>
          <w:sz w:val="18"/>
          <w:szCs w:val="18"/>
          <w:lang w:val="en-GB"/>
        </w:rPr>
      </w:pPr>
      <w:hyperlink r:id="rId22" w:history="1">
        <w:r w:rsidR="003A063E" w:rsidRPr="00B83BAA">
          <w:rPr>
            <w:rStyle w:val="Hyperlink"/>
            <w:rFonts w:ascii="Aptos" w:hAnsi="Aptos"/>
            <w:sz w:val="18"/>
            <w:szCs w:val="18"/>
            <w:lang w:val="en-GB"/>
          </w:rPr>
          <w:t>https://commission.europa.eu/news/focus-energy-efficiency-buildings-2020-02-17_en</w:t>
        </w:r>
      </w:hyperlink>
    </w:p>
    <w:p w14:paraId="4245121F" w14:textId="77777777" w:rsidR="000E5ACC" w:rsidRDefault="000E5ACC" w:rsidP="000E5ACC">
      <w:pPr>
        <w:pStyle w:val="ListParagraph"/>
        <w:numPr>
          <w:ilvl w:val="0"/>
          <w:numId w:val="100"/>
        </w:numPr>
        <w:jc w:val="both"/>
        <w:rPr>
          <w:rFonts w:ascii="Aptos" w:hAnsi="Aptos"/>
          <w:sz w:val="18"/>
          <w:szCs w:val="18"/>
          <w:lang w:val="en-GB"/>
        </w:rPr>
      </w:pPr>
      <w:r>
        <w:rPr>
          <w:rFonts w:ascii="Aptos" w:hAnsi="Aptos"/>
          <w:sz w:val="18"/>
          <w:szCs w:val="18"/>
          <w:lang w:val="en-GB"/>
        </w:rPr>
        <w:t>European Commission 2024: R</w:t>
      </w:r>
      <w:r w:rsidRPr="00BB42B4">
        <w:rPr>
          <w:rFonts w:ascii="Aptos" w:hAnsi="Aptos"/>
          <w:sz w:val="18"/>
          <w:szCs w:val="18"/>
          <w:lang w:val="en-GB"/>
        </w:rPr>
        <w:t>evised Energy Performance of Buildings Directive (EU/2024/1275)</w:t>
      </w:r>
    </w:p>
    <w:p w14:paraId="6ED50667" w14:textId="77777777" w:rsidR="000E5ACC" w:rsidRPr="0095671E" w:rsidRDefault="00000000" w:rsidP="000E5ACC">
      <w:pPr>
        <w:ind w:left="360"/>
        <w:jc w:val="both"/>
        <w:rPr>
          <w:rFonts w:ascii="Aptos" w:hAnsi="Aptos"/>
          <w:sz w:val="18"/>
          <w:szCs w:val="18"/>
          <w:lang w:val="en-GB"/>
        </w:rPr>
      </w:pPr>
      <w:hyperlink r:id="rId23" w:history="1">
        <w:r w:rsidR="000E5ACC" w:rsidRPr="0095671E">
          <w:rPr>
            <w:rStyle w:val="Hyperlink"/>
            <w:rFonts w:ascii="Aptos" w:hAnsi="Aptos"/>
            <w:sz w:val="18"/>
            <w:szCs w:val="18"/>
            <w:lang w:val="en-GB"/>
          </w:rPr>
          <w:t>https://eur-lex.europa.eu/legal-content/EN/TXT/PDF/?uri=OJ:L_202401275</w:t>
        </w:r>
      </w:hyperlink>
    </w:p>
    <w:p w14:paraId="2310048F" w14:textId="77777777" w:rsidR="00076223" w:rsidRPr="00B5737F" w:rsidRDefault="00076223" w:rsidP="00B5737F">
      <w:pPr>
        <w:ind w:firstLine="360"/>
        <w:jc w:val="both"/>
        <w:rPr>
          <w:rStyle w:val="Hyperlink"/>
          <w:sz w:val="18"/>
          <w:szCs w:val="18"/>
          <w:lang w:val="en-GB"/>
        </w:rPr>
      </w:pPr>
    </w:p>
    <w:p w14:paraId="7210FF63" w14:textId="77777777" w:rsidR="000A68C6" w:rsidRPr="00B5737F" w:rsidRDefault="000A68C6" w:rsidP="0050443A">
      <w:pPr>
        <w:rPr>
          <w:rFonts w:ascii="Aptos" w:hAnsi="Aptos"/>
          <w:lang w:val="en-GB"/>
        </w:rPr>
      </w:pPr>
    </w:p>
    <w:p w14:paraId="5ED6A0A0" w14:textId="77777777" w:rsidR="000A68C6" w:rsidRDefault="000A68C6" w:rsidP="0050443A">
      <w:pPr>
        <w:rPr>
          <w:rFonts w:ascii="Aptos" w:hAnsi="Aptos"/>
          <w:lang w:val="en-GB"/>
        </w:rPr>
      </w:pPr>
    </w:p>
    <w:p w14:paraId="4AAE6B23" w14:textId="77777777" w:rsidR="00715DD3" w:rsidRPr="00B5737F" w:rsidRDefault="00715DD3" w:rsidP="0050443A">
      <w:pPr>
        <w:rPr>
          <w:rFonts w:ascii="Aptos" w:hAnsi="Aptos"/>
          <w:lang w:val="en-GB"/>
        </w:rPr>
      </w:pPr>
    </w:p>
    <w:p w14:paraId="6A735054" w14:textId="7378F6DD" w:rsidR="000A68C6" w:rsidRPr="0050443A" w:rsidRDefault="000A68C6" w:rsidP="00990A46">
      <w:pPr>
        <w:pStyle w:val="Heading1"/>
      </w:pPr>
      <w:bookmarkStart w:id="8" w:name="_Toc170377499"/>
      <w:r w:rsidRPr="0050443A">
        <w:t>Soziale Aspekte der Energiewende in der Wohnungswirtschaft</w:t>
      </w:r>
      <w:bookmarkEnd w:id="8"/>
      <w:r w:rsidRPr="0050443A">
        <w:t xml:space="preserve"> </w:t>
      </w:r>
    </w:p>
    <w:tbl>
      <w:tblPr>
        <w:tblStyle w:val="TableGrid"/>
        <w:tblW w:w="9060" w:type="dxa"/>
        <w:tblInd w:w="108" w:type="dxa"/>
        <w:tblLook w:val="04A0" w:firstRow="1" w:lastRow="0" w:firstColumn="1" w:lastColumn="0" w:noHBand="0" w:noVBand="1"/>
      </w:tblPr>
      <w:tblGrid>
        <w:gridCol w:w="9060"/>
      </w:tblGrid>
      <w:tr w:rsidR="000A68C6" w:rsidRPr="0050443A" w14:paraId="249146B1" w14:textId="77777777" w:rsidTr="00715DD3">
        <w:tc>
          <w:tcPr>
            <w:tcW w:w="9060" w:type="dxa"/>
            <w:shd w:val="clear" w:color="auto" w:fill="D9D9D9" w:themeFill="background1" w:themeFillShade="D9"/>
          </w:tcPr>
          <w:p w14:paraId="64DD9B07" w14:textId="77777777" w:rsidR="000A68C6" w:rsidRPr="0050443A" w:rsidRDefault="000A68C6" w:rsidP="00072582">
            <w:pPr>
              <w:spacing w:before="120" w:after="120"/>
              <w:jc w:val="both"/>
              <w:rPr>
                <w:rFonts w:ascii="Aptos" w:hAnsi="Aptos"/>
                <w:b/>
                <w:iCs/>
                <w:sz w:val="22"/>
                <w:szCs w:val="22"/>
              </w:rPr>
            </w:pPr>
            <w:r w:rsidRPr="0050443A">
              <w:rPr>
                <w:rFonts w:ascii="Aptos" w:hAnsi="Aptos"/>
                <w:b/>
                <w:iCs/>
                <w:sz w:val="22"/>
                <w:szCs w:val="22"/>
              </w:rPr>
              <w:t>Frage</w:t>
            </w:r>
          </w:p>
        </w:tc>
      </w:tr>
      <w:tr w:rsidR="000A68C6" w:rsidRPr="0050443A" w14:paraId="7FE85D8F" w14:textId="77777777" w:rsidTr="00715DD3">
        <w:tc>
          <w:tcPr>
            <w:tcW w:w="9060" w:type="dxa"/>
          </w:tcPr>
          <w:p w14:paraId="7451C465" w14:textId="1DC38D77" w:rsidR="000A68C6" w:rsidRPr="0050443A" w:rsidRDefault="005545F3" w:rsidP="00072582">
            <w:pPr>
              <w:spacing w:before="120" w:after="120"/>
              <w:jc w:val="both"/>
              <w:rPr>
                <w:rFonts w:ascii="Aptos" w:hAnsi="Aptos"/>
                <w:b/>
                <w:bCs/>
                <w:sz w:val="22"/>
                <w:szCs w:val="22"/>
              </w:rPr>
            </w:pPr>
            <w:r w:rsidRPr="005545F3">
              <w:rPr>
                <w:rFonts w:ascii="Aptos" w:hAnsi="Aptos"/>
                <w:sz w:val="22"/>
                <w:szCs w:val="22"/>
              </w:rPr>
              <w:t xml:space="preserve">Die Dekarbonisierung des Gebäudesektors ist notwendig, um die Klimakrise einzudämmen. Derzeit ist der Gebäudesektor für 40 </w:t>
            </w:r>
            <w:r w:rsidR="003A063E">
              <w:rPr>
                <w:rFonts w:ascii="Aptos" w:hAnsi="Aptos"/>
                <w:sz w:val="22"/>
                <w:szCs w:val="22"/>
              </w:rPr>
              <w:t>%</w:t>
            </w:r>
            <w:r w:rsidRPr="005545F3">
              <w:rPr>
                <w:rFonts w:ascii="Aptos" w:hAnsi="Aptos"/>
                <w:sz w:val="22"/>
                <w:szCs w:val="22"/>
              </w:rPr>
              <w:t xml:space="preserve"> des Energieverbrauchs und 36 </w:t>
            </w:r>
            <w:r w:rsidR="003A063E">
              <w:rPr>
                <w:rFonts w:ascii="Aptos" w:hAnsi="Aptos"/>
                <w:sz w:val="22"/>
                <w:szCs w:val="22"/>
              </w:rPr>
              <w:t>%</w:t>
            </w:r>
            <w:r w:rsidRPr="005545F3">
              <w:rPr>
                <w:rFonts w:ascii="Aptos" w:hAnsi="Aptos"/>
                <w:sz w:val="22"/>
                <w:szCs w:val="22"/>
              </w:rPr>
              <w:t xml:space="preserve"> der Treibhausgasemissionen in der EU verantwortlich. </w:t>
            </w:r>
            <w:r w:rsidR="00C2297F" w:rsidRPr="00C2297F">
              <w:rPr>
                <w:rFonts w:ascii="Aptos" w:hAnsi="Aptos"/>
                <w:sz w:val="22"/>
                <w:szCs w:val="22"/>
              </w:rPr>
              <w:t>Die überarbeitete Richtlinie über die Gesamtenergieeffizienz von Gebäuden (EPBD) soll Europa auf den Weg zu einem vollständig kohlenstofffreien Gebäudebestand bis 2050 bringen. Um dies zu erreichen, werden in allen Mitgliedsstaaten Sanierungen und Renovierungen vorangetrieben, insbesondere bei Gebäuden mit der schlechtesten Gesamtenergieeffizienz.</w:t>
            </w:r>
            <w:r w:rsidRPr="005545F3">
              <w:rPr>
                <w:rFonts w:ascii="Aptos" w:hAnsi="Aptos"/>
                <w:sz w:val="22"/>
                <w:szCs w:val="22"/>
              </w:rPr>
              <w:t xml:space="preserve"> Energieeffizienzmaßnahmen dürfen jedoch nicht zu sozialen Problemen und unleistbarem/unbezahlbarem Wohnraum führen, wenn die Kosten dafür </w:t>
            </w:r>
            <w:r w:rsidR="00C2297F">
              <w:rPr>
                <w:rFonts w:ascii="Aptos" w:hAnsi="Aptos"/>
                <w:sz w:val="22"/>
                <w:szCs w:val="22"/>
              </w:rPr>
              <w:t>auf</w:t>
            </w:r>
            <w:r w:rsidRPr="005545F3">
              <w:rPr>
                <w:rFonts w:ascii="Aptos" w:hAnsi="Aptos"/>
                <w:sz w:val="22"/>
                <w:szCs w:val="22"/>
              </w:rPr>
              <w:t xml:space="preserve"> die Mieter:innen abgewälzt/umgelegt werden. </w:t>
            </w:r>
            <w:r w:rsidRPr="005545F3">
              <w:rPr>
                <w:rFonts w:ascii="Aptos" w:hAnsi="Aptos"/>
                <w:b/>
                <w:bCs/>
                <w:sz w:val="22"/>
                <w:szCs w:val="22"/>
              </w:rPr>
              <w:t>Wie wollen Sie sicherstellen, dass Energieziele im Wohnungsbereich keine negativen Auswirkungen auf sozial schwache Gruppen haben?</w:t>
            </w:r>
          </w:p>
        </w:tc>
      </w:tr>
      <w:tr w:rsidR="000A68C6" w:rsidRPr="0050443A" w14:paraId="6FBDA804" w14:textId="77777777" w:rsidTr="00715DD3">
        <w:tc>
          <w:tcPr>
            <w:tcW w:w="9060" w:type="dxa"/>
            <w:shd w:val="clear" w:color="auto" w:fill="D9D9D9" w:themeFill="background1" w:themeFillShade="D9"/>
          </w:tcPr>
          <w:p w14:paraId="105A355B" w14:textId="77777777" w:rsidR="000A68C6" w:rsidRPr="0050443A" w:rsidRDefault="000A68C6" w:rsidP="00072582">
            <w:pPr>
              <w:spacing w:before="120" w:after="120"/>
              <w:jc w:val="both"/>
              <w:rPr>
                <w:rFonts w:ascii="Aptos" w:hAnsi="Aptos"/>
                <w:b/>
                <w:bCs/>
                <w:sz w:val="22"/>
                <w:szCs w:val="22"/>
              </w:rPr>
            </w:pPr>
            <w:r w:rsidRPr="0050443A">
              <w:rPr>
                <w:rFonts w:ascii="Aptos" w:hAnsi="Aptos"/>
                <w:b/>
                <w:bCs/>
                <w:sz w:val="22"/>
                <w:szCs w:val="22"/>
              </w:rPr>
              <w:t>Nachfrage</w:t>
            </w:r>
          </w:p>
        </w:tc>
      </w:tr>
      <w:tr w:rsidR="000A68C6" w:rsidRPr="0050443A" w14:paraId="11C1FAAA" w14:textId="77777777" w:rsidTr="00715DD3">
        <w:tc>
          <w:tcPr>
            <w:tcW w:w="9060" w:type="dxa"/>
          </w:tcPr>
          <w:p w14:paraId="396252B2" w14:textId="79BE0678" w:rsidR="005545F3" w:rsidRDefault="005545F3" w:rsidP="005545F3">
            <w:pPr>
              <w:pStyle w:val="ListParagraph"/>
              <w:numPr>
                <w:ilvl w:val="0"/>
                <w:numId w:val="70"/>
              </w:numPr>
              <w:spacing w:before="120" w:after="120"/>
              <w:jc w:val="both"/>
              <w:rPr>
                <w:rFonts w:ascii="Aptos" w:hAnsi="Aptos"/>
                <w:sz w:val="22"/>
                <w:szCs w:val="22"/>
              </w:rPr>
            </w:pPr>
            <w:r w:rsidRPr="005545F3">
              <w:rPr>
                <w:rFonts w:ascii="Aptos" w:hAnsi="Aptos"/>
                <w:sz w:val="22"/>
                <w:szCs w:val="22"/>
              </w:rPr>
              <w:t>Wie wollen Sie verhindern, dass invasive Eingriffe in den Gebäudebestand im Sinne der Energiewende eine Ökogentrifizierung</w:t>
            </w:r>
            <w:r w:rsidR="00165678">
              <w:rPr>
                <w:rFonts w:ascii="Aptos" w:hAnsi="Aptos"/>
                <w:sz w:val="22"/>
                <w:szCs w:val="22"/>
              </w:rPr>
              <w:t>“</w:t>
            </w:r>
            <w:r w:rsidRPr="005545F3">
              <w:rPr>
                <w:rFonts w:ascii="Aptos" w:hAnsi="Aptos"/>
                <w:sz w:val="22"/>
                <w:szCs w:val="22"/>
              </w:rPr>
              <w:t xml:space="preserve"> </w:t>
            </w:r>
            <w:r w:rsidR="00BE4F5F">
              <w:rPr>
                <w:rFonts w:ascii="Aptos" w:hAnsi="Aptos"/>
                <w:sz w:val="22"/>
                <w:szCs w:val="22"/>
              </w:rPr>
              <w:t>aufgrund</w:t>
            </w:r>
            <w:r w:rsidRPr="005545F3">
              <w:rPr>
                <w:rFonts w:ascii="Aptos" w:hAnsi="Aptos"/>
                <w:sz w:val="22"/>
                <w:szCs w:val="22"/>
              </w:rPr>
              <w:t xml:space="preserve"> steigende</w:t>
            </w:r>
            <w:r w:rsidR="00165678">
              <w:rPr>
                <w:rFonts w:ascii="Aptos" w:hAnsi="Aptos"/>
                <w:sz w:val="22"/>
                <w:szCs w:val="22"/>
              </w:rPr>
              <w:t>r</w:t>
            </w:r>
            <w:r w:rsidRPr="005545F3">
              <w:rPr>
                <w:rFonts w:ascii="Aptos" w:hAnsi="Aptos"/>
                <w:sz w:val="22"/>
                <w:szCs w:val="22"/>
              </w:rPr>
              <w:t xml:space="preserve"> Mieten auslösen?</w:t>
            </w:r>
          </w:p>
          <w:p w14:paraId="4F71022C" w14:textId="3D6D4380" w:rsidR="00595E05" w:rsidRPr="005545F3" w:rsidRDefault="00595E05" w:rsidP="005545F3">
            <w:pPr>
              <w:pStyle w:val="ListParagraph"/>
              <w:numPr>
                <w:ilvl w:val="0"/>
                <w:numId w:val="70"/>
              </w:numPr>
              <w:spacing w:before="120" w:after="120"/>
              <w:jc w:val="both"/>
              <w:rPr>
                <w:rFonts w:ascii="Aptos" w:hAnsi="Aptos"/>
                <w:sz w:val="22"/>
                <w:szCs w:val="22"/>
              </w:rPr>
            </w:pPr>
            <w:r w:rsidRPr="00595E05">
              <w:rPr>
                <w:rFonts w:ascii="Aptos" w:hAnsi="Aptos"/>
                <w:sz w:val="22"/>
                <w:szCs w:val="22"/>
              </w:rPr>
              <w:t>Wie wollen sie sogenannten „renovictions“, also der Delogierung von Mieter:innen nach erfolgten häuslichen Renovierungs- oder thermischen Sanierungsmaßnahmen entgegentreten?</w:t>
            </w:r>
          </w:p>
          <w:p w14:paraId="0C0B4E69" w14:textId="103F5B6E" w:rsidR="005545F3" w:rsidRPr="005545F3" w:rsidRDefault="005545F3" w:rsidP="005545F3">
            <w:pPr>
              <w:pStyle w:val="ListParagraph"/>
              <w:numPr>
                <w:ilvl w:val="0"/>
                <w:numId w:val="70"/>
              </w:numPr>
              <w:spacing w:before="120" w:after="120"/>
              <w:jc w:val="both"/>
              <w:rPr>
                <w:rFonts w:ascii="Aptos" w:hAnsi="Aptos"/>
                <w:sz w:val="22"/>
                <w:szCs w:val="22"/>
              </w:rPr>
            </w:pPr>
            <w:r w:rsidRPr="005545F3">
              <w:rPr>
                <w:rFonts w:ascii="Aptos" w:hAnsi="Aptos"/>
                <w:sz w:val="22"/>
                <w:szCs w:val="22"/>
              </w:rPr>
              <w:t>Welche Rolle spielen in Ihren Überlegungen zur Energiewende gemeinnützige und kommunale Wohnbauträger, die bisher leistbaren Wohnraum zur Verfügung gestellt haben?</w:t>
            </w:r>
          </w:p>
          <w:p w14:paraId="3E7B0D82" w14:textId="13F6C576" w:rsidR="00595E05" w:rsidRPr="005545F3" w:rsidRDefault="005545F3" w:rsidP="00595E05">
            <w:pPr>
              <w:pStyle w:val="ListParagraph"/>
              <w:numPr>
                <w:ilvl w:val="0"/>
                <w:numId w:val="70"/>
              </w:numPr>
              <w:spacing w:before="120" w:after="120"/>
              <w:jc w:val="both"/>
              <w:rPr>
                <w:rFonts w:ascii="Aptos" w:hAnsi="Aptos"/>
                <w:sz w:val="22"/>
                <w:szCs w:val="22"/>
              </w:rPr>
            </w:pPr>
            <w:r w:rsidRPr="005545F3">
              <w:rPr>
                <w:rFonts w:ascii="Aptos" w:hAnsi="Aptos"/>
                <w:sz w:val="22"/>
                <w:szCs w:val="22"/>
              </w:rPr>
              <w:t>Welche Initiativen planen Sie, um Energiearmut in Europa zu reduzieren?</w:t>
            </w:r>
          </w:p>
        </w:tc>
      </w:tr>
    </w:tbl>
    <w:p w14:paraId="59B9F557" w14:textId="77777777" w:rsidR="000A68C6" w:rsidRDefault="000A68C6" w:rsidP="000A68C6">
      <w:pPr>
        <w:spacing w:after="120"/>
        <w:jc w:val="both"/>
        <w:rPr>
          <w:rFonts w:ascii="Aptos" w:hAnsi="Aptos"/>
          <w:i/>
          <w:iCs/>
          <w:sz w:val="22"/>
          <w:szCs w:val="22"/>
          <w:u w:val="single"/>
        </w:rPr>
      </w:pPr>
    </w:p>
    <w:tbl>
      <w:tblPr>
        <w:tblStyle w:val="TableNormal1"/>
        <w:tblW w:w="0" w:type="auto"/>
        <w:tblLayout w:type="fixed"/>
        <w:tblLook w:val="01E0" w:firstRow="1" w:lastRow="1" w:firstColumn="1" w:lastColumn="1" w:noHBand="0" w:noVBand="0"/>
      </w:tblPr>
      <w:tblGrid>
        <w:gridCol w:w="9066"/>
      </w:tblGrid>
      <w:tr w:rsidR="00715DD3" w:rsidRPr="009B5839" w14:paraId="6767B3F2" w14:textId="77777777" w:rsidTr="003D4657">
        <w:trPr>
          <w:trHeight w:val="277"/>
        </w:trPr>
        <w:tc>
          <w:tcPr>
            <w:tcW w:w="9066" w:type="dxa"/>
            <w:shd w:val="clear" w:color="auto" w:fill="D9D9D9"/>
          </w:tcPr>
          <w:p w14:paraId="7F1518DC" w14:textId="77777777" w:rsidR="00715DD3" w:rsidRPr="009B5839" w:rsidRDefault="00715DD3" w:rsidP="003D4657">
            <w:pPr>
              <w:pStyle w:val="TableParagraph"/>
              <w:spacing w:line="258" w:lineRule="exact"/>
              <w:ind w:left="0"/>
              <w:rPr>
                <w:rFonts w:ascii="Aptos" w:hAnsi="Aptos"/>
                <w:b/>
                <w:sz w:val="24"/>
              </w:rPr>
            </w:pPr>
            <w:r>
              <w:rPr>
                <w:rFonts w:ascii="Aptos" w:hAnsi="Aptos"/>
                <w:b/>
                <w:sz w:val="24"/>
              </w:rPr>
              <w:t>Hintergrundinformationen</w:t>
            </w:r>
          </w:p>
        </w:tc>
      </w:tr>
    </w:tbl>
    <w:p w14:paraId="35454582" w14:textId="1FA40E89" w:rsidR="00BB42B4" w:rsidRDefault="00C2297F" w:rsidP="00990A46">
      <w:pPr>
        <w:jc w:val="both"/>
        <w:rPr>
          <w:rFonts w:ascii="Aptos" w:hAnsi="Aptos"/>
          <w:sz w:val="22"/>
          <w:szCs w:val="22"/>
        </w:rPr>
      </w:pPr>
      <w:r w:rsidRPr="00C2297F">
        <w:rPr>
          <w:rFonts w:ascii="Aptos" w:hAnsi="Aptos"/>
          <w:sz w:val="22"/>
          <w:szCs w:val="22"/>
        </w:rPr>
        <w:t>Die Dekarbonisierung und die Verbesserung der Energieeffizienz des Gebäudesektors sind notwendig</w:t>
      </w:r>
      <w:r>
        <w:rPr>
          <w:rFonts w:ascii="Aptos" w:hAnsi="Aptos"/>
          <w:sz w:val="22"/>
          <w:szCs w:val="22"/>
        </w:rPr>
        <w:t xml:space="preserve">, </w:t>
      </w:r>
      <w:r w:rsidR="00990A46" w:rsidRPr="00990A46">
        <w:rPr>
          <w:rFonts w:ascii="Aptos" w:hAnsi="Aptos"/>
          <w:sz w:val="22"/>
          <w:szCs w:val="22"/>
        </w:rPr>
        <w:t xml:space="preserve">um die Klimakrise einzudämmen. Derzeit ist der Gebäudesektor für 40 % des Energieverbrauchs und 36 % der Treibhausgasemissionen in der EU verantwortlich </w:t>
      </w:r>
      <w:r w:rsidR="00990A46" w:rsidRPr="00990A46">
        <w:rPr>
          <w:rFonts w:ascii="Aptos" w:hAnsi="Aptos"/>
          <w:sz w:val="22"/>
          <w:szCs w:val="22"/>
          <w:vertAlign w:val="subscript"/>
        </w:rPr>
        <w:t>(1).</w:t>
      </w:r>
      <w:r w:rsidR="00990A46" w:rsidRPr="00990A46">
        <w:rPr>
          <w:rFonts w:ascii="Aptos" w:hAnsi="Aptos"/>
          <w:sz w:val="22"/>
          <w:szCs w:val="22"/>
        </w:rPr>
        <w:t xml:space="preserve"> Die überarbeitete Richtlinie über die Gesamtenergieeffizienz von Gebäuden (EPBD) soll Europa auf den Weg zu einem vollständig klimaneutralen Gebäudebestand bis 2050 bringen </w:t>
      </w:r>
      <w:r w:rsidR="00990A46" w:rsidRPr="00990A46">
        <w:rPr>
          <w:rFonts w:ascii="Aptos" w:hAnsi="Aptos"/>
          <w:sz w:val="22"/>
          <w:szCs w:val="22"/>
          <w:vertAlign w:val="subscript"/>
        </w:rPr>
        <w:t>(2).</w:t>
      </w:r>
      <w:r w:rsidR="00990A46" w:rsidRPr="00990A46">
        <w:rPr>
          <w:rFonts w:ascii="Aptos" w:hAnsi="Aptos"/>
          <w:sz w:val="22"/>
          <w:szCs w:val="22"/>
        </w:rPr>
        <w:t xml:space="preserve"> </w:t>
      </w:r>
      <w:r w:rsidRPr="00C2297F">
        <w:rPr>
          <w:rFonts w:ascii="Aptos" w:hAnsi="Aptos"/>
          <w:sz w:val="22"/>
          <w:szCs w:val="22"/>
        </w:rPr>
        <w:t>In diesem Zusammenhang ist jedoch zu berücksichtigen,</w:t>
      </w:r>
      <w:r w:rsidR="00990A46" w:rsidRPr="00990A46">
        <w:rPr>
          <w:rFonts w:ascii="Aptos" w:hAnsi="Aptos"/>
          <w:sz w:val="22"/>
          <w:szCs w:val="22"/>
        </w:rPr>
        <w:t xml:space="preserve"> dass Energieeffizienzmaßnahmen in Wohngebäuden nicht zu sozialen Problemen führen. Zwar kann eine verbesserte Energieeffizienz zu einer Senkung der Energiekosten </w:t>
      </w:r>
      <w:r>
        <w:rPr>
          <w:rFonts w:ascii="Aptos" w:hAnsi="Aptos"/>
          <w:sz w:val="22"/>
          <w:szCs w:val="22"/>
        </w:rPr>
        <w:t>unterstützen</w:t>
      </w:r>
      <w:r w:rsidR="00990A46" w:rsidRPr="00990A46">
        <w:rPr>
          <w:rFonts w:ascii="Aptos" w:hAnsi="Aptos"/>
          <w:sz w:val="22"/>
          <w:szCs w:val="22"/>
        </w:rPr>
        <w:t xml:space="preserve">, andererseits werden solche Maßnahmen </w:t>
      </w:r>
      <w:r>
        <w:rPr>
          <w:rFonts w:ascii="Aptos" w:hAnsi="Aptos"/>
          <w:sz w:val="22"/>
          <w:szCs w:val="22"/>
        </w:rPr>
        <w:t>im Gebäudebestand</w:t>
      </w:r>
      <w:r w:rsidR="00990A46" w:rsidRPr="00990A46">
        <w:rPr>
          <w:rFonts w:ascii="Aptos" w:hAnsi="Aptos"/>
          <w:sz w:val="22"/>
          <w:szCs w:val="22"/>
        </w:rPr>
        <w:t xml:space="preserve"> häufig auf die Mieten umgelegt. Dieses Phänomen wird auch als </w:t>
      </w:r>
      <w:r w:rsidR="00990A46" w:rsidRPr="00990A46">
        <w:rPr>
          <w:rFonts w:ascii="Aptos" w:hAnsi="Aptos"/>
          <w:i/>
          <w:iCs/>
          <w:sz w:val="22"/>
          <w:szCs w:val="22"/>
        </w:rPr>
        <w:t>Ökogentrifizierung</w:t>
      </w:r>
      <w:r w:rsidR="00990A46" w:rsidRPr="00990A46">
        <w:rPr>
          <w:rFonts w:ascii="Aptos" w:hAnsi="Aptos"/>
          <w:sz w:val="22"/>
          <w:szCs w:val="22"/>
        </w:rPr>
        <w:t xml:space="preserve"> oder </w:t>
      </w:r>
      <w:r w:rsidR="00990A46" w:rsidRPr="00990A46">
        <w:rPr>
          <w:rFonts w:ascii="Aptos" w:hAnsi="Aptos"/>
          <w:i/>
          <w:iCs/>
          <w:sz w:val="22"/>
          <w:szCs w:val="22"/>
        </w:rPr>
        <w:t>Verdrängung sozial benachteiligter Gruppen</w:t>
      </w:r>
      <w:r w:rsidR="00990A46" w:rsidRPr="00990A46">
        <w:rPr>
          <w:rFonts w:ascii="Aptos" w:hAnsi="Aptos"/>
          <w:sz w:val="22"/>
          <w:szCs w:val="22"/>
        </w:rPr>
        <w:t xml:space="preserve"> bezeichnet. Aus Sicht der Daseinsvorsorge ist eine gerechte Energiewende wichtig, d.h. dass alle Menschen Zugang zu energieeffizientem und nachhaltigem Wohnen haben, ohne dass ihre Lebensqualität darunter leidet. In diesem Zusammenhang sind insbesondere gemeinnützige und kommunale Wohnbauträger entscheidende Akteure</w:t>
      </w:r>
      <w:r>
        <w:rPr>
          <w:rFonts w:ascii="Aptos" w:hAnsi="Aptos"/>
          <w:sz w:val="22"/>
          <w:szCs w:val="22"/>
        </w:rPr>
        <w:t>, die diese Wohnräume bereitstellen</w:t>
      </w:r>
      <w:r w:rsidR="00990A46" w:rsidRPr="00990A46">
        <w:rPr>
          <w:rFonts w:ascii="Aptos" w:hAnsi="Aptos"/>
          <w:sz w:val="22"/>
          <w:szCs w:val="22"/>
        </w:rPr>
        <w:t>.</w:t>
      </w:r>
    </w:p>
    <w:p w14:paraId="73753B83" w14:textId="77777777" w:rsidR="00990A46" w:rsidRPr="00990A46" w:rsidRDefault="00990A46" w:rsidP="00990A46">
      <w:pPr>
        <w:jc w:val="both"/>
        <w:rPr>
          <w:rFonts w:ascii="Aptos" w:hAnsi="Aptos"/>
          <w:sz w:val="22"/>
          <w:szCs w:val="22"/>
        </w:rPr>
      </w:pPr>
    </w:p>
    <w:p w14:paraId="3D884F10" w14:textId="77777777" w:rsidR="00BB42B4" w:rsidRPr="00A0603B" w:rsidRDefault="00BB42B4" w:rsidP="00715DD3">
      <w:pPr>
        <w:pStyle w:val="ListParagraph"/>
        <w:numPr>
          <w:ilvl w:val="0"/>
          <w:numId w:val="113"/>
        </w:numPr>
        <w:jc w:val="both"/>
        <w:rPr>
          <w:rFonts w:ascii="Aptos" w:hAnsi="Aptos"/>
          <w:sz w:val="18"/>
          <w:szCs w:val="18"/>
          <w:lang w:val="en-GB"/>
        </w:rPr>
      </w:pPr>
      <w:r w:rsidRPr="00A0603B">
        <w:rPr>
          <w:rFonts w:ascii="Aptos" w:hAnsi="Aptos"/>
          <w:sz w:val="18"/>
          <w:szCs w:val="18"/>
          <w:lang w:val="en-GB"/>
        </w:rPr>
        <w:t>European Commission 2020: In focus: Energy efficiency in buildings</w:t>
      </w:r>
    </w:p>
    <w:p w14:paraId="314DF38D" w14:textId="77777777" w:rsidR="00BB42B4" w:rsidRDefault="00000000" w:rsidP="00BB42B4">
      <w:pPr>
        <w:ind w:firstLine="360"/>
        <w:jc w:val="both"/>
        <w:rPr>
          <w:rFonts w:ascii="Aptos" w:hAnsi="Aptos"/>
          <w:sz w:val="18"/>
          <w:szCs w:val="18"/>
          <w:lang w:val="en-GB"/>
        </w:rPr>
      </w:pPr>
      <w:hyperlink r:id="rId24" w:history="1">
        <w:r w:rsidR="00BB42B4" w:rsidRPr="00B83BAA">
          <w:rPr>
            <w:rStyle w:val="Hyperlink"/>
            <w:rFonts w:ascii="Aptos" w:hAnsi="Aptos"/>
            <w:sz w:val="18"/>
            <w:szCs w:val="18"/>
            <w:lang w:val="en-GB"/>
          </w:rPr>
          <w:t>https://commission.europa.eu/news/focus-energy-efficiency-buildings-2020-02-17_en</w:t>
        </w:r>
      </w:hyperlink>
    </w:p>
    <w:p w14:paraId="192F1A45" w14:textId="195F4251" w:rsidR="00BB42B4" w:rsidRDefault="00BB42B4" w:rsidP="00715DD3">
      <w:pPr>
        <w:pStyle w:val="ListParagraph"/>
        <w:numPr>
          <w:ilvl w:val="0"/>
          <w:numId w:val="113"/>
        </w:numPr>
        <w:jc w:val="both"/>
        <w:rPr>
          <w:rFonts w:ascii="Aptos" w:hAnsi="Aptos"/>
          <w:sz w:val="18"/>
          <w:szCs w:val="18"/>
          <w:lang w:val="en-GB"/>
        </w:rPr>
      </w:pPr>
      <w:r>
        <w:rPr>
          <w:rFonts w:ascii="Aptos" w:hAnsi="Aptos"/>
          <w:sz w:val="18"/>
          <w:szCs w:val="18"/>
          <w:lang w:val="en-GB"/>
        </w:rPr>
        <w:t>European Commission 2024: R</w:t>
      </w:r>
      <w:r w:rsidRPr="00BB42B4">
        <w:rPr>
          <w:rFonts w:ascii="Aptos" w:hAnsi="Aptos"/>
          <w:sz w:val="18"/>
          <w:szCs w:val="18"/>
          <w:lang w:val="en-GB"/>
        </w:rPr>
        <w:t>evised Energy Performance of Buildings Directive (EU/2024/1275)</w:t>
      </w:r>
    </w:p>
    <w:p w14:paraId="21D9CFF2" w14:textId="7AC0049F" w:rsidR="00BB42B4" w:rsidRPr="0095671E" w:rsidRDefault="00000000" w:rsidP="00BB42B4">
      <w:pPr>
        <w:ind w:left="360"/>
        <w:jc w:val="both"/>
        <w:rPr>
          <w:rFonts w:ascii="Aptos" w:hAnsi="Aptos"/>
          <w:sz w:val="18"/>
          <w:szCs w:val="18"/>
          <w:lang w:val="en-GB"/>
        </w:rPr>
      </w:pPr>
      <w:hyperlink r:id="rId25" w:history="1">
        <w:r w:rsidR="0095671E" w:rsidRPr="0095671E">
          <w:rPr>
            <w:rStyle w:val="Hyperlink"/>
            <w:rFonts w:ascii="Aptos" w:hAnsi="Aptos"/>
            <w:sz w:val="18"/>
            <w:szCs w:val="18"/>
            <w:lang w:val="en-GB"/>
          </w:rPr>
          <w:t>https://eur-lex.europa.eu/legal-content/EN/TXT/PDF/?uri=OJ:L_202401275</w:t>
        </w:r>
      </w:hyperlink>
    </w:p>
    <w:p w14:paraId="06084633" w14:textId="09BE906A" w:rsidR="00937624" w:rsidRPr="00BB42B4" w:rsidRDefault="00937624" w:rsidP="0050443A">
      <w:pPr>
        <w:rPr>
          <w:rFonts w:ascii="Aptos" w:hAnsi="Aptos"/>
          <w:lang w:val="en-GB"/>
        </w:rPr>
      </w:pPr>
    </w:p>
    <w:p w14:paraId="20E658A0" w14:textId="77777777" w:rsidR="0082018A" w:rsidRDefault="0082018A" w:rsidP="0050443A">
      <w:pPr>
        <w:rPr>
          <w:rFonts w:ascii="Aptos" w:hAnsi="Aptos"/>
          <w:lang w:val="en-GB"/>
        </w:rPr>
      </w:pPr>
    </w:p>
    <w:p w14:paraId="6A7FFB25" w14:textId="77777777" w:rsidR="00165678" w:rsidRPr="00BB42B4" w:rsidRDefault="00165678" w:rsidP="00165678">
      <w:pPr>
        <w:rPr>
          <w:lang w:val="en-GB"/>
        </w:rPr>
      </w:pPr>
    </w:p>
    <w:p w14:paraId="5A97A95A" w14:textId="1EFC6CDB" w:rsidR="00023686" w:rsidRPr="0050443A" w:rsidRDefault="0062061A" w:rsidP="00990A46">
      <w:pPr>
        <w:pStyle w:val="Heading1"/>
        <w:rPr>
          <w:i/>
          <w:iCs/>
          <w:sz w:val="22"/>
          <w:szCs w:val="22"/>
          <w:u w:val="single"/>
        </w:rPr>
      </w:pPr>
      <w:bookmarkStart w:id="9" w:name="_Toc170377500"/>
      <w:r w:rsidRPr="0050443A">
        <w:t>Bekämpfung der Obdachlosigkeit in Europa - Umsetzung der Lissabon Deklaration</w:t>
      </w:r>
      <w:bookmarkEnd w:id="9"/>
    </w:p>
    <w:tbl>
      <w:tblPr>
        <w:tblStyle w:val="TableGrid"/>
        <w:tblW w:w="0" w:type="auto"/>
        <w:tblInd w:w="108" w:type="dxa"/>
        <w:tblLook w:val="04A0" w:firstRow="1" w:lastRow="0" w:firstColumn="1" w:lastColumn="0" w:noHBand="0" w:noVBand="1"/>
      </w:tblPr>
      <w:tblGrid>
        <w:gridCol w:w="9060"/>
      </w:tblGrid>
      <w:tr w:rsidR="00023686" w:rsidRPr="0050443A" w14:paraId="0DBF37E4" w14:textId="77777777" w:rsidTr="00715DD3">
        <w:tc>
          <w:tcPr>
            <w:tcW w:w="9060" w:type="dxa"/>
            <w:shd w:val="clear" w:color="auto" w:fill="D9D9D9" w:themeFill="background1" w:themeFillShade="D9"/>
          </w:tcPr>
          <w:p w14:paraId="0748C521" w14:textId="75A517EB" w:rsidR="00023686" w:rsidRPr="0050443A" w:rsidRDefault="00023686" w:rsidP="00072582">
            <w:pPr>
              <w:spacing w:before="120" w:after="120"/>
              <w:jc w:val="both"/>
              <w:rPr>
                <w:rFonts w:ascii="Aptos" w:hAnsi="Aptos"/>
                <w:b/>
                <w:iCs/>
                <w:sz w:val="22"/>
                <w:szCs w:val="22"/>
              </w:rPr>
            </w:pPr>
            <w:r w:rsidRPr="0050443A">
              <w:rPr>
                <w:rFonts w:ascii="Aptos" w:hAnsi="Aptos"/>
                <w:b/>
                <w:iCs/>
                <w:sz w:val="22"/>
                <w:szCs w:val="22"/>
              </w:rPr>
              <w:t>Frage</w:t>
            </w:r>
          </w:p>
        </w:tc>
      </w:tr>
      <w:tr w:rsidR="00023686" w:rsidRPr="0050443A" w14:paraId="343537C7" w14:textId="77777777" w:rsidTr="00715DD3">
        <w:tc>
          <w:tcPr>
            <w:tcW w:w="9060" w:type="dxa"/>
          </w:tcPr>
          <w:p w14:paraId="712F073A" w14:textId="1BEF18BC" w:rsidR="00023686" w:rsidRPr="0050443A" w:rsidRDefault="006B2AE5" w:rsidP="00072582">
            <w:pPr>
              <w:spacing w:before="120" w:after="120"/>
              <w:jc w:val="both"/>
              <w:rPr>
                <w:rFonts w:ascii="Aptos" w:hAnsi="Aptos"/>
                <w:b/>
                <w:bCs/>
                <w:sz w:val="22"/>
                <w:szCs w:val="22"/>
              </w:rPr>
            </w:pPr>
            <w:r w:rsidRPr="006B2AE5">
              <w:rPr>
                <w:rFonts w:ascii="Aptos" w:hAnsi="Aptos"/>
                <w:sz w:val="22"/>
                <w:szCs w:val="22"/>
              </w:rPr>
              <w:t xml:space="preserve">Fast 900.000 Menschen in Europa waren im vergangenen Jahr obdachlos. Das sind 30 </w:t>
            </w:r>
            <w:r w:rsidR="00620CCA">
              <w:rPr>
                <w:rFonts w:ascii="Aptos" w:hAnsi="Aptos"/>
                <w:sz w:val="22"/>
                <w:szCs w:val="22"/>
              </w:rPr>
              <w:t xml:space="preserve">% </w:t>
            </w:r>
            <w:r w:rsidRPr="006B2AE5">
              <w:rPr>
                <w:rFonts w:ascii="Aptos" w:hAnsi="Aptos"/>
                <w:sz w:val="22"/>
                <w:szCs w:val="22"/>
              </w:rPr>
              <w:t xml:space="preserve">mehr als bei der letzten Schätzung im Jahr 2018. In den zehn Jahren zuvor war die Zahl bereits um 70 </w:t>
            </w:r>
            <w:r w:rsidR="00620CCA">
              <w:rPr>
                <w:rFonts w:ascii="Aptos" w:hAnsi="Aptos"/>
                <w:sz w:val="22"/>
                <w:szCs w:val="22"/>
              </w:rPr>
              <w:t xml:space="preserve">% </w:t>
            </w:r>
            <w:r w:rsidRPr="006B2AE5">
              <w:rPr>
                <w:rFonts w:ascii="Aptos" w:hAnsi="Aptos"/>
                <w:sz w:val="22"/>
                <w:szCs w:val="22"/>
              </w:rPr>
              <w:t xml:space="preserve">gestiegen. Es handelt sich also um ein strukturell wachsendes Problem. </w:t>
            </w:r>
            <w:r w:rsidRPr="006B2AE5">
              <w:rPr>
                <w:rFonts w:ascii="Aptos" w:hAnsi="Aptos"/>
                <w:b/>
                <w:bCs/>
                <w:sz w:val="22"/>
                <w:szCs w:val="22"/>
              </w:rPr>
              <w:t>Welche Initiativen planen Sie,  um die Obdachlosigkeit in Europa bis 2030 zu beenden, wie es in der Erklärung von Lissabon vereinbart wurde?</w:t>
            </w:r>
          </w:p>
        </w:tc>
      </w:tr>
      <w:tr w:rsidR="00023686" w:rsidRPr="0050443A" w14:paraId="1EDC9C45" w14:textId="77777777" w:rsidTr="00715DD3">
        <w:tc>
          <w:tcPr>
            <w:tcW w:w="9060" w:type="dxa"/>
            <w:shd w:val="clear" w:color="auto" w:fill="D9D9D9" w:themeFill="background1" w:themeFillShade="D9"/>
          </w:tcPr>
          <w:p w14:paraId="78A9A2EF" w14:textId="21E2CE73" w:rsidR="00023686" w:rsidRPr="0050443A" w:rsidRDefault="00023686" w:rsidP="00072582">
            <w:pPr>
              <w:spacing w:before="120" w:after="120"/>
              <w:jc w:val="both"/>
              <w:rPr>
                <w:rFonts w:ascii="Aptos" w:hAnsi="Aptos"/>
                <w:b/>
                <w:bCs/>
                <w:sz w:val="22"/>
                <w:szCs w:val="22"/>
              </w:rPr>
            </w:pPr>
            <w:r w:rsidRPr="0050443A">
              <w:rPr>
                <w:rFonts w:ascii="Aptos" w:hAnsi="Aptos"/>
                <w:b/>
                <w:bCs/>
                <w:sz w:val="22"/>
                <w:szCs w:val="22"/>
              </w:rPr>
              <w:t>Nachfrage</w:t>
            </w:r>
          </w:p>
        </w:tc>
      </w:tr>
      <w:tr w:rsidR="00023686" w:rsidRPr="0050443A" w14:paraId="5C6A43A6" w14:textId="77777777" w:rsidTr="00715DD3">
        <w:tc>
          <w:tcPr>
            <w:tcW w:w="9060" w:type="dxa"/>
          </w:tcPr>
          <w:p w14:paraId="2F147BAE" w14:textId="374986E3" w:rsidR="006B2AE5" w:rsidRPr="006B2AE5" w:rsidRDefault="006B2AE5" w:rsidP="006B2AE5">
            <w:pPr>
              <w:pStyle w:val="ListParagraph"/>
              <w:numPr>
                <w:ilvl w:val="0"/>
                <w:numId w:val="70"/>
              </w:numPr>
              <w:spacing w:before="120" w:after="120"/>
              <w:jc w:val="both"/>
              <w:rPr>
                <w:rFonts w:ascii="Aptos" w:hAnsi="Aptos"/>
                <w:sz w:val="22"/>
                <w:szCs w:val="22"/>
              </w:rPr>
            </w:pPr>
            <w:r w:rsidRPr="006B2AE5">
              <w:rPr>
                <w:rFonts w:ascii="Aptos" w:hAnsi="Aptos"/>
                <w:sz w:val="22"/>
                <w:szCs w:val="22"/>
              </w:rPr>
              <w:t>Welche Maßnahmen planen Sie, um sicherzustellen, dass es genügend Koordinierungsstellen auf der Ebene der Mitgliedstaaten und der lokalen Akteure gibt?</w:t>
            </w:r>
          </w:p>
          <w:p w14:paraId="660356A6" w14:textId="77777777" w:rsidR="004F4384" w:rsidRDefault="006B2AE5" w:rsidP="006B2AE5">
            <w:pPr>
              <w:pStyle w:val="ListParagraph"/>
              <w:numPr>
                <w:ilvl w:val="0"/>
                <w:numId w:val="70"/>
              </w:numPr>
              <w:spacing w:before="120" w:after="120"/>
              <w:jc w:val="both"/>
              <w:rPr>
                <w:rFonts w:ascii="Aptos" w:hAnsi="Aptos"/>
                <w:sz w:val="22"/>
                <w:szCs w:val="22"/>
              </w:rPr>
            </w:pPr>
            <w:r w:rsidRPr="006B2AE5">
              <w:rPr>
                <w:rFonts w:ascii="Aptos" w:hAnsi="Aptos"/>
                <w:sz w:val="22"/>
                <w:szCs w:val="22"/>
              </w:rPr>
              <w:t>Wie kann sichergestellt werden, dass die Verteilung der Mittel an die Betroffenen auch durch öffentliche, gemeinnützige und soziale Organisationen erfolgt und nicht zu einem Geschäft für private Anbieter wird?</w:t>
            </w:r>
          </w:p>
          <w:p w14:paraId="1063B6D8" w14:textId="2920173E" w:rsidR="001B7DE3" w:rsidRPr="0050443A" w:rsidRDefault="001B7DE3" w:rsidP="006B2AE5">
            <w:pPr>
              <w:pStyle w:val="ListParagraph"/>
              <w:numPr>
                <w:ilvl w:val="0"/>
                <w:numId w:val="70"/>
              </w:numPr>
              <w:spacing w:before="120" w:after="120"/>
              <w:jc w:val="both"/>
              <w:rPr>
                <w:rFonts w:ascii="Aptos" w:hAnsi="Aptos"/>
                <w:sz w:val="22"/>
                <w:szCs w:val="22"/>
              </w:rPr>
            </w:pPr>
            <w:r w:rsidRPr="001B7DE3">
              <w:rPr>
                <w:rFonts w:ascii="Aptos" w:hAnsi="Aptos"/>
                <w:sz w:val="22"/>
                <w:szCs w:val="22"/>
              </w:rPr>
              <w:t>Planen Sie die Errichtung eines europäischen Rahmens, der die Rolle und die Bedürfnisse von Städten bei der Bekämpfung von Obdachlosigkeit angemessen berücksichtigt?</w:t>
            </w:r>
          </w:p>
        </w:tc>
      </w:tr>
    </w:tbl>
    <w:p w14:paraId="73B22692" w14:textId="77777777" w:rsidR="00023686" w:rsidRPr="00002BF2" w:rsidRDefault="00023686" w:rsidP="00023686">
      <w:pPr>
        <w:spacing w:after="120"/>
        <w:jc w:val="both"/>
        <w:rPr>
          <w:rFonts w:ascii="Aptos" w:hAnsi="Aptos"/>
          <w:i/>
          <w:iCs/>
          <w:sz w:val="22"/>
          <w:szCs w:val="22"/>
          <w:u w:val="single"/>
        </w:rPr>
      </w:pPr>
    </w:p>
    <w:tbl>
      <w:tblPr>
        <w:tblStyle w:val="TableNormal1"/>
        <w:tblW w:w="0" w:type="auto"/>
        <w:tblLayout w:type="fixed"/>
        <w:tblLook w:val="01E0" w:firstRow="1" w:lastRow="1" w:firstColumn="1" w:lastColumn="1" w:noHBand="0" w:noVBand="0"/>
      </w:tblPr>
      <w:tblGrid>
        <w:gridCol w:w="9066"/>
      </w:tblGrid>
      <w:tr w:rsidR="00715DD3" w:rsidRPr="009B5839" w14:paraId="38625430" w14:textId="77777777" w:rsidTr="003D4657">
        <w:trPr>
          <w:trHeight w:val="277"/>
        </w:trPr>
        <w:tc>
          <w:tcPr>
            <w:tcW w:w="9066" w:type="dxa"/>
            <w:shd w:val="clear" w:color="auto" w:fill="D9D9D9"/>
          </w:tcPr>
          <w:p w14:paraId="1217DC12" w14:textId="77777777" w:rsidR="00715DD3" w:rsidRPr="009B5839" w:rsidRDefault="00715DD3" w:rsidP="003D4657">
            <w:pPr>
              <w:pStyle w:val="TableParagraph"/>
              <w:spacing w:line="258" w:lineRule="exact"/>
              <w:ind w:left="0"/>
              <w:rPr>
                <w:rFonts w:ascii="Aptos" w:hAnsi="Aptos"/>
                <w:b/>
                <w:sz w:val="24"/>
              </w:rPr>
            </w:pPr>
            <w:r>
              <w:rPr>
                <w:rFonts w:ascii="Aptos" w:hAnsi="Aptos"/>
                <w:b/>
                <w:sz w:val="24"/>
              </w:rPr>
              <w:t>Hintergrundinformationen</w:t>
            </w:r>
          </w:p>
        </w:tc>
      </w:tr>
    </w:tbl>
    <w:p w14:paraId="76230972" w14:textId="089DA631" w:rsidR="0050443A" w:rsidRPr="0095671E" w:rsidRDefault="00072582" w:rsidP="00072582">
      <w:pPr>
        <w:jc w:val="both"/>
        <w:rPr>
          <w:rFonts w:ascii="Aptos" w:hAnsi="Aptos"/>
          <w:sz w:val="22"/>
          <w:szCs w:val="22"/>
        </w:rPr>
      </w:pPr>
      <w:r w:rsidRPr="0095671E">
        <w:rPr>
          <w:rFonts w:ascii="Aptos" w:hAnsi="Aptos"/>
          <w:sz w:val="22"/>
          <w:szCs w:val="22"/>
        </w:rPr>
        <w:t>Fast 900.000 Menschen in Europa waren im vergangenen Jahr obdachlos. Diese alarmierende Zahl markiert einen Anstieg um 30 % im Vergleich zur letzten Schätzung im Jahr 2018. In den zehn Jahren zuvor war die Zahl bereits um 70 % gestiegen, was auf ein strukturell wachsendes Problem hinweist (1). Die Ursachen für Obdachlosigkeit sind vielschichtig und umfassen wirtschaftliche Unsicherheit, soziale Ausgrenzung, den Mangel an bezahlbarem Wohnraum und nicht zuletzt individuelle Krisen wie Arbeitsplatzverlust oder Gesundheitsprobleme (2). Diese besorgniserregende Entwicklung unterstreicht die Dringlichkeit, Maßnahmen zu ergreifen, um Wohnungslosigkeit zu bekämpfen und gleichzeitig die zugrunde liegenden strukturellen Probleme anzugehen</w:t>
      </w:r>
      <w:r w:rsidR="00CF317E" w:rsidRPr="0095671E">
        <w:rPr>
          <w:rFonts w:ascii="Aptos" w:hAnsi="Aptos"/>
          <w:sz w:val="22"/>
          <w:szCs w:val="22"/>
        </w:rPr>
        <w:t xml:space="preserve">. Aus der Perspektive der Daseinsvorsorge ist </w:t>
      </w:r>
      <w:r w:rsidR="00A864DF">
        <w:rPr>
          <w:rFonts w:ascii="Aptos" w:hAnsi="Aptos"/>
          <w:sz w:val="22"/>
          <w:szCs w:val="22"/>
        </w:rPr>
        <w:t>es von großer Bedeutung</w:t>
      </w:r>
      <w:r w:rsidR="00CF317E" w:rsidRPr="0095671E">
        <w:rPr>
          <w:rFonts w:ascii="Aptos" w:hAnsi="Aptos"/>
          <w:sz w:val="22"/>
          <w:szCs w:val="22"/>
        </w:rPr>
        <w:t>, die strukturelle Wohnungslosigkeit in Europa zu bekämpfen</w:t>
      </w:r>
      <w:r w:rsidR="00A864DF">
        <w:t xml:space="preserve">. </w:t>
      </w:r>
      <w:r w:rsidR="00A864DF" w:rsidRPr="00A864DF">
        <w:rPr>
          <w:rFonts w:ascii="Aptos" w:hAnsi="Aptos"/>
          <w:sz w:val="22"/>
          <w:szCs w:val="22"/>
        </w:rPr>
        <w:t xml:space="preserve">Diese hat nämlich großen individuellen und gesellschaftlichen Schaden zur Folge. </w:t>
      </w:r>
      <w:r w:rsidR="00CF317E" w:rsidRPr="0095671E">
        <w:rPr>
          <w:rFonts w:ascii="Aptos" w:hAnsi="Aptos"/>
          <w:sz w:val="22"/>
          <w:szCs w:val="22"/>
        </w:rPr>
        <w:t>Bezahlbarer Wohnraum,</w:t>
      </w:r>
      <w:r w:rsidR="00A864DF">
        <w:rPr>
          <w:rFonts w:ascii="Aptos" w:hAnsi="Aptos"/>
          <w:sz w:val="22"/>
          <w:szCs w:val="22"/>
        </w:rPr>
        <w:t xml:space="preserve"> </w:t>
      </w:r>
      <w:r w:rsidR="00CF317E" w:rsidRPr="0095671E">
        <w:rPr>
          <w:rFonts w:ascii="Aptos" w:hAnsi="Aptos"/>
          <w:sz w:val="22"/>
          <w:szCs w:val="22"/>
        </w:rPr>
        <w:t>leistungsfähige Bildungssysteme</w:t>
      </w:r>
      <w:r w:rsidR="00A864DF">
        <w:rPr>
          <w:rFonts w:ascii="Aptos" w:hAnsi="Aptos"/>
          <w:sz w:val="22"/>
          <w:szCs w:val="22"/>
        </w:rPr>
        <w:t>, sichere Arbeitsplätze</w:t>
      </w:r>
      <w:r w:rsidR="00CF317E" w:rsidRPr="0095671E">
        <w:rPr>
          <w:rFonts w:ascii="Aptos" w:hAnsi="Aptos"/>
          <w:sz w:val="22"/>
          <w:szCs w:val="22"/>
        </w:rPr>
        <w:t xml:space="preserve"> und ein </w:t>
      </w:r>
      <w:r w:rsidR="0095671E">
        <w:rPr>
          <w:rFonts w:ascii="Aptos" w:hAnsi="Aptos"/>
          <w:sz w:val="22"/>
          <w:szCs w:val="22"/>
        </w:rPr>
        <w:t xml:space="preserve">sozial </w:t>
      </w:r>
      <w:r w:rsidR="00CF317E" w:rsidRPr="0095671E">
        <w:rPr>
          <w:rFonts w:ascii="Aptos" w:hAnsi="Aptos"/>
          <w:sz w:val="22"/>
          <w:szCs w:val="22"/>
        </w:rPr>
        <w:t>inklusiver Zugang zu öffentlichen Dienstleistungen - um nur einige Beispiele zu nennen - sind in diesem Zusammenhang wertvolle Elemente, die von den Akteuren der Daseinsvorsorge bereitgestellt werden.</w:t>
      </w:r>
    </w:p>
    <w:p w14:paraId="0AC2FC94" w14:textId="77777777" w:rsidR="00072582" w:rsidRDefault="00072582" w:rsidP="00072582">
      <w:pPr>
        <w:jc w:val="both"/>
      </w:pPr>
    </w:p>
    <w:p w14:paraId="3CAD22E6" w14:textId="22495A06" w:rsidR="00072582" w:rsidRPr="00072582" w:rsidRDefault="00072582" w:rsidP="00072582">
      <w:pPr>
        <w:pStyle w:val="ListParagraph"/>
        <w:numPr>
          <w:ilvl w:val="0"/>
          <w:numId w:val="103"/>
        </w:numPr>
        <w:jc w:val="both"/>
        <w:rPr>
          <w:rFonts w:ascii="Aptos" w:hAnsi="Aptos"/>
          <w:sz w:val="18"/>
          <w:szCs w:val="18"/>
        </w:rPr>
      </w:pPr>
      <w:r w:rsidRPr="00072582">
        <w:rPr>
          <w:rFonts w:ascii="Aptos" w:hAnsi="Aptos"/>
          <w:sz w:val="18"/>
          <w:szCs w:val="18"/>
        </w:rPr>
        <w:t xml:space="preserve">Europäisches Parlament 2020: Pressemitteilung zur EU Obdachlosigkeit </w:t>
      </w:r>
    </w:p>
    <w:p w14:paraId="54847D10" w14:textId="36C7E19E" w:rsidR="00072582" w:rsidRPr="00CF317E" w:rsidRDefault="00000000" w:rsidP="0095671E">
      <w:pPr>
        <w:ind w:left="360"/>
        <w:jc w:val="both"/>
        <w:rPr>
          <w:rStyle w:val="Hyperlink"/>
          <w:rFonts w:ascii="Aptos" w:hAnsi="Aptos"/>
          <w:sz w:val="18"/>
          <w:szCs w:val="18"/>
        </w:rPr>
      </w:pPr>
      <w:hyperlink r:id="rId26" w:history="1">
        <w:r w:rsidR="0095671E" w:rsidRPr="0005306D">
          <w:rPr>
            <w:rStyle w:val="Hyperlink"/>
            <w:rFonts w:ascii="Aptos" w:hAnsi="Aptos"/>
            <w:sz w:val="18"/>
            <w:szCs w:val="18"/>
          </w:rPr>
          <w:t>https://www.europarl.europa.eu/news/de/press-room/20201120IPR92124/eu-soll-obdachlosigkeit-bis-2030-beseitigen</w:t>
        </w:r>
      </w:hyperlink>
    </w:p>
    <w:p w14:paraId="302ABA22" w14:textId="60BCF2D9" w:rsidR="00072582" w:rsidRPr="00CF317E" w:rsidRDefault="00072582" w:rsidP="00072582">
      <w:pPr>
        <w:pStyle w:val="ListParagraph"/>
        <w:numPr>
          <w:ilvl w:val="0"/>
          <w:numId w:val="103"/>
        </w:numPr>
        <w:jc w:val="both"/>
        <w:rPr>
          <w:rFonts w:ascii="Aptos" w:hAnsi="Aptos"/>
          <w:sz w:val="18"/>
          <w:szCs w:val="18"/>
          <w:lang w:val="en-GB"/>
        </w:rPr>
      </w:pPr>
      <w:r w:rsidRPr="00CF317E">
        <w:rPr>
          <w:rFonts w:ascii="Aptos" w:hAnsi="Aptos"/>
          <w:sz w:val="18"/>
          <w:szCs w:val="18"/>
          <w:lang w:val="en-GB"/>
        </w:rPr>
        <w:t>Social Europe 2024: Rethinking the battle against homelessness</w:t>
      </w:r>
    </w:p>
    <w:p w14:paraId="0B0D497C" w14:textId="5CE3A62D" w:rsidR="00072582" w:rsidRPr="00072582" w:rsidRDefault="00000000" w:rsidP="0095671E">
      <w:pPr>
        <w:ind w:left="360"/>
        <w:jc w:val="both"/>
        <w:rPr>
          <w:rStyle w:val="Hyperlink"/>
          <w:rFonts w:ascii="Aptos" w:hAnsi="Aptos"/>
          <w:sz w:val="18"/>
          <w:szCs w:val="18"/>
          <w:lang w:val="en-GB"/>
        </w:rPr>
      </w:pPr>
      <w:hyperlink r:id="rId27" w:anchor=":~:text=Poverty%20and%20the%20rising%20cost,homelessness%20in%20Europe%20by%202030." w:history="1">
        <w:r w:rsidR="0095671E" w:rsidRPr="0005306D">
          <w:rPr>
            <w:rStyle w:val="Hyperlink"/>
            <w:rFonts w:ascii="Aptos" w:hAnsi="Aptos"/>
            <w:sz w:val="18"/>
            <w:szCs w:val="18"/>
            <w:lang w:val="en-GB"/>
          </w:rPr>
          <w:t>https://www.socialeurope.eu/rethinking-the-battle-against-homelessness#:~:text=Poverty%20and%20the%20rising%20cost,homelessness%20in%20Europe%20by%202030.</w:t>
        </w:r>
      </w:hyperlink>
    </w:p>
    <w:p w14:paraId="08C579DB" w14:textId="77777777" w:rsidR="007C07B7" w:rsidRPr="00072582" w:rsidRDefault="007C07B7" w:rsidP="007C07B7">
      <w:pPr>
        <w:spacing w:after="120"/>
        <w:jc w:val="both"/>
        <w:rPr>
          <w:rFonts w:ascii="Aptos" w:hAnsi="Aptos"/>
          <w:lang w:val="en-GB"/>
        </w:rPr>
      </w:pPr>
    </w:p>
    <w:p w14:paraId="73ADBAF2" w14:textId="77777777" w:rsidR="006B2AE5" w:rsidRPr="00072582" w:rsidRDefault="006B2AE5" w:rsidP="007C07B7">
      <w:pPr>
        <w:spacing w:after="120"/>
        <w:jc w:val="both"/>
        <w:rPr>
          <w:rFonts w:ascii="Aptos" w:hAnsi="Aptos"/>
          <w:lang w:val="en-GB"/>
        </w:rPr>
      </w:pPr>
    </w:p>
    <w:p w14:paraId="26AB86EA" w14:textId="77777777" w:rsidR="006B2AE5" w:rsidRPr="00072582" w:rsidRDefault="006B2AE5" w:rsidP="007C07B7">
      <w:pPr>
        <w:spacing w:after="120"/>
        <w:jc w:val="both"/>
        <w:rPr>
          <w:rFonts w:ascii="Aptos" w:hAnsi="Aptos"/>
          <w:lang w:val="en-GB"/>
        </w:rPr>
      </w:pPr>
    </w:p>
    <w:p w14:paraId="0E9B6926" w14:textId="77777777" w:rsidR="006B2AE5" w:rsidRPr="00072582" w:rsidRDefault="006B2AE5" w:rsidP="007C07B7">
      <w:pPr>
        <w:spacing w:after="120"/>
        <w:jc w:val="both"/>
        <w:rPr>
          <w:rFonts w:ascii="Aptos" w:hAnsi="Aptos"/>
          <w:lang w:val="en-GB"/>
        </w:rPr>
      </w:pPr>
    </w:p>
    <w:p w14:paraId="25F59507" w14:textId="6E162410" w:rsidR="00A96C26" w:rsidRPr="0050443A" w:rsidRDefault="00A96C26" w:rsidP="0095671E">
      <w:pPr>
        <w:pStyle w:val="Heading1"/>
        <w:rPr>
          <w:i/>
          <w:iCs/>
          <w:sz w:val="22"/>
          <w:szCs w:val="22"/>
          <w:u w:val="single"/>
        </w:rPr>
      </w:pPr>
      <w:bookmarkStart w:id="10" w:name="_Toc170377501"/>
      <w:r w:rsidRPr="0050443A">
        <w:t>Bekämpfung der Wohnungslosigkeit in Europa – Präventionsmaßnahmen</w:t>
      </w:r>
      <w:bookmarkEnd w:id="10"/>
    </w:p>
    <w:tbl>
      <w:tblPr>
        <w:tblStyle w:val="TableGrid"/>
        <w:tblW w:w="0" w:type="auto"/>
        <w:tblInd w:w="108" w:type="dxa"/>
        <w:tblLook w:val="04A0" w:firstRow="1" w:lastRow="0" w:firstColumn="1" w:lastColumn="0" w:noHBand="0" w:noVBand="1"/>
      </w:tblPr>
      <w:tblGrid>
        <w:gridCol w:w="9060"/>
      </w:tblGrid>
      <w:tr w:rsidR="00A96C26" w:rsidRPr="0050443A" w14:paraId="457B5F28" w14:textId="77777777" w:rsidTr="00715DD3">
        <w:tc>
          <w:tcPr>
            <w:tcW w:w="9060" w:type="dxa"/>
            <w:shd w:val="clear" w:color="auto" w:fill="D9D9D9" w:themeFill="background1" w:themeFillShade="D9"/>
          </w:tcPr>
          <w:p w14:paraId="5962FC71" w14:textId="77777777" w:rsidR="00A96C26" w:rsidRPr="0050443A" w:rsidRDefault="00A96C26" w:rsidP="00072582">
            <w:pPr>
              <w:spacing w:before="120" w:after="120"/>
              <w:jc w:val="both"/>
              <w:rPr>
                <w:rFonts w:ascii="Aptos" w:hAnsi="Aptos"/>
                <w:b/>
                <w:iCs/>
                <w:sz w:val="22"/>
                <w:szCs w:val="22"/>
              </w:rPr>
            </w:pPr>
            <w:r w:rsidRPr="0050443A">
              <w:rPr>
                <w:rFonts w:ascii="Aptos" w:hAnsi="Aptos"/>
                <w:b/>
                <w:iCs/>
                <w:sz w:val="22"/>
                <w:szCs w:val="22"/>
              </w:rPr>
              <w:t>Frage</w:t>
            </w:r>
          </w:p>
        </w:tc>
      </w:tr>
      <w:tr w:rsidR="00A96C26" w:rsidRPr="0050443A" w14:paraId="3F2132E9" w14:textId="77777777" w:rsidTr="00715DD3">
        <w:tc>
          <w:tcPr>
            <w:tcW w:w="9060" w:type="dxa"/>
          </w:tcPr>
          <w:p w14:paraId="28FE4EC9" w14:textId="7C861395" w:rsidR="00A96C26" w:rsidRPr="0050443A" w:rsidRDefault="00A864DF" w:rsidP="006B2AE5">
            <w:pPr>
              <w:spacing w:after="160" w:line="259" w:lineRule="auto"/>
              <w:jc w:val="both"/>
              <w:rPr>
                <w:rFonts w:ascii="Aptos" w:hAnsi="Aptos"/>
                <w:b/>
                <w:bCs/>
                <w:sz w:val="22"/>
                <w:szCs w:val="22"/>
              </w:rPr>
            </w:pPr>
            <w:r w:rsidRPr="00A864DF">
              <w:rPr>
                <w:rFonts w:ascii="Aptos" w:hAnsi="Aptos"/>
                <w:sz w:val="22"/>
                <w:szCs w:val="22"/>
              </w:rPr>
              <w:t xml:space="preserve">Wohnungslosigkeit stellt ein komplexes und weit verbreitetes soziales Problem in Europa dar, das verschiedene Ursachen hat. Dazu zählen Wohnungsnot, Arbeitslosigkeit, Armut, soziale Ausgrenzung und fehlender Zugang zu bezahlbarem Wohnraum. Trotz der Bemühungen von Regierungen und Nichtregierungsorganisationen ist das Problem der Wohnungslosigkeit in vielen europäischen Ländern weiterhin präsent. Dies unterstreicht die Notwendigkeit wirksamer Maßnahmen zur Prävention und Unterstützung der Betroffenen. </w:t>
            </w:r>
            <w:r w:rsidR="006B2AE5" w:rsidRPr="006B2AE5">
              <w:rPr>
                <w:rFonts w:ascii="Aptos" w:hAnsi="Aptos"/>
                <w:b/>
                <w:bCs/>
                <w:sz w:val="22"/>
                <w:szCs w:val="22"/>
              </w:rPr>
              <w:t>Welche Initiativen planen Sie zur Prävention von Wohnungslosigkeit?</w:t>
            </w:r>
          </w:p>
        </w:tc>
      </w:tr>
      <w:tr w:rsidR="00A96C26" w:rsidRPr="0050443A" w14:paraId="73BF9A63" w14:textId="77777777" w:rsidTr="00715DD3">
        <w:tc>
          <w:tcPr>
            <w:tcW w:w="9060" w:type="dxa"/>
            <w:shd w:val="clear" w:color="auto" w:fill="D9D9D9" w:themeFill="background1" w:themeFillShade="D9"/>
          </w:tcPr>
          <w:p w14:paraId="77AAEFD4" w14:textId="77777777" w:rsidR="00A96C26" w:rsidRPr="0050443A" w:rsidRDefault="00A96C26" w:rsidP="00072582">
            <w:pPr>
              <w:spacing w:before="120" w:after="120"/>
              <w:jc w:val="both"/>
              <w:rPr>
                <w:rFonts w:ascii="Aptos" w:hAnsi="Aptos"/>
                <w:b/>
                <w:bCs/>
                <w:sz w:val="22"/>
                <w:szCs w:val="22"/>
              </w:rPr>
            </w:pPr>
            <w:r w:rsidRPr="0050443A">
              <w:rPr>
                <w:rFonts w:ascii="Aptos" w:hAnsi="Aptos"/>
                <w:b/>
                <w:bCs/>
                <w:sz w:val="22"/>
                <w:szCs w:val="22"/>
              </w:rPr>
              <w:t>Nachfrage</w:t>
            </w:r>
          </w:p>
        </w:tc>
      </w:tr>
      <w:tr w:rsidR="00A96C26" w:rsidRPr="0050443A" w14:paraId="1E76E557" w14:textId="77777777" w:rsidTr="00715DD3">
        <w:tc>
          <w:tcPr>
            <w:tcW w:w="9060" w:type="dxa"/>
          </w:tcPr>
          <w:p w14:paraId="099BBE0D" w14:textId="681A2545" w:rsidR="006B2AE5" w:rsidRPr="006B2AE5" w:rsidRDefault="006B2AE5" w:rsidP="006B2AE5">
            <w:pPr>
              <w:pStyle w:val="ListParagraph"/>
              <w:numPr>
                <w:ilvl w:val="0"/>
                <w:numId w:val="87"/>
              </w:numPr>
              <w:spacing w:before="120" w:after="120"/>
              <w:jc w:val="both"/>
              <w:rPr>
                <w:rFonts w:ascii="Aptos" w:hAnsi="Aptos"/>
                <w:sz w:val="22"/>
                <w:szCs w:val="22"/>
              </w:rPr>
            </w:pPr>
            <w:r w:rsidRPr="006B2AE5">
              <w:rPr>
                <w:rFonts w:ascii="Aptos" w:hAnsi="Aptos"/>
                <w:sz w:val="22"/>
                <w:szCs w:val="22"/>
              </w:rPr>
              <w:t xml:space="preserve">Planen Sie EU-Programme mit entsprechenden Förderungen, damit die Wohnungssicherung in den Mitgliedsstaaten proaktiv angegangen werden kann? </w:t>
            </w:r>
          </w:p>
          <w:p w14:paraId="36D6BFAE" w14:textId="0E457163" w:rsidR="006B2AE5" w:rsidRPr="006B2AE5" w:rsidRDefault="006B2AE5" w:rsidP="006B2AE5">
            <w:pPr>
              <w:pStyle w:val="ListParagraph"/>
              <w:numPr>
                <w:ilvl w:val="0"/>
                <w:numId w:val="87"/>
              </w:numPr>
              <w:spacing w:before="120" w:after="120"/>
              <w:jc w:val="both"/>
              <w:rPr>
                <w:rFonts w:ascii="Aptos" w:hAnsi="Aptos"/>
                <w:sz w:val="22"/>
                <w:szCs w:val="22"/>
              </w:rPr>
            </w:pPr>
            <w:r w:rsidRPr="006B2AE5">
              <w:rPr>
                <w:rFonts w:ascii="Aptos" w:hAnsi="Aptos"/>
                <w:sz w:val="22"/>
                <w:szCs w:val="22"/>
              </w:rPr>
              <w:t>Welche Bedeutung messen Sie der Delogierungsprävention bei und sind diesbezügliche Initiativen geplant?</w:t>
            </w:r>
          </w:p>
          <w:p w14:paraId="1F46261E" w14:textId="77777777" w:rsidR="006B2AE5" w:rsidRPr="006B2AE5" w:rsidRDefault="006B2AE5" w:rsidP="006B2AE5">
            <w:pPr>
              <w:pStyle w:val="ListParagraph"/>
              <w:numPr>
                <w:ilvl w:val="0"/>
                <w:numId w:val="87"/>
              </w:numPr>
              <w:spacing w:before="120" w:after="120"/>
              <w:jc w:val="both"/>
              <w:rPr>
                <w:rFonts w:ascii="Aptos" w:hAnsi="Aptos"/>
                <w:sz w:val="22"/>
                <w:szCs w:val="22"/>
              </w:rPr>
            </w:pPr>
            <w:r w:rsidRPr="006B2AE5">
              <w:rPr>
                <w:rFonts w:ascii="Aptos" w:hAnsi="Aptos"/>
                <w:sz w:val="22"/>
                <w:szCs w:val="22"/>
              </w:rPr>
              <w:t>Welche Rolle spielt in Ihren Überlegungen der „Housing First“-Ansatz zur Vermeidung von dauerhafter Wohnungslosigkeit?</w:t>
            </w:r>
          </w:p>
          <w:p w14:paraId="0ADF75E7" w14:textId="77777777" w:rsidR="00A96C26" w:rsidRPr="001B7DE3" w:rsidRDefault="006B2AE5" w:rsidP="006B2AE5">
            <w:pPr>
              <w:pStyle w:val="ListParagraph"/>
              <w:numPr>
                <w:ilvl w:val="0"/>
                <w:numId w:val="87"/>
              </w:numPr>
              <w:spacing w:before="120" w:after="120"/>
              <w:jc w:val="both"/>
              <w:rPr>
                <w:rFonts w:ascii="Aptos" w:hAnsi="Aptos"/>
              </w:rPr>
            </w:pPr>
            <w:r w:rsidRPr="006B2AE5">
              <w:rPr>
                <w:rFonts w:ascii="Aptos" w:hAnsi="Aptos"/>
                <w:sz w:val="22"/>
                <w:szCs w:val="22"/>
              </w:rPr>
              <w:t>Wenn Sie den „Housing First“-Ansatz befürworten, wie wollen Sie sicherstellen, dass diese Wohnungen auch delogierungspräventiv vergeben werden?</w:t>
            </w:r>
          </w:p>
          <w:p w14:paraId="477CEC02" w14:textId="39BAD850" w:rsidR="001B7DE3" w:rsidRPr="006B2AE5" w:rsidRDefault="001B7DE3" w:rsidP="006B2AE5">
            <w:pPr>
              <w:pStyle w:val="ListParagraph"/>
              <w:numPr>
                <w:ilvl w:val="0"/>
                <w:numId w:val="87"/>
              </w:numPr>
              <w:spacing w:before="120" w:after="120"/>
              <w:jc w:val="both"/>
              <w:rPr>
                <w:rFonts w:ascii="Aptos" w:hAnsi="Aptos"/>
              </w:rPr>
            </w:pPr>
            <w:r w:rsidRPr="001B7DE3">
              <w:rPr>
                <w:rFonts w:ascii="Aptos" w:hAnsi="Aptos"/>
                <w:sz w:val="22"/>
                <w:szCs w:val="22"/>
              </w:rPr>
              <w:t>Planen Sie die Finanzierung von Programmen von EPOCH-Mitgliedstaaten („European Platform on Combatting Homelessness“) mit dem Ziel einer ganzheitlichen Bekämpfung von Obdachlosigkeit?</w:t>
            </w:r>
          </w:p>
        </w:tc>
      </w:tr>
    </w:tbl>
    <w:p w14:paraId="61FAD04E" w14:textId="77777777" w:rsidR="0095671E" w:rsidRDefault="0095671E" w:rsidP="0095671E">
      <w:pPr>
        <w:jc w:val="both"/>
        <w:rPr>
          <w:rFonts w:ascii="Aptos" w:hAnsi="Aptos"/>
          <w:sz w:val="22"/>
          <w:szCs w:val="22"/>
        </w:rPr>
      </w:pPr>
    </w:p>
    <w:tbl>
      <w:tblPr>
        <w:tblStyle w:val="TableNormal1"/>
        <w:tblW w:w="0" w:type="auto"/>
        <w:tblLayout w:type="fixed"/>
        <w:tblLook w:val="01E0" w:firstRow="1" w:lastRow="1" w:firstColumn="1" w:lastColumn="1" w:noHBand="0" w:noVBand="0"/>
      </w:tblPr>
      <w:tblGrid>
        <w:gridCol w:w="9066"/>
      </w:tblGrid>
      <w:tr w:rsidR="00715DD3" w:rsidRPr="009B5839" w14:paraId="1EE64340" w14:textId="77777777" w:rsidTr="003D4657">
        <w:trPr>
          <w:trHeight w:val="277"/>
        </w:trPr>
        <w:tc>
          <w:tcPr>
            <w:tcW w:w="9066" w:type="dxa"/>
            <w:shd w:val="clear" w:color="auto" w:fill="D9D9D9"/>
          </w:tcPr>
          <w:p w14:paraId="084D774C" w14:textId="77777777" w:rsidR="00715DD3" w:rsidRPr="009B5839" w:rsidRDefault="00715DD3" w:rsidP="003D4657">
            <w:pPr>
              <w:pStyle w:val="TableParagraph"/>
              <w:spacing w:line="258" w:lineRule="exact"/>
              <w:ind w:left="0"/>
              <w:rPr>
                <w:rFonts w:ascii="Aptos" w:hAnsi="Aptos"/>
                <w:b/>
                <w:sz w:val="24"/>
              </w:rPr>
            </w:pPr>
            <w:r>
              <w:rPr>
                <w:rFonts w:ascii="Aptos" w:hAnsi="Aptos"/>
                <w:b/>
                <w:sz w:val="24"/>
              </w:rPr>
              <w:t>Hintergrundinformationen</w:t>
            </w:r>
          </w:p>
        </w:tc>
      </w:tr>
    </w:tbl>
    <w:p w14:paraId="41C16F19" w14:textId="4258924F" w:rsidR="0095671E" w:rsidRDefault="00A864DF" w:rsidP="0095671E">
      <w:pPr>
        <w:jc w:val="both"/>
        <w:rPr>
          <w:rFonts w:ascii="Aptos" w:hAnsi="Aptos"/>
          <w:sz w:val="22"/>
          <w:szCs w:val="22"/>
        </w:rPr>
      </w:pPr>
      <w:r w:rsidRPr="00A864DF">
        <w:rPr>
          <w:rFonts w:ascii="Aptos" w:hAnsi="Aptos"/>
          <w:sz w:val="22"/>
          <w:szCs w:val="22"/>
        </w:rPr>
        <w:t xml:space="preserve">Um Wohnungslosigkeit in Europa effektiv zu bekämpfen, sind umfassende Präventionsmaßnahmen unerlässlich. Dazu zählt die Schaffung und Bereitstellung von bezahlbarem Wohnraum, um zu verhindern, dass Menschen ihre Wohnung verlieren. Auch frühzeitige Interventionen sind von entscheidender Bedeutung, wie beispielsweise finanzielle Unterstützung in Form von Mietzuschüssen oder Schuldnerberatung, um Wohnungskündigungen aufgrund von Zahlungsunfähigkeit zu verhindern. </w:t>
      </w:r>
      <w:r w:rsidR="009A1473" w:rsidRPr="009A1473">
        <w:rPr>
          <w:rFonts w:ascii="Aptos" w:hAnsi="Aptos"/>
          <w:sz w:val="22"/>
          <w:szCs w:val="22"/>
        </w:rPr>
        <w:t>In diesem Zusammenhang ist auch der "Housing First"</w:t>
      </w:r>
      <w:r>
        <w:rPr>
          <w:rFonts w:ascii="Aptos" w:hAnsi="Aptos"/>
          <w:sz w:val="22"/>
          <w:szCs w:val="22"/>
        </w:rPr>
        <w:t>-</w:t>
      </w:r>
      <w:r w:rsidR="009A1473" w:rsidRPr="009A1473">
        <w:rPr>
          <w:rFonts w:ascii="Aptos" w:hAnsi="Aptos"/>
          <w:sz w:val="22"/>
          <w:szCs w:val="22"/>
        </w:rPr>
        <w:t xml:space="preserve">Ansatz ein wesentlicher strategischer Baustein zur Reduzierung von Wohnungslosigkeit </w:t>
      </w:r>
      <w:r w:rsidR="009A1473" w:rsidRPr="009A1473">
        <w:rPr>
          <w:rFonts w:ascii="Aptos" w:hAnsi="Aptos"/>
          <w:sz w:val="22"/>
          <w:szCs w:val="22"/>
          <w:vertAlign w:val="subscript"/>
        </w:rPr>
        <w:t>(1).</w:t>
      </w:r>
      <w:r w:rsidR="009A1473" w:rsidRPr="009A1473">
        <w:rPr>
          <w:rFonts w:ascii="Aptos" w:hAnsi="Aptos"/>
          <w:sz w:val="22"/>
          <w:szCs w:val="22"/>
        </w:rPr>
        <w:t xml:space="preserve"> </w:t>
      </w:r>
      <w:r w:rsidRPr="00A864DF">
        <w:rPr>
          <w:rFonts w:ascii="Aptos" w:hAnsi="Aptos"/>
          <w:sz w:val="22"/>
          <w:szCs w:val="22"/>
        </w:rPr>
        <w:t>Housing First ist ein erfolgreiches Konzept aus der Wohnungslosenhilfe mit dem Ziel der Deinstitutionalisierung und der möglichst raschen Versorgung wohnungsloser Menschen mit eigenem Wohnraum zur Förderung ihrer Selbständigkeit. Aus der Perspektive der Daseinsvorsorge ist es von großer Bedeutung, die strukturelle Wohnungslosigkeit in Europa zu bekämpfen. Diese verursacht nämlich großen individuellen und gesellschaftlichen Schaden. Zu den ortsbezogenen Dienstleistungen, die von den Akteuren der Daseinsvorsorge bereitgestellt werden, zählen unter anderem bezahlbarer Wohnraum, leistungsfähige Bildungssysteme, sichere Arbeitsplätze und ein sozial inklusiver Zugang zu Dienstleistungen des täglichen Bedarfs.</w:t>
      </w:r>
    </w:p>
    <w:p w14:paraId="5E176AC7" w14:textId="77777777" w:rsidR="009A1473" w:rsidRDefault="009A1473" w:rsidP="0095671E">
      <w:pPr>
        <w:jc w:val="both"/>
        <w:rPr>
          <w:rFonts w:ascii="Aptos" w:hAnsi="Aptos"/>
          <w:sz w:val="22"/>
          <w:szCs w:val="22"/>
        </w:rPr>
      </w:pPr>
    </w:p>
    <w:p w14:paraId="25DFE253" w14:textId="5B740C01" w:rsidR="0095671E" w:rsidRPr="0095671E" w:rsidRDefault="0095671E" w:rsidP="00105E75">
      <w:pPr>
        <w:pStyle w:val="ListParagraph"/>
        <w:numPr>
          <w:ilvl w:val="0"/>
          <w:numId w:val="104"/>
        </w:numPr>
        <w:jc w:val="both"/>
        <w:rPr>
          <w:rStyle w:val="Hyperlink"/>
          <w:sz w:val="18"/>
          <w:szCs w:val="18"/>
          <w:lang w:val="en-GB"/>
        </w:rPr>
      </w:pPr>
      <w:r w:rsidRPr="0095671E">
        <w:rPr>
          <w:rFonts w:ascii="Aptos" w:hAnsi="Aptos"/>
          <w:sz w:val="18"/>
          <w:szCs w:val="18"/>
          <w:lang w:val="en-GB"/>
        </w:rPr>
        <w:t xml:space="preserve">European Union: For an EU Framework for national homeless strategies based on the principle of Housing First </w:t>
      </w:r>
      <w:hyperlink r:id="rId28" w:history="1">
        <w:r w:rsidRPr="0095671E">
          <w:rPr>
            <w:rStyle w:val="Hyperlink"/>
            <w:rFonts w:ascii="Aptos" w:hAnsi="Aptos"/>
            <w:sz w:val="18"/>
            <w:szCs w:val="18"/>
            <w:lang w:val="en-GB"/>
          </w:rPr>
          <w:t>https://www.eesc.europa.eu/en/news-media/press-summaries/eu-framework-national-homeless-strategies-</w:t>
        </w:r>
      </w:hyperlink>
      <w:r w:rsidRPr="0095671E">
        <w:rPr>
          <w:rStyle w:val="Hyperlink"/>
          <w:rFonts w:ascii="Aptos" w:hAnsi="Aptos"/>
          <w:sz w:val="18"/>
          <w:szCs w:val="18"/>
          <w:lang w:val="en-GB"/>
        </w:rPr>
        <w:t>based-principle-housing-first</w:t>
      </w:r>
    </w:p>
    <w:p w14:paraId="78032B1E" w14:textId="77777777" w:rsidR="006B2AE5" w:rsidRPr="0095671E" w:rsidRDefault="006B2AE5" w:rsidP="0050443A">
      <w:pPr>
        <w:rPr>
          <w:rFonts w:ascii="Aptos" w:hAnsi="Aptos"/>
          <w:lang w:val="en-GB"/>
        </w:rPr>
      </w:pPr>
    </w:p>
    <w:p w14:paraId="2DE96F8F" w14:textId="77777777" w:rsidR="006B2AE5" w:rsidRPr="0095671E" w:rsidRDefault="006B2AE5" w:rsidP="0050443A">
      <w:pPr>
        <w:rPr>
          <w:rFonts w:ascii="Aptos" w:hAnsi="Aptos"/>
          <w:lang w:val="en-GB"/>
        </w:rPr>
      </w:pPr>
    </w:p>
    <w:p w14:paraId="3E140F35" w14:textId="77777777" w:rsidR="006B2AE5" w:rsidRPr="0095671E" w:rsidRDefault="006B2AE5" w:rsidP="0050443A">
      <w:pPr>
        <w:rPr>
          <w:rFonts w:ascii="Aptos" w:hAnsi="Aptos"/>
          <w:lang w:val="en-GB"/>
        </w:rPr>
      </w:pPr>
    </w:p>
    <w:p w14:paraId="129A8FE9" w14:textId="77777777" w:rsidR="00A96C26" w:rsidRPr="0095671E" w:rsidRDefault="00A96C26" w:rsidP="0050443A">
      <w:pPr>
        <w:rPr>
          <w:rFonts w:ascii="Aptos" w:hAnsi="Aptos"/>
          <w:lang w:val="en-GB"/>
        </w:rPr>
      </w:pPr>
    </w:p>
    <w:p w14:paraId="7385D207" w14:textId="5AF1C601" w:rsidR="00A96C26" w:rsidRPr="0050443A" w:rsidRDefault="0062061A" w:rsidP="00A864DF">
      <w:pPr>
        <w:pStyle w:val="Heading1"/>
        <w:rPr>
          <w:i/>
          <w:iCs/>
        </w:rPr>
      </w:pPr>
      <w:bookmarkStart w:id="11" w:name="_Toc170377502"/>
      <w:r w:rsidRPr="0050443A">
        <w:t xml:space="preserve">Bekämpfung der </w:t>
      </w:r>
      <w:r w:rsidR="004F4384" w:rsidRPr="0050443A">
        <w:t>Wohnungs- und Obdach</w:t>
      </w:r>
      <w:r w:rsidRPr="0050443A">
        <w:t xml:space="preserve">losigkeit in Europa </w:t>
      </w:r>
      <w:r w:rsidR="00A96C26" w:rsidRPr="0050443A">
        <w:t>–</w:t>
      </w:r>
      <w:r w:rsidRPr="0050443A">
        <w:t xml:space="preserve"> Monitoring</w:t>
      </w:r>
      <w:bookmarkEnd w:id="11"/>
    </w:p>
    <w:tbl>
      <w:tblPr>
        <w:tblStyle w:val="TableGrid"/>
        <w:tblW w:w="0" w:type="auto"/>
        <w:tblInd w:w="108" w:type="dxa"/>
        <w:tblLook w:val="04A0" w:firstRow="1" w:lastRow="0" w:firstColumn="1" w:lastColumn="0" w:noHBand="0" w:noVBand="1"/>
      </w:tblPr>
      <w:tblGrid>
        <w:gridCol w:w="9060"/>
      </w:tblGrid>
      <w:tr w:rsidR="007C07B7" w:rsidRPr="0050443A" w14:paraId="78A73F62" w14:textId="77777777" w:rsidTr="00715DD3">
        <w:tc>
          <w:tcPr>
            <w:tcW w:w="9060" w:type="dxa"/>
            <w:shd w:val="clear" w:color="auto" w:fill="D9D9D9" w:themeFill="background1" w:themeFillShade="D9"/>
          </w:tcPr>
          <w:p w14:paraId="68FACD6A" w14:textId="2B822BAB" w:rsidR="007C07B7" w:rsidRPr="0050443A" w:rsidRDefault="007C07B7" w:rsidP="00072582">
            <w:pPr>
              <w:spacing w:before="120" w:after="120"/>
              <w:jc w:val="both"/>
              <w:rPr>
                <w:rFonts w:ascii="Aptos" w:hAnsi="Aptos"/>
                <w:b/>
                <w:iCs/>
                <w:sz w:val="22"/>
                <w:szCs w:val="22"/>
              </w:rPr>
            </w:pPr>
            <w:r w:rsidRPr="0050443A">
              <w:rPr>
                <w:rFonts w:ascii="Aptos" w:hAnsi="Aptos"/>
                <w:b/>
                <w:iCs/>
                <w:sz w:val="22"/>
                <w:szCs w:val="22"/>
              </w:rPr>
              <w:t xml:space="preserve">Frage </w:t>
            </w:r>
          </w:p>
        </w:tc>
      </w:tr>
      <w:tr w:rsidR="007C07B7" w:rsidRPr="0050443A" w14:paraId="316BC983" w14:textId="77777777" w:rsidTr="00715DD3">
        <w:tc>
          <w:tcPr>
            <w:tcW w:w="9060" w:type="dxa"/>
          </w:tcPr>
          <w:p w14:paraId="46C2921A" w14:textId="075764E4" w:rsidR="007C07B7" w:rsidRPr="0050443A" w:rsidRDefault="00A864DF" w:rsidP="00D91B87">
            <w:pPr>
              <w:spacing w:before="120" w:after="120"/>
              <w:jc w:val="both"/>
              <w:rPr>
                <w:rFonts w:ascii="Aptos" w:hAnsi="Aptos"/>
                <w:b/>
                <w:bCs/>
                <w:sz w:val="22"/>
                <w:szCs w:val="22"/>
              </w:rPr>
            </w:pPr>
            <w:r w:rsidRPr="00A864DF">
              <w:rPr>
                <w:rFonts w:ascii="Aptos" w:hAnsi="Aptos"/>
                <w:sz w:val="22"/>
                <w:szCs w:val="22"/>
              </w:rPr>
              <w:t>Im vergangenen Jahr waren in Europa fast 900.000 Menschen obdachlos. Die Zahl der Wohnungslosen ist noch höher, da der Begriff weiter gefasst ist und Wohnungslosigkeit oft unsichtbarer ist. Die unzureichende Datenlage, die nach unterschiedlichen Methoden erhoben wird, erschwert die Erstellung eines umfassenden Bildes von Obdach- und Wohnungslosigkeit in der Europäischen Union.</w:t>
            </w:r>
            <w:r w:rsidR="006B2AE5" w:rsidRPr="006B2AE5">
              <w:rPr>
                <w:rFonts w:ascii="Aptos" w:hAnsi="Aptos"/>
                <w:sz w:val="22"/>
                <w:szCs w:val="22"/>
              </w:rPr>
              <w:t xml:space="preserve"> </w:t>
            </w:r>
            <w:r w:rsidR="006B2AE5" w:rsidRPr="006B2AE5">
              <w:rPr>
                <w:rFonts w:ascii="Aptos" w:hAnsi="Aptos"/>
                <w:b/>
                <w:bCs/>
                <w:sz w:val="22"/>
                <w:szCs w:val="22"/>
              </w:rPr>
              <w:t>Wie wollen Sie sicherstellen, dass es EU-weit vergleichbare Indikatoren zur Erfassung von Obdach- und Wohnungslosigkeit gibt, damit die Betroffenheit europäischer Städte und Regionen vergleichbar wird und Entscheidungsträger:innen ihre Instrumente entsprechend ausrichten können?</w:t>
            </w:r>
          </w:p>
        </w:tc>
      </w:tr>
      <w:tr w:rsidR="007C07B7" w:rsidRPr="0050443A" w14:paraId="1C5AB9DD" w14:textId="77777777" w:rsidTr="00715DD3">
        <w:tc>
          <w:tcPr>
            <w:tcW w:w="9060" w:type="dxa"/>
            <w:shd w:val="clear" w:color="auto" w:fill="D9D9D9" w:themeFill="background1" w:themeFillShade="D9"/>
          </w:tcPr>
          <w:p w14:paraId="0F1E66CF" w14:textId="36CA01BA" w:rsidR="007C07B7" w:rsidRPr="0050443A" w:rsidRDefault="007C07B7" w:rsidP="00072582">
            <w:pPr>
              <w:spacing w:before="120" w:after="120"/>
              <w:jc w:val="both"/>
              <w:rPr>
                <w:rFonts w:ascii="Aptos" w:hAnsi="Aptos"/>
                <w:b/>
                <w:bCs/>
                <w:sz w:val="22"/>
                <w:szCs w:val="22"/>
              </w:rPr>
            </w:pPr>
            <w:r w:rsidRPr="0050443A">
              <w:rPr>
                <w:rFonts w:ascii="Aptos" w:hAnsi="Aptos"/>
                <w:b/>
                <w:bCs/>
                <w:sz w:val="22"/>
                <w:szCs w:val="22"/>
              </w:rPr>
              <w:t>Nachfrage</w:t>
            </w:r>
          </w:p>
        </w:tc>
      </w:tr>
      <w:tr w:rsidR="007C07B7" w:rsidRPr="0050443A" w14:paraId="10D28868" w14:textId="77777777" w:rsidTr="00715DD3">
        <w:tc>
          <w:tcPr>
            <w:tcW w:w="9060" w:type="dxa"/>
          </w:tcPr>
          <w:p w14:paraId="3C1FFC23" w14:textId="44EB2FEF" w:rsidR="006B2AE5" w:rsidRPr="006B2AE5" w:rsidRDefault="006B2AE5" w:rsidP="006B2AE5">
            <w:pPr>
              <w:pStyle w:val="ListParagraph"/>
              <w:numPr>
                <w:ilvl w:val="0"/>
                <w:numId w:val="87"/>
              </w:numPr>
              <w:spacing w:before="120" w:after="120"/>
              <w:jc w:val="both"/>
              <w:rPr>
                <w:rFonts w:ascii="Aptos" w:hAnsi="Aptos"/>
                <w:sz w:val="22"/>
                <w:szCs w:val="22"/>
              </w:rPr>
            </w:pPr>
            <w:r w:rsidRPr="006B2AE5">
              <w:rPr>
                <w:rFonts w:ascii="Aptos" w:hAnsi="Aptos"/>
                <w:sz w:val="22"/>
                <w:szCs w:val="22"/>
              </w:rPr>
              <w:t xml:space="preserve">Welche Initiativen sind geplant, um eine angemessene Datenqualität zu gewährleisten? </w:t>
            </w:r>
          </w:p>
          <w:p w14:paraId="5F9922A2" w14:textId="0459B536" w:rsidR="007C07B7" w:rsidRPr="006B2AE5" w:rsidRDefault="006B2AE5" w:rsidP="006B2AE5">
            <w:pPr>
              <w:pStyle w:val="ListParagraph"/>
              <w:numPr>
                <w:ilvl w:val="0"/>
                <w:numId w:val="87"/>
              </w:numPr>
              <w:spacing w:before="120" w:after="120"/>
              <w:jc w:val="both"/>
              <w:rPr>
                <w:rFonts w:ascii="Aptos" w:hAnsi="Aptos"/>
              </w:rPr>
            </w:pPr>
            <w:r w:rsidRPr="006B2AE5">
              <w:rPr>
                <w:rFonts w:ascii="Aptos" w:hAnsi="Aptos"/>
                <w:sz w:val="22"/>
                <w:szCs w:val="22"/>
              </w:rPr>
              <w:t>Ist geplant, den für die Datenerhebung zuständigen Stellen zusätzliche EU-Mittel zur Verfügung zu stellen, um eine EU-weit harmonisierte Datenqualität zu gewährleisten?</w:t>
            </w:r>
          </w:p>
        </w:tc>
      </w:tr>
    </w:tbl>
    <w:p w14:paraId="77C7B24E" w14:textId="77777777" w:rsidR="007C07B7" w:rsidRPr="0050443A" w:rsidRDefault="007C07B7" w:rsidP="007C07B7">
      <w:pPr>
        <w:spacing w:after="120"/>
        <w:jc w:val="both"/>
        <w:rPr>
          <w:rFonts w:ascii="Aptos" w:hAnsi="Aptos"/>
          <w:i/>
          <w:iCs/>
          <w:sz w:val="22"/>
          <w:szCs w:val="22"/>
          <w:u w:val="single"/>
        </w:rPr>
      </w:pPr>
    </w:p>
    <w:tbl>
      <w:tblPr>
        <w:tblStyle w:val="TableNormal1"/>
        <w:tblW w:w="0" w:type="auto"/>
        <w:tblLayout w:type="fixed"/>
        <w:tblLook w:val="01E0" w:firstRow="1" w:lastRow="1" w:firstColumn="1" w:lastColumn="1" w:noHBand="0" w:noVBand="0"/>
      </w:tblPr>
      <w:tblGrid>
        <w:gridCol w:w="9066"/>
      </w:tblGrid>
      <w:tr w:rsidR="00715DD3" w:rsidRPr="009B5839" w14:paraId="0A3D02EA" w14:textId="77777777" w:rsidTr="003D4657">
        <w:trPr>
          <w:trHeight w:val="277"/>
        </w:trPr>
        <w:tc>
          <w:tcPr>
            <w:tcW w:w="9066" w:type="dxa"/>
            <w:shd w:val="clear" w:color="auto" w:fill="D9D9D9"/>
          </w:tcPr>
          <w:p w14:paraId="69EB7D91" w14:textId="77777777" w:rsidR="00715DD3" w:rsidRPr="009B5839" w:rsidRDefault="00715DD3" w:rsidP="003D4657">
            <w:pPr>
              <w:pStyle w:val="TableParagraph"/>
              <w:spacing w:line="258" w:lineRule="exact"/>
              <w:ind w:left="0"/>
              <w:rPr>
                <w:rFonts w:ascii="Aptos" w:hAnsi="Aptos"/>
                <w:b/>
                <w:sz w:val="24"/>
              </w:rPr>
            </w:pPr>
            <w:r>
              <w:rPr>
                <w:rFonts w:ascii="Aptos" w:hAnsi="Aptos"/>
                <w:b/>
                <w:sz w:val="24"/>
              </w:rPr>
              <w:t>Hintergrundinformationen</w:t>
            </w:r>
          </w:p>
        </w:tc>
      </w:tr>
    </w:tbl>
    <w:p w14:paraId="0DDDF1F2" w14:textId="4DFB5F80" w:rsidR="00A864DF" w:rsidRPr="0050443A" w:rsidRDefault="00A864DF" w:rsidP="007C07B7">
      <w:pPr>
        <w:spacing w:after="120"/>
        <w:jc w:val="both"/>
        <w:rPr>
          <w:rFonts w:ascii="Aptos" w:hAnsi="Aptos"/>
          <w:bCs/>
          <w:iCs/>
          <w:sz w:val="22"/>
          <w:szCs w:val="22"/>
        </w:rPr>
      </w:pPr>
      <w:r w:rsidRPr="00A864DF">
        <w:rPr>
          <w:rFonts w:ascii="Aptos" w:hAnsi="Aptos"/>
          <w:sz w:val="22"/>
          <w:szCs w:val="22"/>
        </w:rPr>
        <w:t>Die sozialen Kosten von Wohnungslosigkeit und Obdachlosigkeit sind enorm und vielfältig. Die Folge sind erhebliche Belastungen für das Gesundheitssystem. Wohnungslose Menschen leiden häufiger an chronischen Krankheiten, psychischen Störungen und Suchtproblemen. Zudem müssen sie häufig teure Notfallbehandlungen in Anspruch nehmen. Des Weiteren ist eine höhere Kriminalitätsrate zu verzeichnen, da die Betroffenen anfälliger für kriminelles Verhalten und Gewalt sind. Darüber hinaus werden Sozialdienste und Wohlfahrtsprogramme stark beansprucht, da wohnungslose Menschen häufig Unterstützung in Form von Notunterkünften, Essensausgaben und Beratungsdiensten benötigen. Langfristig kann Wohnungslosigkeit die Beschäftigungsfähigkeit der Betroffenen beeinträchtigen, was zu einer erhöhten Abhängigkeit von Sozialleistungen führt. Insgesamt entsteht ein erheblicher wirtschaftlicher und sozialer Schaden, der weit über die unmittelbaren Kosten der Unterstützung hinausgeht. Im vergangenen Jahr waren in Europa fast 900.000 Menschen wohnungslos. Diese alarmierende Zahl bedeutet einen Anstieg um 30 % gegenüber der letzten Schätzung von 2018. In den zehn Jahren davor war die Zahl bereits um 70 % gestiegen, was auf ein strukturell wachsendes Problem hinweist</w:t>
      </w:r>
      <w:r>
        <w:rPr>
          <w:rFonts w:ascii="Aptos" w:hAnsi="Aptos"/>
          <w:sz w:val="22"/>
          <w:szCs w:val="22"/>
        </w:rPr>
        <w:t xml:space="preserve"> </w:t>
      </w:r>
      <w:r w:rsidRPr="00A864DF">
        <w:rPr>
          <w:rFonts w:ascii="Aptos" w:hAnsi="Aptos"/>
          <w:sz w:val="22"/>
          <w:szCs w:val="22"/>
          <w:vertAlign w:val="subscript"/>
        </w:rPr>
        <w:t>(1)</w:t>
      </w:r>
      <w:r>
        <w:rPr>
          <w:rFonts w:ascii="Aptos" w:hAnsi="Aptos"/>
          <w:sz w:val="22"/>
          <w:szCs w:val="22"/>
        </w:rPr>
        <w:t xml:space="preserve"> </w:t>
      </w:r>
      <w:r w:rsidRPr="00A864DF">
        <w:rPr>
          <w:rFonts w:ascii="Aptos" w:hAnsi="Aptos"/>
          <w:sz w:val="22"/>
          <w:szCs w:val="22"/>
        </w:rPr>
        <w:t>. Die Etablierung wirksamer Präventions</w:t>
      </w:r>
      <w:r>
        <w:rPr>
          <w:rFonts w:ascii="Aptos" w:hAnsi="Aptos"/>
          <w:sz w:val="22"/>
          <w:szCs w:val="22"/>
        </w:rPr>
        <w:softHyphen/>
      </w:r>
      <w:r w:rsidRPr="00A864DF">
        <w:rPr>
          <w:rFonts w:ascii="Aptos" w:hAnsi="Aptos"/>
          <w:sz w:val="22"/>
          <w:szCs w:val="22"/>
        </w:rPr>
        <w:t>maßnahmen erfordert vergleichbare Indikatoren und Datengrundlagen in der EU. Diese ermöglichen die Erfassung und Bewertung der Situationen und Bedürfnisse der einzelnen Mitgliedstaaten und Regionen. Die Datenerhebung stellt daher einen wesentlichen Bestandteil des Monitorings sozialer Betroffenheit dar und muss unter dem Gesichtspunkt der Daseinsvorsorge EU-weit ausgebaut werden.</w:t>
      </w:r>
    </w:p>
    <w:p w14:paraId="3D2E975C" w14:textId="77777777" w:rsidR="005C2DA1" w:rsidRPr="00072582" w:rsidRDefault="005C2DA1" w:rsidP="005C2DA1">
      <w:pPr>
        <w:pStyle w:val="ListParagraph"/>
        <w:numPr>
          <w:ilvl w:val="0"/>
          <w:numId w:val="105"/>
        </w:numPr>
        <w:jc w:val="both"/>
        <w:rPr>
          <w:rFonts w:ascii="Aptos" w:hAnsi="Aptos"/>
          <w:sz w:val="18"/>
          <w:szCs w:val="18"/>
        </w:rPr>
      </w:pPr>
      <w:r w:rsidRPr="00072582">
        <w:rPr>
          <w:rFonts w:ascii="Aptos" w:hAnsi="Aptos"/>
          <w:sz w:val="18"/>
          <w:szCs w:val="18"/>
        </w:rPr>
        <w:t xml:space="preserve">Europäisches Parlament 2020: Pressemitteilung zur EU Obdachlosigkeit </w:t>
      </w:r>
    </w:p>
    <w:p w14:paraId="3F716888" w14:textId="77777777" w:rsidR="005C2DA1" w:rsidRPr="00CF317E" w:rsidRDefault="00000000" w:rsidP="005C2DA1">
      <w:pPr>
        <w:ind w:left="360"/>
        <w:jc w:val="both"/>
        <w:rPr>
          <w:rStyle w:val="Hyperlink"/>
          <w:rFonts w:ascii="Aptos" w:hAnsi="Aptos"/>
          <w:sz w:val="18"/>
          <w:szCs w:val="18"/>
        </w:rPr>
      </w:pPr>
      <w:hyperlink r:id="rId29" w:history="1">
        <w:r w:rsidR="005C2DA1" w:rsidRPr="0005306D">
          <w:rPr>
            <w:rStyle w:val="Hyperlink"/>
            <w:rFonts w:ascii="Aptos" w:hAnsi="Aptos"/>
            <w:sz w:val="18"/>
            <w:szCs w:val="18"/>
          </w:rPr>
          <w:t>https://www.europarl.europa.eu/news/de/press-room/20201120IPR92124/eu-soll-obdachlosigkeit-bis-2030-beseitigen</w:t>
        </w:r>
      </w:hyperlink>
    </w:p>
    <w:p w14:paraId="5F6E9122" w14:textId="77777777" w:rsidR="007C07B7" w:rsidRPr="0050443A" w:rsidRDefault="007C07B7">
      <w:pPr>
        <w:rPr>
          <w:rFonts w:ascii="Aptos" w:hAnsi="Aptos"/>
          <w:bCs/>
          <w:iCs/>
          <w:sz w:val="22"/>
          <w:szCs w:val="22"/>
        </w:rPr>
      </w:pPr>
      <w:r w:rsidRPr="0050443A">
        <w:rPr>
          <w:rFonts w:ascii="Aptos" w:hAnsi="Aptos"/>
          <w:bCs/>
          <w:iCs/>
          <w:sz w:val="22"/>
          <w:szCs w:val="22"/>
        </w:rPr>
        <w:br w:type="page"/>
      </w:r>
    </w:p>
    <w:p w14:paraId="25CE6CAA" w14:textId="77777777" w:rsidR="007C07B7" w:rsidRPr="0050443A" w:rsidRDefault="007C07B7" w:rsidP="007C07B7">
      <w:pPr>
        <w:spacing w:after="120"/>
        <w:jc w:val="both"/>
        <w:rPr>
          <w:rFonts w:ascii="Aptos" w:hAnsi="Aptos"/>
          <w:bCs/>
          <w:iCs/>
          <w:sz w:val="22"/>
          <w:szCs w:val="22"/>
        </w:rPr>
      </w:pPr>
    </w:p>
    <w:p w14:paraId="1E7B32AC" w14:textId="77777777" w:rsidR="00315ACD" w:rsidRDefault="00315ACD" w:rsidP="0050443A">
      <w:pPr>
        <w:rPr>
          <w:rFonts w:ascii="Aptos" w:hAnsi="Aptos"/>
        </w:rPr>
      </w:pPr>
    </w:p>
    <w:p w14:paraId="393741AF" w14:textId="38E7A3D7" w:rsidR="00D0297F" w:rsidRPr="0050443A" w:rsidRDefault="005B11C9" w:rsidP="00B106F3">
      <w:pPr>
        <w:pStyle w:val="Heading1"/>
        <w:rPr>
          <w:i/>
          <w:iCs/>
          <w:sz w:val="22"/>
          <w:szCs w:val="22"/>
          <w:u w:val="single"/>
        </w:rPr>
      </w:pPr>
      <w:bookmarkStart w:id="12" w:name="_Toc170377503"/>
      <w:r w:rsidRPr="0050443A">
        <w:t>Wiederaufbau in der Ukraine: d</w:t>
      </w:r>
      <w:r w:rsidR="007B51F4" w:rsidRPr="0050443A">
        <w:t xml:space="preserve">ie Relevanz </w:t>
      </w:r>
      <w:r w:rsidRPr="0050443A">
        <w:t xml:space="preserve">des </w:t>
      </w:r>
      <w:r w:rsidR="00BB5AC4">
        <w:t>gemeinnützigen</w:t>
      </w:r>
      <w:r w:rsidRPr="0050443A">
        <w:t xml:space="preserve"> Wohnbaus</w:t>
      </w:r>
      <w:bookmarkEnd w:id="12"/>
    </w:p>
    <w:tbl>
      <w:tblPr>
        <w:tblStyle w:val="TableGrid"/>
        <w:tblW w:w="0" w:type="auto"/>
        <w:tblInd w:w="108" w:type="dxa"/>
        <w:tblLook w:val="04A0" w:firstRow="1" w:lastRow="0" w:firstColumn="1" w:lastColumn="0" w:noHBand="0" w:noVBand="1"/>
      </w:tblPr>
      <w:tblGrid>
        <w:gridCol w:w="9060"/>
      </w:tblGrid>
      <w:tr w:rsidR="00D0297F" w:rsidRPr="0050443A" w14:paraId="79353E8F" w14:textId="77777777" w:rsidTr="00715DD3">
        <w:tc>
          <w:tcPr>
            <w:tcW w:w="9060" w:type="dxa"/>
            <w:shd w:val="clear" w:color="auto" w:fill="D9D9D9" w:themeFill="background1" w:themeFillShade="D9"/>
          </w:tcPr>
          <w:p w14:paraId="17DFA121" w14:textId="38CD118A" w:rsidR="00D0297F" w:rsidRPr="0050443A" w:rsidRDefault="00D0297F" w:rsidP="00072582">
            <w:pPr>
              <w:spacing w:before="120" w:after="120"/>
              <w:jc w:val="both"/>
              <w:rPr>
                <w:rFonts w:ascii="Aptos" w:hAnsi="Aptos"/>
                <w:b/>
                <w:iCs/>
                <w:sz w:val="22"/>
                <w:szCs w:val="22"/>
              </w:rPr>
            </w:pPr>
            <w:r w:rsidRPr="0050443A">
              <w:rPr>
                <w:rFonts w:ascii="Aptos" w:hAnsi="Aptos"/>
                <w:b/>
                <w:iCs/>
                <w:sz w:val="22"/>
                <w:szCs w:val="22"/>
              </w:rPr>
              <w:t>Frage</w:t>
            </w:r>
          </w:p>
        </w:tc>
      </w:tr>
      <w:tr w:rsidR="00D0297F" w:rsidRPr="0050443A" w14:paraId="08053BD6" w14:textId="77777777" w:rsidTr="00715DD3">
        <w:tc>
          <w:tcPr>
            <w:tcW w:w="9060" w:type="dxa"/>
          </w:tcPr>
          <w:p w14:paraId="4DEC9461" w14:textId="4E933131" w:rsidR="00D0297F" w:rsidRPr="0050443A" w:rsidRDefault="00B106F3" w:rsidP="00C84BD9">
            <w:pPr>
              <w:spacing w:before="120" w:after="120"/>
              <w:jc w:val="both"/>
              <w:rPr>
                <w:rFonts w:ascii="Aptos" w:hAnsi="Aptos"/>
                <w:b/>
                <w:bCs/>
                <w:sz w:val="22"/>
                <w:szCs w:val="22"/>
                <w:lang w:val="de-DE"/>
              </w:rPr>
            </w:pPr>
            <w:r w:rsidRPr="00B106F3">
              <w:rPr>
                <w:rFonts w:ascii="Aptos" w:hAnsi="Aptos"/>
                <w:sz w:val="22"/>
                <w:szCs w:val="22"/>
              </w:rPr>
              <w:t xml:space="preserve">Der russische Angriffskrieg in der Ukraine hat zu erheblichen Zerstörungen und einem massiven Verlust von Wohnraum geführt. Daher sind Investitionen in den Wohnungsbau von entscheidender Bedeutung, um den Wiederaufbau und die Wiederherstellung der Lebensbedingungen der betroffenen Bevölkerung zu unterstützen. Darüber hinaus fördern Investitionen in den Wohnungsbau die soziale Stabilität und tragen zur langfristigen Entwicklung der Region bei. </w:t>
            </w:r>
            <w:r>
              <w:rPr>
                <w:rFonts w:ascii="Aptos" w:hAnsi="Aptos"/>
                <w:sz w:val="22"/>
                <w:szCs w:val="22"/>
              </w:rPr>
              <w:t>Gemeinnütziger Wohnungsbau bietet</w:t>
            </w:r>
            <w:r w:rsidRPr="00B106F3">
              <w:rPr>
                <w:rFonts w:ascii="Aptos" w:hAnsi="Aptos"/>
                <w:sz w:val="22"/>
                <w:szCs w:val="22"/>
              </w:rPr>
              <w:t xml:space="preserve"> Menschen eine sichere und stabile Wohnsituation und kurbeln die Wirtschaft an. </w:t>
            </w:r>
            <w:r w:rsidR="00FB5263" w:rsidRPr="00FB5263">
              <w:rPr>
                <w:rFonts w:ascii="Aptos" w:hAnsi="Aptos"/>
                <w:b/>
                <w:bCs/>
                <w:sz w:val="22"/>
                <w:szCs w:val="22"/>
              </w:rPr>
              <w:t xml:space="preserve">Welche Rolle spielt der </w:t>
            </w:r>
            <w:r>
              <w:rPr>
                <w:rFonts w:ascii="Aptos" w:hAnsi="Aptos"/>
                <w:b/>
                <w:bCs/>
                <w:sz w:val="22"/>
                <w:szCs w:val="22"/>
              </w:rPr>
              <w:t>gemeinnützige</w:t>
            </w:r>
            <w:r w:rsidR="00FB5263" w:rsidRPr="00FB5263">
              <w:rPr>
                <w:rFonts w:ascii="Aptos" w:hAnsi="Aptos"/>
                <w:b/>
                <w:bCs/>
                <w:sz w:val="22"/>
                <w:szCs w:val="22"/>
              </w:rPr>
              <w:t xml:space="preserve"> Wohnungsbau in den Entwicklungsplänen der Ukraine?</w:t>
            </w:r>
          </w:p>
        </w:tc>
      </w:tr>
      <w:tr w:rsidR="00D0297F" w:rsidRPr="0050443A" w14:paraId="4DD6934A" w14:textId="77777777" w:rsidTr="00715DD3">
        <w:tc>
          <w:tcPr>
            <w:tcW w:w="9060" w:type="dxa"/>
            <w:shd w:val="clear" w:color="auto" w:fill="D9D9D9" w:themeFill="background1" w:themeFillShade="D9"/>
          </w:tcPr>
          <w:p w14:paraId="4BD5381D" w14:textId="08D49183" w:rsidR="00D0297F" w:rsidRPr="0050443A" w:rsidRDefault="00D0297F" w:rsidP="00072582">
            <w:pPr>
              <w:spacing w:before="120" w:after="120"/>
              <w:jc w:val="both"/>
              <w:rPr>
                <w:rFonts w:ascii="Aptos" w:hAnsi="Aptos"/>
                <w:b/>
                <w:bCs/>
                <w:sz w:val="22"/>
                <w:szCs w:val="22"/>
              </w:rPr>
            </w:pPr>
            <w:r w:rsidRPr="0050443A">
              <w:rPr>
                <w:rFonts w:ascii="Aptos" w:hAnsi="Aptos"/>
                <w:b/>
                <w:bCs/>
                <w:sz w:val="22"/>
                <w:szCs w:val="22"/>
              </w:rPr>
              <w:t>Nachfrage</w:t>
            </w:r>
          </w:p>
        </w:tc>
      </w:tr>
      <w:tr w:rsidR="00D0297F" w:rsidRPr="0050443A" w14:paraId="37CB4B3D" w14:textId="77777777" w:rsidTr="00715DD3">
        <w:tc>
          <w:tcPr>
            <w:tcW w:w="9060" w:type="dxa"/>
          </w:tcPr>
          <w:p w14:paraId="3100EAF1" w14:textId="63502E0C" w:rsidR="00FB5263" w:rsidRPr="00FB5263" w:rsidRDefault="00FB5263" w:rsidP="00FB5263">
            <w:pPr>
              <w:pStyle w:val="ListParagraph"/>
              <w:numPr>
                <w:ilvl w:val="0"/>
                <w:numId w:val="86"/>
              </w:numPr>
              <w:spacing w:before="120" w:after="120"/>
              <w:jc w:val="both"/>
              <w:rPr>
                <w:rFonts w:ascii="Aptos" w:hAnsi="Aptos"/>
                <w:sz w:val="22"/>
                <w:szCs w:val="22"/>
              </w:rPr>
            </w:pPr>
            <w:r w:rsidRPr="00FB5263">
              <w:rPr>
                <w:rFonts w:ascii="Aptos" w:hAnsi="Aptos"/>
                <w:sz w:val="22"/>
                <w:szCs w:val="22"/>
              </w:rPr>
              <w:t xml:space="preserve">Welche EU-Programme sind geplant, um die Bauwirtschaft in der Ukraine anzukurbeln? </w:t>
            </w:r>
          </w:p>
          <w:p w14:paraId="3BDD6728" w14:textId="1B7BD09D" w:rsidR="00D0297F" w:rsidRPr="0050443A" w:rsidRDefault="00FB5263" w:rsidP="00FB5263">
            <w:pPr>
              <w:pStyle w:val="ListParagraph"/>
              <w:numPr>
                <w:ilvl w:val="0"/>
                <w:numId w:val="86"/>
              </w:numPr>
              <w:spacing w:before="120" w:after="120"/>
              <w:jc w:val="both"/>
              <w:rPr>
                <w:rFonts w:ascii="Aptos" w:hAnsi="Aptos"/>
                <w:sz w:val="22"/>
                <w:szCs w:val="22"/>
              </w:rPr>
            </w:pPr>
            <w:r w:rsidRPr="00FB5263">
              <w:rPr>
                <w:rFonts w:ascii="Aptos" w:hAnsi="Aptos"/>
                <w:sz w:val="22"/>
                <w:szCs w:val="22"/>
              </w:rPr>
              <w:t>Welche Initiativen und Kooperationen sind geplant, um bezahlbaren und barrierefreien Wohnraum zu sichern?</w:t>
            </w:r>
          </w:p>
        </w:tc>
      </w:tr>
    </w:tbl>
    <w:p w14:paraId="0D12379C" w14:textId="77777777" w:rsidR="00D0297F" w:rsidRDefault="00D0297F" w:rsidP="00D0297F">
      <w:pPr>
        <w:spacing w:after="120"/>
        <w:jc w:val="both"/>
        <w:rPr>
          <w:rFonts w:ascii="Aptos" w:hAnsi="Aptos"/>
          <w:i/>
          <w:iCs/>
          <w:sz w:val="22"/>
          <w:szCs w:val="22"/>
          <w:u w:val="single"/>
        </w:rPr>
      </w:pPr>
    </w:p>
    <w:tbl>
      <w:tblPr>
        <w:tblStyle w:val="TableNormal1"/>
        <w:tblW w:w="0" w:type="auto"/>
        <w:tblLayout w:type="fixed"/>
        <w:tblLook w:val="01E0" w:firstRow="1" w:lastRow="1" w:firstColumn="1" w:lastColumn="1" w:noHBand="0" w:noVBand="0"/>
      </w:tblPr>
      <w:tblGrid>
        <w:gridCol w:w="9066"/>
      </w:tblGrid>
      <w:tr w:rsidR="00715DD3" w:rsidRPr="009B5839" w14:paraId="4BCE539D" w14:textId="77777777" w:rsidTr="003D4657">
        <w:trPr>
          <w:trHeight w:val="277"/>
        </w:trPr>
        <w:tc>
          <w:tcPr>
            <w:tcW w:w="9066" w:type="dxa"/>
            <w:shd w:val="clear" w:color="auto" w:fill="D9D9D9"/>
          </w:tcPr>
          <w:p w14:paraId="4AA8E10C" w14:textId="77777777" w:rsidR="00715DD3" w:rsidRPr="009B5839" w:rsidRDefault="00715DD3" w:rsidP="003D4657">
            <w:pPr>
              <w:pStyle w:val="TableParagraph"/>
              <w:spacing w:line="258" w:lineRule="exact"/>
              <w:ind w:left="0"/>
              <w:rPr>
                <w:rFonts w:ascii="Aptos" w:hAnsi="Aptos"/>
                <w:b/>
                <w:sz w:val="24"/>
              </w:rPr>
            </w:pPr>
            <w:r>
              <w:rPr>
                <w:rFonts w:ascii="Aptos" w:hAnsi="Aptos"/>
                <w:b/>
                <w:sz w:val="24"/>
              </w:rPr>
              <w:t>Hintergrundinformationen</w:t>
            </w:r>
          </w:p>
        </w:tc>
      </w:tr>
    </w:tbl>
    <w:p w14:paraId="2179B29C" w14:textId="29D00F52" w:rsidR="00AE6031" w:rsidRDefault="00B106F3" w:rsidP="009E5D78">
      <w:pPr>
        <w:spacing w:after="120"/>
        <w:jc w:val="both"/>
        <w:rPr>
          <w:rFonts w:ascii="Aptos" w:hAnsi="Aptos"/>
          <w:bCs/>
          <w:sz w:val="22"/>
          <w:szCs w:val="22"/>
          <w:u w:val="single"/>
        </w:rPr>
      </w:pPr>
      <w:r w:rsidRPr="00B106F3">
        <w:rPr>
          <w:rFonts w:ascii="Aptos" w:hAnsi="Aptos"/>
          <w:sz w:val="22"/>
          <w:szCs w:val="22"/>
        </w:rPr>
        <w:t>Der seit Februar 2022 andauernde russische Angriffskrieg gegen die Ukraine hat zu enormem menschlichem Leid sowie verheerenden ökologischen und wirtschaftlichen Schäden geführt. Der Wiederaufbau der Ukraine erfordert umfangreiche Infrastrukturprogramme, um Wohlstand und Stabilität langfristig zu sichern. Dabei ist es von entscheidender Bedeutung, aus den Fehlern der Vergangenheit zu lernen, wie etwa den stetig steigenden Wohnkosten in den Ballungszentren europäischer Städte. Der Wiederaufbau sollte daher auf den erfolgreichen Konzepten des gemeinnützigen und kommunalen Wohnbaus aufbauen. Gemeinnützige Bauvereinigungen spielen eine zentrale Rolle für die soziale Stabilität, da sie leistbaren Wohnraum schaffen und damit verhindern, dass die Mietkosten überproportional steigen. Da sie nicht gewinnorientiert arbeiten, liegen die Mieten in der Regel unter dem Marktniveau und wirken somit dämpfend auf den gesamten Mietmarkt (</w:t>
      </w:r>
      <w:r w:rsidRPr="00B106F3">
        <w:rPr>
          <w:rFonts w:ascii="Aptos" w:hAnsi="Aptos"/>
          <w:i/>
          <w:iCs/>
          <w:sz w:val="22"/>
          <w:szCs w:val="22"/>
        </w:rPr>
        <w:t>Kostenmiete</w:t>
      </w:r>
      <w:r w:rsidRPr="00B106F3">
        <w:rPr>
          <w:rFonts w:ascii="Aptos" w:hAnsi="Aptos"/>
          <w:sz w:val="22"/>
          <w:szCs w:val="22"/>
        </w:rPr>
        <w:t xml:space="preserve">) </w:t>
      </w:r>
      <w:r w:rsidR="00526E9D" w:rsidRPr="00526E9D">
        <w:rPr>
          <w:rFonts w:ascii="Aptos" w:hAnsi="Aptos"/>
          <w:sz w:val="22"/>
          <w:szCs w:val="22"/>
          <w:vertAlign w:val="subscript"/>
        </w:rPr>
        <w:t>(1)</w:t>
      </w:r>
      <w:r w:rsidR="00526E9D" w:rsidRPr="00526E9D">
        <w:rPr>
          <w:rFonts w:ascii="Aptos" w:hAnsi="Aptos"/>
          <w:sz w:val="22"/>
          <w:szCs w:val="22"/>
        </w:rPr>
        <w:t xml:space="preserve">. EU-Programme und Wiederaufbaugelder sollten daher gezielt und zweckgebunden für den gemeinnützigen Wohnbau eingesetzt werden. </w:t>
      </w:r>
      <w:r w:rsidRPr="00B106F3">
        <w:rPr>
          <w:rFonts w:ascii="Aptos" w:hAnsi="Aptos"/>
          <w:sz w:val="22"/>
          <w:szCs w:val="22"/>
        </w:rPr>
        <w:t xml:space="preserve">Diese Mittel können dazu beitragen, eine nachhaltige und sozial ausgewogene Stadtentwicklung zu fördern und sicherzustellen, dass alle Bevölkerungsschichten Zugang zu leistbarem Wohnraum haben. Bezahlbarer Wohnraum </w:t>
      </w:r>
      <w:r w:rsidR="009E5D78">
        <w:rPr>
          <w:rFonts w:ascii="Aptos" w:hAnsi="Aptos"/>
          <w:sz w:val="22"/>
          <w:szCs w:val="22"/>
        </w:rPr>
        <w:t>ist aus Perspektive der</w:t>
      </w:r>
      <w:r w:rsidRPr="00B106F3">
        <w:rPr>
          <w:rFonts w:ascii="Aptos" w:hAnsi="Aptos"/>
          <w:sz w:val="22"/>
          <w:szCs w:val="22"/>
        </w:rPr>
        <w:t xml:space="preserve"> Daseinsvorsorge eine wesentliche Grundlage für die wirtschaftliche und soziale Entwicklung der Ukraine in einem starken und geeinten Europa. </w:t>
      </w:r>
    </w:p>
    <w:p w14:paraId="54C5C484" w14:textId="77777777" w:rsidR="00AE6031" w:rsidRPr="001A1F08" w:rsidRDefault="00AE6031" w:rsidP="00AE6031">
      <w:pPr>
        <w:pStyle w:val="ListParagraph"/>
        <w:numPr>
          <w:ilvl w:val="0"/>
          <w:numId w:val="106"/>
        </w:numPr>
        <w:jc w:val="both"/>
        <w:rPr>
          <w:rFonts w:ascii="Aptos" w:hAnsi="Aptos"/>
          <w:sz w:val="18"/>
          <w:szCs w:val="18"/>
          <w:lang w:val="en-GB"/>
        </w:rPr>
      </w:pPr>
      <w:r w:rsidRPr="001A1F08">
        <w:rPr>
          <w:rFonts w:ascii="Aptos" w:hAnsi="Aptos"/>
          <w:sz w:val="18"/>
          <w:szCs w:val="18"/>
          <w:lang w:val="en-GB"/>
        </w:rPr>
        <w:t>Klien/Kössl et al. 2023: The Price-Damping Effect of Non-Profit Housing</w:t>
      </w:r>
    </w:p>
    <w:p w14:paraId="4210DE7C" w14:textId="77777777" w:rsidR="00AE6031" w:rsidRPr="001A1F08" w:rsidRDefault="00000000" w:rsidP="009E5D78">
      <w:pPr>
        <w:pStyle w:val="ListParagraph"/>
        <w:ind w:left="708"/>
        <w:jc w:val="both"/>
        <w:rPr>
          <w:rFonts w:ascii="Aptos" w:hAnsi="Aptos"/>
          <w:sz w:val="18"/>
          <w:szCs w:val="18"/>
          <w:lang w:val="en-GB"/>
        </w:rPr>
      </w:pPr>
      <w:hyperlink r:id="rId30" w:anchor="download" w:history="1">
        <w:r w:rsidR="00AE6031" w:rsidRPr="001A1F08">
          <w:rPr>
            <w:rStyle w:val="Hyperlink"/>
            <w:rFonts w:ascii="Aptos" w:hAnsi="Aptos"/>
            <w:sz w:val="18"/>
            <w:szCs w:val="18"/>
            <w:lang w:val="en-GB"/>
          </w:rPr>
          <w:t>https://ideas.repec.org/p/wfo/rbrief/y2023i6.html#download</w:t>
        </w:r>
      </w:hyperlink>
    </w:p>
    <w:p w14:paraId="66924AA2" w14:textId="77777777" w:rsidR="0050443A" w:rsidRPr="00AE6031" w:rsidRDefault="0050443A" w:rsidP="0050443A">
      <w:pPr>
        <w:rPr>
          <w:rFonts w:ascii="Aptos" w:hAnsi="Aptos"/>
          <w:b/>
          <w:iCs/>
          <w:sz w:val="22"/>
          <w:szCs w:val="22"/>
          <w:lang w:val="en-GB"/>
        </w:rPr>
      </w:pPr>
    </w:p>
    <w:p w14:paraId="2564715F" w14:textId="77FED90B" w:rsidR="00633816" w:rsidRPr="00AE6031" w:rsidRDefault="00633816" w:rsidP="007B51F4">
      <w:pPr>
        <w:rPr>
          <w:rFonts w:ascii="Aptos" w:hAnsi="Aptos"/>
          <w:bCs/>
          <w:sz w:val="22"/>
          <w:szCs w:val="22"/>
          <w:lang w:val="en-GB"/>
        </w:rPr>
      </w:pPr>
      <w:r w:rsidRPr="00AE6031">
        <w:rPr>
          <w:rFonts w:ascii="Aptos" w:hAnsi="Aptos"/>
          <w:bCs/>
          <w:sz w:val="22"/>
          <w:szCs w:val="22"/>
          <w:lang w:val="en-GB"/>
        </w:rPr>
        <w:br w:type="page"/>
      </w:r>
    </w:p>
    <w:p w14:paraId="2E63D922" w14:textId="77777777" w:rsidR="00D0297F" w:rsidRPr="00AE6031" w:rsidRDefault="00D0297F" w:rsidP="007C07B7">
      <w:pPr>
        <w:spacing w:after="120"/>
        <w:jc w:val="both"/>
        <w:rPr>
          <w:rFonts w:ascii="Aptos" w:hAnsi="Aptos"/>
          <w:bCs/>
          <w:iCs/>
          <w:sz w:val="22"/>
          <w:szCs w:val="22"/>
          <w:lang w:val="en-GB"/>
        </w:rPr>
      </w:pPr>
    </w:p>
    <w:p w14:paraId="07B82340" w14:textId="77777777" w:rsidR="00934E00" w:rsidRPr="00AE6031" w:rsidRDefault="00934E00" w:rsidP="0050443A">
      <w:pPr>
        <w:rPr>
          <w:rFonts w:ascii="Aptos" w:hAnsi="Aptos"/>
          <w:lang w:val="en-GB"/>
        </w:rPr>
      </w:pPr>
    </w:p>
    <w:p w14:paraId="31144864" w14:textId="77777777" w:rsidR="0050443A" w:rsidRPr="00AE6031" w:rsidRDefault="0050443A" w:rsidP="0050443A">
      <w:pPr>
        <w:rPr>
          <w:rFonts w:ascii="Aptos" w:hAnsi="Aptos"/>
          <w:lang w:val="en-GB"/>
        </w:rPr>
      </w:pPr>
    </w:p>
    <w:p w14:paraId="57C99F1F" w14:textId="79971807" w:rsidR="00633816" w:rsidRPr="0050443A" w:rsidRDefault="0074175C" w:rsidP="007A1495">
      <w:pPr>
        <w:pStyle w:val="Heading1"/>
        <w:rPr>
          <w:i/>
          <w:iCs/>
          <w:sz w:val="22"/>
          <w:szCs w:val="22"/>
          <w:u w:val="single"/>
        </w:rPr>
      </w:pPr>
      <w:bookmarkStart w:id="13" w:name="_Toc170377504"/>
      <w:r w:rsidRPr="0050443A">
        <w:t>Leistbares Wohnen als Empfehlung im Europäischen Semester</w:t>
      </w:r>
      <w:bookmarkEnd w:id="13"/>
    </w:p>
    <w:tbl>
      <w:tblPr>
        <w:tblStyle w:val="TableGrid"/>
        <w:tblW w:w="0" w:type="auto"/>
        <w:tblInd w:w="108" w:type="dxa"/>
        <w:tblLook w:val="04A0" w:firstRow="1" w:lastRow="0" w:firstColumn="1" w:lastColumn="0" w:noHBand="0" w:noVBand="1"/>
      </w:tblPr>
      <w:tblGrid>
        <w:gridCol w:w="9060"/>
      </w:tblGrid>
      <w:tr w:rsidR="00633816" w:rsidRPr="0050443A" w14:paraId="7401D994" w14:textId="77777777" w:rsidTr="00715DD3">
        <w:tc>
          <w:tcPr>
            <w:tcW w:w="9060" w:type="dxa"/>
            <w:shd w:val="clear" w:color="auto" w:fill="D9D9D9" w:themeFill="background1" w:themeFillShade="D9"/>
          </w:tcPr>
          <w:p w14:paraId="6CEA4FBC" w14:textId="1EA7D9B4" w:rsidR="00633816" w:rsidRPr="0050443A" w:rsidRDefault="00633816" w:rsidP="00072582">
            <w:pPr>
              <w:spacing w:before="120" w:after="120"/>
              <w:jc w:val="both"/>
              <w:rPr>
                <w:rFonts w:ascii="Aptos" w:hAnsi="Aptos"/>
                <w:b/>
                <w:iCs/>
                <w:sz w:val="22"/>
                <w:szCs w:val="22"/>
              </w:rPr>
            </w:pPr>
            <w:r w:rsidRPr="0050443A">
              <w:rPr>
                <w:rFonts w:ascii="Aptos" w:hAnsi="Aptos"/>
                <w:b/>
                <w:iCs/>
                <w:sz w:val="22"/>
                <w:szCs w:val="22"/>
              </w:rPr>
              <w:t>Frage</w:t>
            </w:r>
          </w:p>
        </w:tc>
      </w:tr>
      <w:tr w:rsidR="00633816" w:rsidRPr="0050443A" w14:paraId="42C8B8F4" w14:textId="77777777" w:rsidTr="00715DD3">
        <w:tc>
          <w:tcPr>
            <w:tcW w:w="9060" w:type="dxa"/>
          </w:tcPr>
          <w:p w14:paraId="0613DB17" w14:textId="202CABC7" w:rsidR="00633816" w:rsidRPr="0050443A" w:rsidRDefault="00DD41B6" w:rsidP="00934E00">
            <w:pPr>
              <w:spacing w:before="120" w:after="120"/>
              <w:jc w:val="both"/>
              <w:rPr>
                <w:rFonts w:ascii="Aptos" w:hAnsi="Aptos"/>
                <w:b/>
                <w:bCs/>
                <w:sz w:val="22"/>
                <w:szCs w:val="22"/>
                <w:lang w:val="de-DE"/>
              </w:rPr>
            </w:pPr>
            <w:r w:rsidRPr="00DD41B6">
              <w:rPr>
                <w:rFonts w:ascii="Aptos" w:hAnsi="Aptos"/>
                <w:sz w:val="22"/>
                <w:szCs w:val="22"/>
              </w:rPr>
              <w:t xml:space="preserve">Das Europäische Semester ist ein wirtschaftspolitisches Steuerungsinstrument zur Koordinierung und Überwachung der Haushaltspolitik der Mitgliedstaaten. Von besonderer Bedeutung sind in diesem Zusammenhang die jährlich erstellten länderspezifischen Empfehlungen für die Mitgliedsstaaten. Diese zielen darauf ab, wirtschaftliche Ungleichgewichte zu korrigieren, Reformen voranzutreiben und das Wachstum zu fördern. </w:t>
            </w:r>
            <w:r w:rsidR="00934E00">
              <w:rPr>
                <w:rFonts w:ascii="Aptos" w:hAnsi="Aptos"/>
                <w:b/>
                <w:bCs/>
                <w:sz w:val="22"/>
                <w:szCs w:val="22"/>
              </w:rPr>
              <w:t>Planen Sie</w:t>
            </w:r>
            <w:r w:rsidR="0074175C" w:rsidRPr="0050443A">
              <w:rPr>
                <w:rFonts w:ascii="Aptos" w:hAnsi="Aptos"/>
                <w:b/>
                <w:bCs/>
                <w:sz w:val="22"/>
                <w:szCs w:val="22"/>
              </w:rPr>
              <w:t xml:space="preserve"> im Rahmen des Europäischen Semester das Thema leistbares Wohnen bei den Reform- und </w:t>
            </w:r>
            <w:r w:rsidR="00934E00" w:rsidRPr="0050443A">
              <w:rPr>
                <w:rFonts w:ascii="Aptos" w:hAnsi="Aptos"/>
                <w:b/>
                <w:bCs/>
                <w:sz w:val="22"/>
                <w:szCs w:val="22"/>
              </w:rPr>
              <w:t>Investitionsplänen</w:t>
            </w:r>
            <w:r w:rsidR="0074175C" w:rsidRPr="0050443A">
              <w:rPr>
                <w:rFonts w:ascii="Aptos" w:hAnsi="Aptos"/>
                <w:b/>
                <w:bCs/>
                <w:sz w:val="22"/>
                <w:szCs w:val="22"/>
              </w:rPr>
              <w:t xml:space="preserve"> der nationalen </w:t>
            </w:r>
            <w:r w:rsidR="00934E00" w:rsidRPr="0050443A">
              <w:rPr>
                <w:rFonts w:ascii="Aptos" w:hAnsi="Aptos"/>
                <w:b/>
                <w:bCs/>
                <w:sz w:val="22"/>
                <w:szCs w:val="22"/>
              </w:rPr>
              <w:t>Mitgliedsstaaten</w:t>
            </w:r>
            <w:r w:rsidR="00206921" w:rsidRPr="0050443A">
              <w:rPr>
                <w:rFonts w:ascii="Aptos" w:hAnsi="Aptos"/>
                <w:b/>
                <w:bCs/>
                <w:sz w:val="22"/>
                <w:szCs w:val="22"/>
              </w:rPr>
              <w:t xml:space="preserve"> festzuschreiben</w:t>
            </w:r>
            <w:r w:rsidR="0074175C" w:rsidRPr="0050443A">
              <w:rPr>
                <w:rFonts w:ascii="Aptos" w:hAnsi="Aptos"/>
                <w:b/>
                <w:bCs/>
                <w:sz w:val="22"/>
                <w:szCs w:val="22"/>
              </w:rPr>
              <w:t>?</w:t>
            </w:r>
          </w:p>
        </w:tc>
      </w:tr>
      <w:tr w:rsidR="00633816" w:rsidRPr="0050443A" w14:paraId="37F78919" w14:textId="77777777" w:rsidTr="00715DD3">
        <w:tc>
          <w:tcPr>
            <w:tcW w:w="9060" w:type="dxa"/>
            <w:shd w:val="clear" w:color="auto" w:fill="D9D9D9" w:themeFill="background1" w:themeFillShade="D9"/>
          </w:tcPr>
          <w:p w14:paraId="296C39F1" w14:textId="50260CAB" w:rsidR="00633816" w:rsidRPr="0050443A" w:rsidRDefault="00633816" w:rsidP="00072582">
            <w:pPr>
              <w:spacing w:before="120" w:after="120"/>
              <w:jc w:val="both"/>
              <w:rPr>
                <w:rFonts w:ascii="Aptos" w:hAnsi="Aptos"/>
                <w:b/>
                <w:bCs/>
                <w:sz w:val="22"/>
                <w:szCs w:val="22"/>
              </w:rPr>
            </w:pPr>
            <w:r w:rsidRPr="0050443A">
              <w:rPr>
                <w:rFonts w:ascii="Aptos" w:hAnsi="Aptos"/>
                <w:b/>
                <w:bCs/>
                <w:sz w:val="22"/>
                <w:szCs w:val="22"/>
              </w:rPr>
              <w:t>Nachfrage</w:t>
            </w:r>
          </w:p>
        </w:tc>
      </w:tr>
      <w:tr w:rsidR="00633816" w:rsidRPr="0050443A" w14:paraId="509FE8E3" w14:textId="77777777" w:rsidTr="00715DD3">
        <w:tc>
          <w:tcPr>
            <w:tcW w:w="9060" w:type="dxa"/>
          </w:tcPr>
          <w:p w14:paraId="3D1A99CE" w14:textId="7B751F03" w:rsidR="00934E00" w:rsidRPr="00934E00" w:rsidRDefault="00934E00" w:rsidP="00934E00">
            <w:pPr>
              <w:pStyle w:val="ListParagraph"/>
              <w:numPr>
                <w:ilvl w:val="0"/>
                <w:numId w:val="86"/>
              </w:numPr>
              <w:spacing w:before="120" w:after="120"/>
              <w:jc w:val="both"/>
              <w:rPr>
                <w:rFonts w:ascii="Aptos" w:hAnsi="Aptos"/>
                <w:sz w:val="22"/>
                <w:szCs w:val="22"/>
              </w:rPr>
            </w:pPr>
            <w:r w:rsidRPr="00934E00">
              <w:rPr>
                <w:rFonts w:ascii="Aptos" w:hAnsi="Aptos"/>
                <w:sz w:val="22"/>
                <w:szCs w:val="22"/>
              </w:rPr>
              <w:t xml:space="preserve">Welche Rolle spielt Ihrer </w:t>
            </w:r>
            <w:r>
              <w:rPr>
                <w:rFonts w:ascii="Aptos" w:hAnsi="Aptos"/>
                <w:sz w:val="22"/>
                <w:szCs w:val="22"/>
              </w:rPr>
              <w:t>Auffassung</w:t>
            </w:r>
            <w:r w:rsidRPr="00934E00">
              <w:rPr>
                <w:rFonts w:ascii="Aptos" w:hAnsi="Aptos"/>
                <w:sz w:val="22"/>
                <w:szCs w:val="22"/>
              </w:rPr>
              <w:t xml:space="preserve"> nach das Europäische Semester bei der Steuerung von Politikbereichen, die bisher dem Subsidiaritätsprinzip unterliegen?</w:t>
            </w:r>
          </w:p>
          <w:p w14:paraId="2E5366EA" w14:textId="3492A4B8" w:rsidR="00934E00" w:rsidRPr="0050443A" w:rsidRDefault="00934E00" w:rsidP="00934E00">
            <w:pPr>
              <w:pStyle w:val="ListParagraph"/>
              <w:numPr>
                <w:ilvl w:val="0"/>
                <w:numId w:val="86"/>
              </w:numPr>
              <w:spacing w:before="120" w:after="120"/>
              <w:jc w:val="both"/>
              <w:rPr>
                <w:rFonts w:ascii="Aptos" w:hAnsi="Aptos"/>
                <w:sz w:val="22"/>
                <w:szCs w:val="22"/>
                <w:lang w:val="de-DE"/>
              </w:rPr>
            </w:pPr>
            <w:r w:rsidRPr="00934E00">
              <w:rPr>
                <w:rFonts w:ascii="Aptos" w:hAnsi="Aptos"/>
                <w:sz w:val="22"/>
                <w:szCs w:val="22"/>
              </w:rPr>
              <w:t xml:space="preserve">Welche anderen Steuerungsinstrumente sind </w:t>
            </w:r>
            <w:r>
              <w:rPr>
                <w:rFonts w:ascii="Aptos" w:hAnsi="Aptos"/>
                <w:sz w:val="22"/>
                <w:szCs w:val="22"/>
              </w:rPr>
              <w:t xml:space="preserve">in Ihren Augen </w:t>
            </w:r>
            <w:r w:rsidRPr="00934E00">
              <w:rPr>
                <w:rFonts w:ascii="Aptos" w:hAnsi="Aptos"/>
                <w:sz w:val="22"/>
                <w:szCs w:val="22"/>
              </w:rPr>
              <w:t>geeignet, um eine harmonisierte und auf Leistbarkeit ausgerichtete EU-Wohnungspolitik zu fördern?</w:t>
            </w:r>
          </w:p>
        </w:tc>
      </w:tr>
    </w:tbl>
    <w:p w14:paraId="21B62A0D" w14:textId="77777777" w:rsidR="00633816" w:rsidRPr="0050443A" w:rsidRDefault="00633816" w:rsidP="00633816">
      <w:pPr>
        <w:spacing w:after="120"/>
        <w:jc w:val="both"/>
        <w:rPr>
          <w:rFonts w:ascii="Aptos" w:hAnsi="Aptos"/>
          <w:i/>
          <w:iCs/>
          <w:sz w:val="22"/>
          <w:szCs w:val="22"/>
          <w:u w:val="single"/>
        </w:rPr>
      </w:pPr>
    </w:p>
    <w:tbl>
      <w:tblPr>
        <w:tblStyle w:val="TableNormal1"/>
        <w:tblW w:w="0" w:type="auto"/>
        <w:tblLayout w:type="fixed"/>
        <w:tblLook w:val="01E0" w:firstRow="1" w:lastRow="1" w:firstColumn="1" w:lastColumn="1" w:noHBand="0" w:noVBand="0"/>
      </w:tblPr>
      <w:tblGrid>
        <w:gridCol w:w="9066"/>
      </w:tblGrid>
      <w:tr w:rsidR="00715DD3" w:rsidRPr="009B5839" w14:paraId="51671CE1" w14:textId="77777777" w:rsidTr="003D4657">
        <w:trPr>
          <w:trHeight w:val="277"/>
        </w:trPr>
        <w:tc>
          <w:tcPr>
            <w:tcW w:w="9066" w:type="dxa"/>
            <w:shd w:val="clear" w:color="auto" w:fill="D9D9D9"/>
          </w:tcPr>
          <w:p w14:paraId="6B37A94F" w14:textId="77777777" w:rsidR="00715DD3" w:rsidRPr="009B5839" w:rsidRDefault="00715DD3" w:rsidP="003D4657">
            <w:pPr>
              <w:pStyle w:val="TableParagraph"/>
              <w:spacing w:line="258" w:lineRule="exact"/>
              <w:ind w:left="0"/>
              <w:rPr>
                <w:rFonts w:ascii="Aptos" w:hAnsi="Aptos"/>
                <w:b/>
                <w:sz w:val="24"/>
              </w:rPr>
            </w:pPr>
            <w:r>
              <w:rPr>
                <w:rFonts w:ascii="Aptos" w:hAnsi="Aptos"/>
                <w:b/>
                <w:sz w:val="24"/>
              </w:rPr>
              <w:t>Hintergrundinformationen</w:t>
            </w:r>
          </w:p>
        </w:tc>
      </w:tr>
    </w:tbl>
    <w:p w14:paraId="29678EDC" w14:textId="40B79251" w:rsidR="00437609" w:rsidRDefault="00437609" w:rsidP="00DD41B6">
      <w:pPr>
        <w:jc w:val="both"/>
        <w:rPr>
          <w:rFonts w:ascii="Aptos" w:hAnsi="Aptos"/>
          <w:sz w:val="22"/>
          <w:szCs w:val="22"/>
        </w:rPr>
      </w:pPr>
      <w:r w:rsidRPr="00437609">
        <w:rPr>
          <w:rFonts w:ascii="Aptos" w:hAnsi="Aptos"/>
          <w:sz w:val="22"/>
          <w:szCs w:val="22"/>
        </w:rPr>
        <w:t xml:space="preserve">Die Ausgestaltung der Wohnungsmärkte liegt aufgrund des Subsidiaritätsprinzips primär in der Verantwortung der EU-Mitgliedstaaten. Die aktuell hohen Wohnkosten in den europäischen Ballungsräumen sollten jedoch als Warnsignal verstanden werden, dass bei überwiegend privatwirtschaftlich organisierten Wohnungsmärkten in Verbindung mit einer hohen Wohnungsnachfrage Marktversagen auftreten kann. Diese hohen Wohnkosten belasten die Gesamtwirtschaft erheblich und können im Extremfall zu Wohnungs- und Obdachlosigkeit führen. Vor diesem Hintergrund stellt sich die Frage, wie die EU eine harmonisierte und auf Leistbarkeit ausgerichtete EU-Wohnungspolitik etablieren könnte und welche Rolle das Europäische Semester in diesem Zusammenhang spielt. </w:t>
      </w:r>
      <w:r w:rsidR="00DD41B6" w:rsidRPr="00DD41B6">
        <w:rPr>
          <w:rFonts w:ascii="Aptos" w:hAnsi="Aptos"/>
          <w:sz w:val="22"/>
          <w:szCs w:val="22"/>
        </w:rPr>
        <w:t xml:space="preserve">Das Europäische Semester dient der Koordinierung der nationalen Haushalts- und Wirtschaftspolitiken der Mitgliedstaaten mit dem Ziel, die wirtschaftliche Stabilität und Wettbewerbsfähigkeit in der gesamten EU zu stärken </w:t>
      </w:r>
      <w:r w:rsidRPr="00437609">
        <w:rPr>
          <w:rFonts w:ascii="Aptos" w:hAnsi="Aptos"/>
          <w:sz w:val="22"/>
          <w:szCs w:val="22"/>
          <w:vertAlign w:val="subscript"/>
        </w:rPr>
        <w:t>(1).</w:t>
      </w:r>
      <w:r w:rsidRPr="00437609">
        <w:rPr>
          <w:rFonts w:ascii="Aptos" w:hAnsi="Aptos"/>
          <w:sz w:val="22"/>
          <w:szCs w:val="22"/>
        </w:rPr>
        <w:t xml:space="preserve"> </w:t>
      </w:r>
      <w:r w:rsidR="00DD41B6">
        <w:rPr>
          <w:rFonts w:ascii="Aptos" w:hAnsi="Aptos"/>
          <w:sz w:val="22"/>
          <w:szCs w:val="22"/>
        </w:rPr>
        <w:t>Im Zuge der nationalen Reformempfehlungen werden</w:t>
      </w:r>
      <w:r w:rsidR="00DD41B6" w:rsidRPr="00DD41B6">
        <w:rPr>
          <w:rFonts w:ascii="Aptos" w:hAnsi="Aptos"/>
          <w:sz w:val="22"/>
          <w:szCs w:val="22"/>
        </w:rPr>
        <w:t xml:space="preserve"> verschiedene Faktoren berücksichtigt, darunter die öffentlichen Finanzen, die Beschäftigungslage, Investitionen in Forschung und Entwicklung sowie Fortschritte bei Strukturreformen. Ein wesentliches Merkmal des Europäischen Semesters ist sein präventiver Charakter. Durch d</w:t>
      </w:r>
      <w:r w:rsidR="00DD41B6">
        <w:rPr>
          <w:rFonts w:ascii="Aptos" w:hAnsi="Aptos"/>
          <w:sz w:val="22"/>
          <w:szCs w:val="22"/>
        </w:rPr>
        <w:t>as</w:t>
      </w:r>
      <w:r w:rsidR="00DD41B6" w:rsidRPr="00DD41B6">
        <w:rPr>
          <w:rFonts w:ascii="Aptos" w:hAnsi="Aptos"/>
          <w:sz w:val="22"/>
          <w:szCs w:val="22"/>
        </w:rPr>
        <w:t xml:space="preserve"> frühzeitige </w:t>
      </w:r>
      <w:r w:rsidR="00DD41B6">
        <w:rPr>
          <w:rFonts w:ascii="Aptos" w:hAnsi="Aptos"/>
          <w:sz w:val="22"/>
          <w:szCs w:val="22"/>
        </w:rPr>
        <w:t xml:space="preserve">Monitoring der Entwicklungen in den Mitgliedsstaaten </w:t>
      </w:r>
      <w:r w:rsidR="00DD41B6" w:rsidRPr="00DD41B6">
        <w:rPr>
          <w:rFonts w:ascii="Aptos" w:hAnsi="Aptos"/>
          <w:sz w:val="22"/>
          <w:szCs w:val="22"/>
        </w:rPr>
        <w:t>können potenzielle wirtschaftliche Risiken eingedämmt und die Stabilität des Euroraums insgesamt verbessert werden. Darüber hinaus dient das Europäische Semester als Mechanismus zur Förderung eines nachhaltigen Wachstums und zur Stärkung des sozialen Zusammenhalts in der gesamten EU. Aus Perspektive der Daseinsvorsorge stellt leistbares Wohnen einen wesentlichen Faktor für den wirtschaftlichen Erfolg der EU dar. Daher ist eine EU-Wohnungspolitik erforderlich, die sozial schwache Gruppen bei der Suche nach bezahlbarem Wohnraum unterstützt</w:t>
      </w:r>
      <w:r w:rsidR="00DD41B6">
        <w:rPr>
          <w:rFonts w:ascii="Aptos" w:hAnsi="Aptos"/>
          <w:sz w:val="22"/>
          <w:szCs w:val="22"/>
        </w:rPr>
        <w:t xml:space="preserve"> und den Wohnungsbau in diese Richtung im Rahmen des europäischen Semesters empfiehlt</w:t>
      </w:r>
      <w:r w:rsidR="00DD41B6" w:rsidRPr="00DD41B6">
        <w:rPr>
          <w:rFonts w:ascii="Aptos" w:hAnsi="Aptos"/>
          <w:sz w:val="22"/>
          <w:szCs w:val="22"/>
        </w:rPr>
        <w:t>.</w:t>
      </w:r>
    </w:p>
    <w:p w14:paraId="736DC8A9" w14:textId="77777777" w:rsidR="00DD41B6" w:rsidRDefault="00DD41B6" w:rsidP="00DD41B6">
      <w:pPr>
        <w:jc w:val="both"/>
        <w:rPr>
          <w:rFonts w:ascii="Times New Roman" w:eastAsia="Times New Roman" w:hAnsi="Times New Roman" w:cs="Times New Roman"/>
          <w:lang w:eastAsia="de-DE"/>
        </w:rPr>
      </w:pPr>
    </w:p>
    <w:p w14:paraId="324FBC73" w14:textId="3BAD4D43" w:rsidR="00437609" w:rsidRPr="001A1F08" w:rsidRDefault="00437609" w:rsidP="00437609">
      <w:pPr>
        <w:pStyle w:val="ListParagraph"/>
        <w:numPr>
          <w:ilvl w:val="0"/>
          <w:numId w:val="107"/>
        </w:numPr>
        <w:jc w:val="both"/>
        <w:rPr>
          <w:rFonts w:ascii="Aptos" w:hAnsi="Aptos"/>
          <w:sz w:val="18"/>
          <w:szCs w:val="18"/>
          <w:lang w:val="en-GB"/>
        </w:rPr>
      </w:pPr>
      <w:r>
        <w:rPr>
          <w:rFonts w:ascii="Aptos" w:hAnsi="Aptos"/>
          <w:sz w:val="18"/>
          <w:szCs w:val="18"/>
          <w:lang w:val="en-GB"/>
        </w:rPr>
        <w:t>European Commission 2024: The</w:t>
      </w:r>
      <w:r w:rsidR="00866343">
        <w:rPr>
          <w:rFonts w:ascii="Aptos" w:hAnsi="Aptos"/>
          <w:sz w:val="18"/>
          <w:szCs w:val="18"/>
          <w:lang w:val="en-GB"/>
        </w:rPr>
        <w:t xml:space="preserve"> European Semester</w:t>
      </w:r>
    </w:p>
    <w:p w14:paraId="23C4DE82" w14:textId="21D70F5E" w:rsidR="00437609" w:rsidRPr="00437609" w:rsidRDefault="00000000" w:rsidP="00437609">
      <w:pPr>
        <w:pStyle w:val="ListParagraph"/>
        <w:ind w:left="360"/>
        <w:jc w:val="both"/>
        <w:rPr>
          <w:rStyle w:val="Hyperlink"/>
          <w:rFonts w:ascii="Aptos" w:hAnsi="Aptos"/>
          <w:sz w:val="18"/>
          <w:szCs w:val="18"/>
          <w:lang w:val="en-GB"/>
        </w:rPr>
      </w:pPr>
      <w:hyperlink r:id="rId31" w:history="1">
        <w:r w:rsidR="00437609" w:rsidRPr="00437609">
          <w:rPr>
            <w:rStyle w:val="Hyperlink"/>
            <w:rFonts w:ascii="Aptos" w:hAnsi="Aptos"/>
            <w:sz w:val="18"/>
            <w:szCs w:val="18"/>
            <w:lang w:val="en-GB"/>
          </w:rPr>
          <w:t>https://commission.europa.eu/business-economy-euro/economic-and-fiscal-policy-coordination/european-semester_en</w:t>
        </w:r>
      </w:hyperlink>
    </w:p>
    <w:p w14:paraId="51D34D77" w14:textId="77777777" w:rsidR="00437609" w:rsidRPr="00437609" w:rsidRDefault="00437609" w:rsidP="00437609">
      <w:pPr>
        <w:rPr>
          <w:rFonts w:ascii="Times New Roman" w:eastAsia="Times New Roman" w:hAnsi="Times New Roman" w:cs="Times New Roman"/>
          <w:lang w:val="en-GB" w:eastAsia="de-DE"/>
        </w:rPr>
      </w:pPr>
    </w:p>
    <w:p w14:paraId="4291F459" w14:textId="4417638C" w:rsidR="00437609" w:rsidRPr="00437609" w:rsidRDefault="00437609" w:rsidP="00437609">
      <w:pPr>
        <w:pStyle w:val="ListParagraph"/>
        <w:ind w:left="360"/>
        <w:jc w:val="both"/>
        <w:rPr>
          <w:rStyle w:val="Hyperlink"/>
          <w:rFonts w:ascii="Aptos" w:hAnsi="Aptos"/>
          <w:sz w:val="18"/>
          <w:szCs w:val="18"/>
          <w:lang w:val="en-GB"/>
        </w:rPr>
      </w:pPr>
    </w:p>
    <w:p w14:paraId="50398CEC" w14:textId="77777777" w:rsidR="00934E00" w:rsidRPr="00437609" w:rsidRDefault="00934E00" w:rsidP="00934E00">
      <w:pPr>
        <w:rPr>
          <w:lang w:val="en-GB"/>
        </w:rPr>
      </w:pPr>
    </w:p>
    <w:p w14:paraId="50BF4198" w14:textId="4FA70050" w:rsidR="00A23EF7" w:rsidRPr="0050443A" w:rsidRDefault="00FA10A4" w:rsidP="00DD41B6">
      <w:pPr>
        <w:pStyle w:val="Heading1"/>
        <w:rPr>
          <w:i/>
          <w:iCs/>
          <w:sz w:val="22"/>
          <w:szCs w:val="22"/>
          <w:u w:val="single"/>
        </w:rPr>
      </w:pPr>
      <w:bookmarkStart w:id="14" w:name="_Toc170377505"/>
      <w:r w:rsidRPr="0050443A">
        <w:t>Gemeinnütziger Wohnbau im Stabilitäts- und Wachstumspakt</w:t>
      </w:r>
      <w:bookmarkEnd w:id="14"/>
    </w:p>
    <w:tbl>
      <w:tblPr>
        <w:tblStyle w:val="TableGrid"/>
        <w:tblW w:w="0" w:type="auto"/>
        <w:tblInd w:w="108" w:type="dxa"/>
        <w:tblLook w:val="04A0" w:firstRow="1" w:lastRow="0" w:firstColumn="1" w:lastColumn="0" w:noHBand="0" w:noVBand="1"/>
      </w:tblPr>
      <w:tblGrid>
        <w:gridCol w:w="9060"/>
      </w:tblGrid>
      <w:tr w:rsidR="00437609" w:rsidRPr="0050443A" w14:paraId="5E5A4FF3" w14:textId="77777777" w:rsidTr="00715DD3">
        <w:tc>
          <w:tcPr>
            <w:tcW w:w="9060" w:type="dxa"/>
            <w:shd w:val="clear" w:color="auto" w:fill="D9D9D9" w:themeFill="background1" w:themeFillShade="D9"/>
          </w:tcPr>
          <w:p w14:paraId="62793104" w14:textId="29860D6D" w:rsidR="008F73BD" w:rsidRPr="0050443A" w:rsidRDefault="008F73BD" w:rsidP="00072582">
            <w:pPr>
              <w:spacing w:before="120" w:after="120"/>
              <w:jc w:val="both"/>
              <w:rPr>
                <w:rFonts w:ascii="Aptos" w:hAnsi="Aptos"/>
                <w:b/>
                <w:iCs/>
                <w:sz w:val="22"/>
                <w:szCs w:val="22"/>
              </w:rPr>
            </w:pPr>
            <w:r w:rsidRPr="0050443A">
              <w:rPr>
                <w:rFonts w:ascii="Aptos" w:hAnsi="Aptos"/>
                <w:b/>
                <w:iCs/>
                <w:sz w:val="22"/>
                <w:szCs w:val="22"/>
              </w:rPr>
              <w:t xml:space="preserve">Frage </w:t>
            </w:r>
          </w:p>
        </w:tc>
      </w:tr>
      <w:tr w:rsidR="00437609" w:rsidRPr="0050443A" w14:paraId="63498F71" w14:textId="77777777" w:rsidTr="00715DD3">
        <w:tc>
          <w:tcPr>
            <w:tcW w:w="9060" w:type="dxa"/>
          </w:tcPr>
          <w:p w14:paraId="0299D9EA" w14:textId="5A42FF53" w:rsidR="008F73BD" w:rsidRPr="00934E00" w:rsidRDefault="00DD41B6" w:rsidP="00934E00">
            <w:pPr>
              <w:spacing w:before="120" w:after="120"/>
              <w:jc w:val="both"/>
              <w:rPr>
                <w:rFonts w:ascii="Aptos" w:hAnsi="Aptos"/>
                <w:b/>
                <w:bCs/>
                <w:sz w:val="22"/>
                <w:szCs w:val="22"/>
              </w:rPr>
            </w:pPr>
            <w:r w:rsidRPr="00DD41B6">
              <w:rPr>
                <w:rFonts w:ascii="Aptos" w:hAnsi="Aptos" w:cs="Segoe UI"/>
                <w:color w:val="0D0D0D"/>
                <w:sz w:val="22"/>
                <w:szCs w:val="22"/>
                <w:shd w:val="clear" w:color="auto" w:fill="FFFFFF"/>
              </w:rPr>
              <w:t xml:space="preserve">Der Stabilitäts- und Wachstumspakt der EU stellt zweifelsohne ein wichtiges Regelwerk zur Sicherung der Haushaltsdisziplin und der finanziellen Stabilität der Mitgliedstaaten der Europäischen Union dar. Im Hinblick auf notwendige Zukunftsinvestitionen und die langfristige Sicherung guter Lebensbedingungen können zu enge fiskalische Grenzen zu Problemen führen. Vor dem Hintergrund des EU-weiten Mangels an leistbarem Wohnraum sind nachhaltige Wohnbauoffensiven im gemeinnützigen und kommunalen Wohnbau unerlässlich. </w:t>
            </w:r>
            <w:r w:rsidR="00934E00" w:rsidRPr="00934E00">
              <w:rPr>
                <w:rFonts w:ascii="Aptos" w:hAnsi="Aptos" w:cs="Segoe UI"/>
                <w:b/>
                <w:bCs/>
                <w:color w:val="0D0D0D"/>
                <w:sz w:val="22"/>
                <w:szCs w:val="22"/>
                <w:shd w:val="clear" w:color="auto" w:fill="FFFFFF"/>
              </w:rPr>
              <w:t>Planen Sie eine Regelung, die öffentliche Investitionen in den sozial-ökologischen Wohnbau vom Stabilitäts- und Wachstumspakt ausnimmt?</w:t>
            </w:r>
          </w:p>
        </w:tc>
      </w:tr>
      <w:tr w:rsidR="00437609" w:rsidRPr="0050443A" w14:paraId="579744E3" w14:textId="77777777" w:rsidTr="00715DD3">
        <w:tc>
          <w:tcPr>
            <w:tcW w:w="9060" w:type="dxa"/>
            <w:shd w:val="clear" w:color="auto" w:fill="D9D9D9" w:themeFill="background1" w:themeFillShade="D9"/>
          </w:tcPr>
          <w:p w14:paraId="1810CD0E" w14:textId="0D267266" w:rsidR="008F73BD" w:rsidRPr="0050443A" w:rsidRDefault="008F73BD" w:rsidP="00072582">
            <w:pPr>
              <w:spacing w:before="120" w:after="120"/>
              <w:jc w:val="both"/>
              <w:rPr>
                <w:rFonts w:ascii="Aptos" w:hAnsi="Aptos"/>
                <w:b/>
                <w:bCs/>
                <w:sz w:val="22"/>
                <w:szCs w:val="22"/>
              </w:rPr>
            </w:pPr>
            <w:r w:rsidRPr="0050443A">
              <w:rPr>
                <w:rFonts w:ascii="Aptos" w:hAnsi="Aptos"/>
                <w:b/>
                <w:bCs/>
                <w:sz w:val="22"/>
                <w:szCs w:val="22"/>
              </w:rPr>
              <w:t>Nachfrage</w:t>
            </w:r>
          </w:p>
        </w:tc>
      </w:tr>
      <w:tr w:rsidR="00437609" w:rsidRPr="0050443A" w14:paraId="1FEBC1EC" w14:textId="77777777" w:rsidTr="00715DD3">
        <w:tc>
          <w:tcPr>
            <w:tcW w:w="9060" w:type="dxa"/>
          </w:tcPr>
          <w:p w14:paraId="4237183A" w14:textId="00816C21" w:rsidR="001B32EF" w:rsidRPr="001B32EF" w:rsidRDefault="001B32EF" w:rsidP="001B32EF">
            <w:pPr>
              <w:pStyle w:val="ListParagraph"/>
              <w:numPr>
                <w:ilvl w:val="0"/>
                <w:numId w:val="74"/>
              </w:numPr>
              <w:spacing w:before="120" w:after="120"/>
              <w:jc w:val="both"/>
              <w:rPr>
                <w:rFonts w:ascii="Aptos" w:hAnsi="Aptos"/>
                <w:sz w:val="22"/>
                <w:szCs w:val="22"/>
                <w:lang w:val="de-DE"/>
              </w:rPr>
            </w:pPr>
            <w:r w:rsidRPr="001B32EF">
              <w:rPr>
                <w:rFonts w:ascii="Aptos" w:hAnsi="Aptos"/>
                <w:sz w:val="22"/>
                <w:szCs w:val="22"/>
                <w:lang w:val="de-DE"/>
              </w:rPr>
              <w:t>Wie wollen Sie sicherstellen, dass die Wiedereinführung des Stabilitäts- und Wachstumspaktes den sozialen und kommunalen Wohnbau nicht schwächt?</w:t>
            </w:r>
          </w:p>
          <w:p w14:paraId="56A9526B" w14:textId="124B4A7B" w:rsidR="001B32EF" w:rsidRPr="001B32EF" w:rsidRDefault="001B32EF" w:rsidP="001B32EF">
            <w:pPr>
              <w:pStyle w:val="ListParagraph"/>
              <w:numPr>
                <w:ilvl w:val="0"/>
                <w:numId w:val="74"/>
              </w:numPr>
              <w:spacing w:before="120" w:after="120"/>
              <w:jc w:val="both"/>
              <w:rPr>
                <w:rFonts w:ascii="Aptos" w:hAnsi="Aptos"/>
                <w:sz w:val="22"/>
                <w:szCs w:val="22"/>
                <w:lang w:val="de-DE"/>
              </w:rPr>
            </w:pPr>
            <w:r w:rsidRPr="001B32EF">
              <w:rPr>
                <w:rFonts w:ascii="Aptos" w:hAnsi="Aptos"/>
                <w:sz w:val="22"/>
                <w:szCs w:val="22"/>
                <w:lang w:val="de-DE"/>
              </w:rPr>
              <w:t xml:space="preserve">Planen Sie neue EU-Programme und EU-Mittel für öffentliche, kommunale und </w:t>
            </w:r>
            <w:r w:rsidR="00074BCE" w:rsidRPr="00325640">
              <w:rPr>
                <w:rFonts w:ascii="Aptos" w:hAnsi="Aptos"/>
                <w:sz w:val="22"/>
                <w:szCs w:val="22"/>
              </w:rPr>
              <w:t>gemein</w:t>
            </w:r>
            <w:r w:rsidR="00074BCE">
              <w:rPr>
                <w:rFonts w:ascii="Aptos" w:hAnsi="Aptos"/>
                <w:sz w:val="22"/>
                <w:szCs w:val="22"/>
              </w:rPr>
              <w:t>nützige</w:t>
            </w:r>
            <w:r w:rsidR="00074BCE" w:rsidRPr="00325640">
              <w:rPr>
                <w:rFonts w:ascii="Aptos" w:hAnsi="Aptos"/>
                <w:sz w:val="22"/>
                <w:szCs w:val="22"/>
              </w:rPr>
              <w:t xml:space="preserve"> </w:t>
            </w:r>
            <w:r w:rsidRPr="001B32EF">
              <w:rPr>
                <w:rFonts w:ascii="Aptos" w:hAnsi="Aptos"/>
                <w:sz w:val="22"/>
                <w:szCs w:val="22"/>
                <w:lang w:val="de-DE"/>
              </w:rPr>
              <w:t>Akteure, die leistbaren Wohnraum schaffen?</w:t>
            </w:r>
          </w:p>
          <w:p w14:paraId="613A9826" w14:textId="6D751B4F" w:rsidR="00F51C7F" w:rsidRPr="00934E00" w:rsidRDefault="001B32EF" w:rsidP="001B32EF">
            <w:pPr>
              <w:pStyle w:val="ListParagraph"/>
              <w:numPr>
                <w:ilvl w:val="0"/>
                <w:numId w:val="74"/>
              </w:numPr>
              <w:spacing w:before="120" w:after="120"/>
              <w:jc w:val="both"/>
              <w:rPr>
                <w:rFonts w:ascii="Aptos" w:hAnsi="Aptos"/>
                <w:sz w:val="22"/>
                <w:szCs w:val="22"/>
                <w:lang w:val="de-DE"/>
              </w:rPr>
            </w:pPr>
            <w:r w:rsidRPr="001B32EF">
              <w:rPr>
                <w:rFonts w:ascii="Aptos" w:hAnsi="Aptos"/>
                <w:sz w:val="22"/>
                <w:szCs w:val="22"/>
                <w:lang w:val="de-DE"/>
              </w:rPr>
              <w:t xml:space="preserve">Welche Rolle kommt Ihrer Meinung nach der Europäischen Investitionsbank zu, um das Modell des </w:t>
            </w:r>
            <w:r w:rsidR="00074BCE" w:rsidRPr="00325640">
              <w:rPr>
                <w:rFonts w:ascii="Aptos" w:hAnsi="Aptos"/>
                <w:sz w:val="22"/>
                <w:szCs w:val="22"/>
              </w:rPr>
              <w:t>gemein</w:t>
            </w:r>
            <w:r w:rsidR="00074BCE">
              <w:rPr>
                <w:rFonts w:ascii="Aptos" w:hAnsi="Aptos"/>
                <w:sz w:val="22"/>
                <w:szCs w:val="22"/>
              </w:rPr>
              <w:t>nützigen</w:t>
            </w:r>
            <w:r w:rsidRPr="001B32EF">
              <w:rPr>
                <w:rFonts w:ascii="Aptos" w:hAnsi="Aptos"/>
                <w:sz w:val="22"/>
                <w:szCs w:val="22"/>
                <w:lang w:val="de-DE"/>
              </w:rPr>
              <w:t xml:space="preserve"> Wohnbaus stärker zu fördern und zu finanzieren?</w:t>
            </w:r>
          </w:p>
        </w:tc>
      </w:tr>
    </w:tbl>
    <w:p w14:paraId="327B4597" w14:textId="77777777" w:rsidR="008F73BD" w:rsidRDefault="008F73BD" w:rsidP="008F73BD">
      <w:pPr>
        <w:spacing w:after="120"/>
        <w:jc w:val="both"/>
        <w:rPr>
          <w:rFonts w:ascii="Aptos" w:hAnsi="Aptos"/>
          <w:i/>
          <w:iCs/>
          <w:sz w:val="22"/>
          <w:szCs w:val="22"/>
          <w:u w:val="single"/>
        </w:rPr>
      </w:pPr>
    </w:p>
    <w:tbl>
      <w:tblPr>
        <w:tblStyle w:val="TableNormal1"/>
        <w:tblW w:w="0" w:type="auto"/>
        <w:tblLayout w:type="fixed"/>
        <w:tblLook w:val="01E0" w:firstRow="1" w:lastRow="1" w:firstColumn="1" w:lastColumn="1" w:noHBand="0" w:noVBand="0"/>
      </w:tblPr>
      <w:tblGrid>
        <w:gridCol w:w="9066"/>
      </w:tblGrid>
      <w:tr w:rsidR="00715DD3" w:rsidRPr="009B5839" w14:paraId="40A0F516" w14:textId="77777777" w:rsidTr="003D4657">
        <w:trPr>
          <w:trHeight w:val="277"/>
        </w:trPr>
        <w:tc>
          <w:tcPr>
            <w:tcW w:w="9066" w:type="dxa"/>
            <w:shd w:val="clear" w:color="auto" w:fill="D9D9D9"/>
          </w:tcPr>
          <w:p w14:paraId="576B0B65" w14:textId="77777777" w:rsidR="00715DD3" w:rsidRPr="009B5839" w:rsidRDefault="00715DD3" w:rsidP="003D4657">
            <w:pPr>
              <w:pStyle w:val="TableParagraph"/>
              <w:spacing w:line="258" w:lineRule="exact"/>
              <w:ind w:left="0"/>
              <w:rPr>
                <w:rFonts w:ascii="Aptos" w:hAnsi="Aptos"/>
                <w:b/>
                <w:sz w:val="24"/>
              </w:rPr>
            </w:pPr>
            <w:r>
              <w:rPr>
                <w:rFonts w:ascii="Aptos" w:hAnsi="Aptos"/>
                <w:b/>
                <w:sz w:val="24"/>
              </w:rPr>
              <w:t>Hintergrundinformationen</w:t>
            </w:r>
          </w:p>
        </w:tc>
      </w:tr>
    </w:tbl>
    <w:p w14:paraId="480802D5" w14:textId="3D98D619" w:rsidR="00357B04" w:rsidRDefault="00DD41B6" w:rsidP="00DD41B6">
      <w:pPr>
        <w:jc w:val="both"/>
        <w:rPr>
          <w:rFonts w:ascii="Aptos" w:hAnsi="Aptos"/>
          <w:sz w:val="22"/>
          <w:szCs w:val="22"/>
        </w:rPr>
      </w:pPr>
      <w:r w:rsidRPr="00DD41B6">
        <w:rPr>
          <w:rFonts w:ascii="Aptos" w:hAnsi="Aptos"/>
          <w:sz w:val="22"/>
          <w:szCs w:val="22"/>
        </w:rPr>
        <w:t xml:space="preserve">Der Stabilitäts- und Wachstumspakt der Europäischen Union ist ein im Vertrag von Amsterdam verankertes Regelwerk, das im Jahr 1999 eingeführt wurde. Der Pakt dient der Gewährleistung der Haushaltsdisziplin der Mitgliedstaaten sowie der Sicherung der finanziellen Stabilität der EU insgesamt und bestimmt Kriterien und Verfahren, die gewährleisten sollen, dass die Mitgliedstaaten ihre Haushaltsdefizite und ihre Verschuldung auf nachhaltige Weise kontrollieren. Insbesondere vor dem Hintergrund des EU-weiten Mangels an leistbarem Wohnraum sind nachhaltige Wohnbauoffensiven im gemeinnützigen und kommunalen Wohnbau dringend erforderlich. Daher sollte der Stabilitäts- und Wachstumspakt so gestaltet sein, dass er solche wichtigen sozialen Investitionen ermöglicht. Darüber hinaus sind weitere EU-Investitionsprogramme in Form von Zuschüssen und Darlehen notwendig, um ausreichend sozial-ökologischen Wohnraum zu schaffen.  Aus der Perspektive der Daseinsvorsorge ist es von entscheidender Bedeutung, dass gemeinnützige und kommunale Akteure in ihrer wichtigen Rolle bei der Bereitstellung von leistbarem Wohnraum gestärkt werden. </w:t>
      </w:r>
      <w:r>
        <w:rPr>
          <w:rFonts w:ascii="Aptos" w:hAnsi="Aptos"/>
          <w:sz w:val="22"/>
          <w:szCs w:val="22"/>
        </w:rPr>
        <w:t xml:space="preserve">Somit sollte eine Überarbeitung des Pakts angedacht werden und andererseits </w:t>
      </w:r>
      <w:r w:rsidRPr="00DD41B6">
        <w:rPr>
          <w:rFonts w:ascii="Aptos" w:hAnsi="Aptos"/>
          <w:sz w:val="22"/>
          <w:szCs w:val="22"/>
        </w:rPr>
        <w:t xml:space="preserve">EU-Investitionsprogrammen </w:t>
      </w:r>
      <w:r>
        <w:rPr>
          <w:rFonts w:ascii="Aptos" w:hAnsi="Aptos"/>
          <w:sz w:val="22"/>
          <w:szCs w:val="22"/>
        </w:rPr>
        <w:t xml:space="preserve">entwickelt werden, damit </w:t>
      </w:r>
      <w:r w:rsidRPr="00DD41B6">
        <w:rPr>
          <w:rFonts w:ascii="Aptos" w:hAnsi="Aptos"/>
          <w:sz w:val="22"/>
          <w:szCs w:val="22"/>
        </w:rPr>
        <w:t>die erforderlichen Ressourcen bereitgestellt werden, um den Herausforderungen im Wohnungsbau erfolgreich zu begegnen.</w:t>
      </w:r>
    </w:p>
    <w:p w14:paraId="39B604D1" w14:textId="77777777" w:rsidR="00DD41B6" w:rsidRPr="00357B04" w:rsidRDefault="00DD41B6" w:rsidP="00DD41B6">
      <w:pPr>
        <w:jc w:val="both"/>
        <w:rPr>
          <w:rFonts w:ascii="Aptos" w:hAnsi="Aptos"/>
          <w:sz w:val="22"/>
          <w:szCs w:val="22"/>
        </w:rPr>
      </w:pPr>
    </w:p>
    <w:p w14:paraId="5A7BF3EB" w14:textId="7D485B43" w:rsidR="00357B04" w:rsidRPr="001A1F08" w:rsidRDefault="00357B04" w:rsidP="00357B04">
      <w:pPr>
        <w:pStyle w:val="ListParagraph"/>
        <w:numPr>
          <w:ilvl w:val="0"/>
          <w:numId w:val="108"/>
        </w:numPr>
        <w:jc w:val="both"/>
        <w:rPr>
          <w:rFonts w:ascii="Aptos" w:hAnsi="Aptos"/>
          <w:sz w:val="18"/>
          <w:szCs w:val="18"/>
          <w:lang w:val="en-GB"/>
        </w:rPr>
      </w:pPr>
      <w:r>
        <w:rPr>
          <w:rFonts w:ascii="Aptos" w:hAnsi="Aptos"/>
          <w:sz w:val="18"/>
          <w:szCs w:val="18"/>
          <w:lang w:val="en-GB"/>
        </w:rPr>
        <w:t>Treaty of Amsterdam</w:t>
      </w:r>
    </w:p>
    <w:p w14:paraId="604957C2" w14:textId="68655698" w:rsidR="00357B04" w:rsidRPr="00437609" w:rsidRDefault="00000000" w:rsidP="00357B04">
      <w:pPr>
        <w:pStyle w:val="ListParagraph"/>
        <w:ind w:left="360"/>
        <w:jc w:val="both"/>
        <w:rPr>
          <w:rStyle w:val="Hyperlink"/>
          <w:rFonts w:ascii="Aptos" w:hAnsi="Aptos"/>
          <w:sz w:val="18"/>
          <w:szCs w:val="18"/>
          <w:lang w:val="en-GB"/>
        </w:rPr>
      </w:pPr>
      <w:hyperlink r:id="rId32" w:history="1">
        <w:r w:rsidR="00357B04">
          <w:rPr>
            <w:rStyle w:val="Hyperlink"/>
            <w:rFonts w:ascii="Aptos" w:hAnsi="Aptos"/>
            <w:sz w:val="18"/>
            <w:szCs w:val="18"/>
            <w:lang w:val="en-GB"/>
          </w:rPr>
          <w:t>https://eur-lex.europa.eu/legal-content/EN/TXT/PDF/?uri=CELEX:11997D/TXT</w:t>
        </w:r>
      </w:hyperlink>
    </w:p>
    <w:p w14:paraId="678EC358" w14:textId="77777777" w:rsidR="00357B04" w:rsidRPr="00357B04" w:rsidRDefault="00357B04" w:rsidP="0050443A">
      <w:pPr>
        <w:rPr>
          <w:lang w:val="en-GB"/>
        </w:rPr>
      </w:pPr>
    </w:p>
    <w:p w14:paraId="54968FA7" w14:textId="77777777" w:rsidR="00357B04" w:rsidRPr="00DD41B6" w:rsidRDefault="00357B04" w:rsidP="0050443A">
      <w:pPr>
        <w:rPr>
          <w:rFonts w:ascii="Aptos" w:hAnsi="Aptos"/>
          <w:lang w:val="en-GB"/>
        </w:rPr>
      </w:pPr>
    </w:p>
    <w:p w14:paraId="7075D01A" w14:textId="77777777" w:rsidR="0082018A" w:rsidRDefault="0082018A" w:rsidP="0050443A">
      <w:pPr>
        <w:rPr>
          <w:rFonts w:ascii="Aptos" w:hAnsi="Aptos"/>
          <w:lang w:val="en-GB"/>
        </w:rPr>
      </w:pPr>
    </w:p>
    <w:p w14:paraId="45AB378D" w14:textId="77777777" w:rsidR="00DD41B6" w:rsidRDefault="00DD41B6" w:rsidP="0050443A">
      <w:pPr>
        <w:rPr>
          <w:rFonts w:ascii="Aptos" w:hAnsi="Aptos"/>
          <w:lang w:val="en-GB"/>
        </w:rPr>
      </w:pPr>
    </w:p>
    <w:p w14:paraId="24BE407B" w14:textId="77777777" w:rsidR="00DD41B6" w:rsidRDefault="00DD41B6" w:rsidP="0050443A">
      <w:pPr>
        <w:rPr>
          <w:rFonts w:ascii="Aptos" w:hAnsi="Aptos"/>
          <w:lang w:val="en-GB"/>
        </w:rPr>
      </w:pPr>
    </w:p>
    <w:p w14:paraId="4C9242AE" w14:textId="77777777" w:rsidR="00DD41B6" w:rsidRDefault="00DD41B6" w:rsidP="0050443A">
      <w:pPr>
        <w:rPr>
          <w:rFonts w:ascii="Aptos" w:hAnsi="Aptos"/>
          <w:lang w:val="en-GB"/>
        </w:rPr>
      </w:pPr>
    </w:p>
    <w:p w14:paraId="6451380B" w14:textId="77777777" w:rsidR="00DD41B6" w:rsidRDefault="00DD41B6" w:rsidP="0050443A">
      <w:pPr>
        <w:rPr>
          <w:rFonts w:ascii="Aptos" w:hAnsi="Aptos"/>
          <w:lang w:val="en-GB"/>
        </w:rPr>
      </w:pPr>
    </w:p>
    <w:p w14:paraId="157C313A" w14:textId="77777777" w:rsidR="00DD41B6" w:rsidRPr="00DD41B6" w:rsidRDefault="00DD41B6" w:rsidP="0050443A">
      <w:pPr>
        <w:rPr>
          <w:rFonts w:ascii="Aptos" w:hAnsi="Aptos"/>
          <w:lang w:val="en-GB"/>
        </w:rPr>
      </w:pPr>
    </w:p>
    <w:p w14:paraId="503DCB1B" w14:textId="7F5140B7" w:rsidR="0073336A" w:rsidRPr="0050443A" w:rsidRDefault="00FA10A4" w:rsidP="00DD41B6">
      <w:pPr>
        <w:pStyle w:val="Heading1"/>
        <w:rPr>
          <w:i/>
          <w:iCs/>
          <w:sz w:val="22"/>
          <w:szCs w:val="22"/>
          <w:u w:val="single"/>
        </w:rPr>
      </w:pPr>
      <w:bookmarkStart w:id="15" w:name="_Toc170377506"/>
      <w:r w:rsidRPr="0050443A">
        <w:t xml:space="preserve">Objektförderung </w:t>
      </w:r>
      <w:r w:rsidR="00DD3218">
        <w:t xml:space="preserve">vor </w:t>
      </w:r>
      <w:r w:rsidRPr="0050443A">
        <w:t>Subjektförderung im Wohnbau</w:t>
      </w:r>
      <w:bookmarkEnd w:id="15"/>
    </w:p>
    <w:tbl>
      <w:tblPr>
        <w:tblStyle w:val="TableGrid"/>
        <w:tblW w:w="0" w:type="auto"/>
        <w:tblInd w:w="108" w:type="dxa"/>
        <w:tblLook w:val="04A0" w:firstRow="1" w:lastRow="0" w:firstColumn="1" w:lastColumn="0" w:noHBand="0" w:noVBand="1"/>
      </w:tblPr>
      <w:tblGrid>
        <w:gridCol w:w="9060"/>
      </w:tblGrid>
      <w:tr w:rsidR="0073336A" w:rsidRPr="0050443A" w14:paraId="05F24E42" w14:textId="77777777" w:rsidTr="00715DD3">
        <w:tc>
          <w:tcPr>
            <w:tcW w:w="9060" w:type="dxa"/>
            <w:shd w:val="clear" w:color="auto" w:fill="D9D9D9" w:themeFill="background1" w:themeFillShade="D9"/>
          </w:tcPr>
          <w:p w14:paraId="6DA59FDA" w14:textId="1B363383" w:rsidR="0073336A" w:rsidRPr="0050443A" w:rsidRDefault="0073336A" w:rsidP="00072582">
            <w:pPr>
              <w:spacing w:before="120" w:after="120"/>
              <w:jc w:val="both"/>
              <w:rPr>
                <w:rFonts w:ascii="Aptos" w:hAnsi="Aptos"/>
                <w:b/>
                <w:iCs/>
                <w:sz w:val="22"/>
                <w:szCs w:val="22"/>
              </w:rPr>
            </w:pPr>
            <w:r w:rsidRPr="0050443A">
              <w:rPr>
                <w:rFonts w:ascii="Aptos" w:hAnsi="Aptos"/>
                <w:b/>
                <w:iCs/>
                <w:sz w:val="22"/>
                <w:szCs w:val="22"/>
              </w:rPr>
              <w:t>Frage</w:t>
            </w:r>
          </w:p>
        </w:tc>
      </w:tr>
      <w:tr w:rsidR="0073336A" w:rsidRPr="0050443A" w14:paraId="75E58062" w14:textId="77777777" w:rsidTr="00715DD3">
        <w:tc>
          <w:tcPr>
            <w:tcW w:w="9060" w:type="dxa"/>
          </w:tcPr>
          <w:p w14:paraId="0CCED59C" w14:textId="00BAEBE5" w:rsidR="0073336A" w:rsidRPr="00DD3218" w:rsidRDefault="00DD41B6" w:rsidP="00DD3218">
            <w:pPr>
              <w:spacing w:before="120" w:after="120"/>
              <w:jc w:val="both"/>
              <w:rPr>
                <w:rFonts w:ascii="Aptos" w:hAnsi="Aptos"/>
                <w:b/>
                <w:bCs/>
                <w:sz w:val="22"/>
                <w:szCs w:val="22"/>
              </w:rPr>
            </w:pPr>
            <w:r w:rsidRPr="00DD41B6">
              <w:rPr>
                <w:rFonts w:ascii="Aptos" w:hAnsi="Aptos" w:cs="Segoe UI"/>
                <w:color w:val="0D0D0D"/>
                <w:sz w:val="22"/>
                <w:szCs w:val="22"/>
                <w:shd w:val="clear" w:color="auto" w:fill="FFFFFF"/>
              </w:rPr>
              <w:t xml:space="preserve">Die Objektförderung umfasst direkte finanzielle Unterstützung für den Bau oder die Modernisierung von Wohnungen und Gebäuden. Die Subjektförderung hingegen zielt auf finanzielle Unterstützung oder Anreize für Einzelpersonen oder Haushalte ab. Kritiker:innen der Subjektförderung weisen darauf hin, dass diese Förderung für sozial vulnerable Personengruppen nicht effizient und effektiv ist. Der Nutzen ist kurzfristig und kommt </w:t>
            </w:r>
            <w:r>
              <w:rPr>
                <w:rFonts w:ascii="Aptos" w:hAnsi="Aptos" w:cs="Segoe UI"/>
                <w:color w:val="0D0D0D"/>
                <w:sz w:val="22"/>
                <w:szCs w:val="22"/>
                <w:shd w:val="clear" w:color="auto" w:fill="FFFFFF"/>
              </w:rPr>
              <w:t xml:space="preserve">in den meisten Fällen </w:t>
            </w:r>
            <w:r w:rsidRPr="00DD41B6">
              <w:rPr>
                <w:rFonts w:ascii="Aptos" w:hAnsi="Aptos" w:cs="Segoe UI"/>
                <w:color w:val="0D0D0D"/>
                <w:sz w:val="22"/>
                <w:szCs w:val="22"/>
                <w:shd w:val="clear" w:color="auto" w:fill="FFFFFF"/>
              </w:rPr>
              <w:t>direkt den Eigentümer:innen zugute, ohne dass diese Mittel nachhaltig investiert werden.</w:t>
            </w:r>
            <w:r>
              <w:rPr>
                <w:rFonts w:ascii="Aptos" w:hAnsi="Aptos" w:cs="Segoe UI"/>
                <w:color w:val="0D0D0D"/>
                <w:sz w:val="22"/>
                <w:szCs w:val="22"/>
                <w:shd w:val="clear" w:color="auto" w:fill="FFFFFF"/>
              </w:rPr>
              <w:t xml:space="preserve"> </w:t>
            </w:r>
            <w:r w:rsidR="00DD3218" w:rsidRPr="00DD3218">
              <w:rPr>
                <w:rFonts w:ascii="Aptos" w:hAnsi="Aptos" w:cs="Segoe UI"/>
                <w:b/>
                <w:bCs/>
                <w:color w:val="0D0D0D"/>
                <w:sz w:val="22"/>
                <w:szCs w:val="22"/>
                <w:shd w:val="clear" w:color="auto" w:fill="FFFFFF"/>
              </w:rPr>
              <w:t>Sehen Sie eine Anpassung des Beihilferechts vor, um die staatlichen Förderungen im Wohnungsbau von Förderungen, die sich auf die Mieter:innen beziehen (Subjektförderung), auf Förderungen für bauliche Maßnahmen und Infrastruktur (Objektförderung) umzulenken?</w:t>
            </w:r>
          </w:p>
        </w:tc>
      </w:tr>
      <w:tr w:rsidR="0073336A" w:rsidRPr="0050443A" w14:paraId="1116A150" w14:textId="77777777" w:rsidTr="00715DD3">
        <w:tc>
          <w:tcPr>
            <w:tcW w:w="9060" w:type="dxa"/>
            <w:shd w:val="clear" w:color="auto" w:fill="D9D9D9" w:themeFill="background1" w:themeFillShade="D9"/>
          </w:tcPr>
          <w:p w14:paraId="007B3115" w14:textId="08BB0242" w:rsidR="0073336A" w:rsidRPr="0050443A" w:rsidRDefault="0073336A" w:rsidP="00072582">
            <w:pPr>
              <w:spacing w:before="120" w:after="120"/>
              <w:jc w:val="both"/>
              <w:rPr>
                <w:rFonts w:ascii="Aptos" w:hAnsi="Aptos"/>
                <w:b/>
                <w:bCs/>
                <w:sz w:val="22"/>
                <w:szCs w:val="22"/>
              </w:rPr>
            </w:pPr>
            <w:r w:rsidRPr="0050443A">
              <w:rPr>
                <w:rFonts w:ascii="Aptos" w:hAnsi="Aptos"/>
                <w:b/>
                <w:bCs/>
                <w:sz w:val="22"/>
                <w:szCs w:val="22"/>
              </w:rPr>
              <w:t>Nachfrage</w:t>
            </w:r>
          </w:p>
        </w:tc>
      </w:tr>
      <w:tr w:rsidR="0073336A" w:rsidRPr="0050443A" w14:paraId="5CC97992" w14:textId="77777777" w:rsidTr="00715DD3">
        <w:tc>
          <w:tcPr>
            <w:tcW w:w="9060" w:type="dxa"/>
          </w:tcPr>
          <w:p w14:paraId="045B809E" w14:textId="1DDCC3AE" w:rsidR="00DD3218" w:rsidRPr="00DD3218" w:rsidRDefault="00DD3218" w:rsidP="00DD3218">
            <w:pPr>
              <w:pStyle w:val="ListParagraph"/>
              <w:numPr>
                <w:ilvl w:val="0"/>
                <w:numId w:val="92"/>
              </w:numPr>
              <w:spacing w:before="120" w:after="120"/>
              <w:jc w:val="both"/>
              <w:rPr>
                <w:rFonts w:ascii="Aptos" w:hAnsi="Aptos"/>
                <w:sz w:val="22"/>
                <w:szCs w:val="22"/>
              </w:rPr>
            </w:pPr>
            <w:r w:rsidRPr="00DD3218">
              <w:rPr>
                <w:rFonts w:ascii="Aptos" w:hAnsi="Aptos"/>
                <w:sz w:val="22"/>
                <w:szCs w:val="22"/>
              </w:rPr>
              <w:t>Planen Sie EU-Programme und Förderungen, die auf die Bereitstellung von leistbarem Wohnraum für sozial schwache Gruppen abzielen?</w:t>
            </w:r>
          </w:p>
          <w:p w14:paraId="2C3733C3" w14:textId="2948886F" w:rsidR="0073336A" w:rsidRPr="00DD3218" w:rsidRDefault="00DD3218" w:rsidP="00DD3218">
            <w:pPr>
              <w:pStyle w:val="ListParagraph"/>
              <w:numPr>
                <w:ilvl w:val="0"/>
                <w:numId w:val="92"/>
              </w:numPr>
              <w:spacing w:before="120" w:after="120"/>
              <w:jc w:val="both"/>
              <w:rPr>
                <w:rFonts w:ascii="Aptos" w:hAnsi="Aptos"/>
                <w:sz w:val="22"/>
                <w:szCs w:val="22"/>
              </w:rPr>
            </w:pPr>
            <w:r w:rsidRPr="00DD3218">
              <w:rPr>
                <w:rFonts w:ascii="Aptos" w:hAnsi="Aptos"/>
                <w:sz w:val="22"/>
                <w:szCs w:val="22"/>
              </w:rPr>
              <w:t>Wie wollen Sie sicherstellen, dass die Mittel für sozial vulnerable Gruppen in Form von Subjektförderungen keine Rebound-Effekte auslösen? (z.B. Miet- und Wohnungspreise steigen weiter)</w:t>
            </w:r>
          </w:p>
        </w:tc>
      </w:tr>
    </w:tbl>
    <w:p w14:paraId="1DE29374" w14:textId="77777777" w:rsidR="004F4876" w:rsidRDefault="004F4876" w:rsidP="0073336A">
      <w:pPr>
        <w:spacing w:after="120"/>
        <w:jc w:val="both"/>
        <w:rPr>
          <w:rFonts w:ascii="Times New Roman" w:eastAsia="Times New Roman" w:hAnsi="Times New Roman" w:cs="Times New Roman"/>
          <w:lang w:eastAsia="de-DE"/>
        </w:rPr>
      </w:pPr>
    </w:p>
    <w:tbl>
      <w:tblPr>
        <w:tblStyle w:val="TableNormal1"/>
        <w:tblW w:w="0" w:type="auto"/>
        <w:tblLayout w:type="fixed"/>
        <w:tblLook w:val="01E0" w:firstRow="1" w:lastRow="1" w:firstColumn="1" w:lastColumn="1" w:noHBand="0" w:noVBand="0"/>
      </w:tblPr>
      <w:tblGrid>
        <w:gridCol w:w="9066"/>
      </w:tblGrid>
      <w:tr w:rsidR="00715DD3" w:rsidRPr="009B5839" w14:paraId="19217A35" w14:textId="77777777" w:rsidTr="003D4657">
        <w:trPr>
          <w:trHeight w:val="277"/>
        </w:trPr>
        <w:tc>
          <w:tcPr>
            <w:tcW w:w="9066" w:type="dxa"/>
            <w:shd w:val="clear" w:color="auto" w:fill="D9D9D9"/>
          </w:tcPr>
          <w:p w14:paraId="479ACFC4" w14:textId="77777777" w:rsidR="00715DD3" w:rsidRPr="009B5839" w:rsidRDefault="00715DD3" w:rsidP="003D4657">
            <w:pPr>
              <w:pStyle w:val="TableParagraph"/>
              <w:spacing w:line="258" w:lineRule="exact"/>
              <w:ind w:left="0"/>
              <w:rPr>
                <w:rFonts w:ascii="Aptos" w:hAnsi="Aptos"/>
                <w:b/>
                <w:sz w:val="24"/>
              </w:rPr>
            </w:pPr>
            <w:r>
              <w:rPr>
                <w:rFonts w:ascii="Aptos" w:hAnsi="Aptos"/>
                <w:b/>
                <w:sz w:val="24"/>
              </w:rPr>
              <w:t>Hintergrundinformationen</w:t>
            </w:r>
          </w:p>
        </w:tc>
      </w:tr>
    </w:tbl>
    <w:p w14:paraId="38B9518F" w14:textId="0C86FE01" w:rsidR="008F559E" w:rsidRPr="0050443A" w:rsidRDefault="00353C4A" w:rsidP="00353C4A">
      <w:pPr>
        <w:jc w:val="both"/>
        <w:rPr>
          <w:rFonts w:ascii="Aptos" w:hAnsi="Aptos"/>
          <w:bCs/>
          <w:sz w:val="22"/>
          <w:szCs w:val="22"/>
        </w:rPr>
      </w:pPr>
      <w:r w:rsidRPr="00353C4A">
        <w:rPr>
          <w:rFonts w:ascii="Aptos" w:hAnsi="Aptos"/>
          <w:sz w:val="22"/>
          <w:szCs w:val="22"/>
        </w:rPr>
        <w:t>Die Unterscheidung zwischen Objekt- und Subjektförderung im Bereich des Wohnungsbaus ist keinesfalls unerheblich.  Im Rahmen der Objektförderung erfolgt eine direkte finanzielle Unterstützung für den Bau oder die Modernisierung von Wohnungen und Gebäuden. Die Subjektförderung hingegen zielt auf finanzielle Unterstützung oder Anreize für Einzelpersonen oder Haushalte ab. Kritiker der Subjektförderung weisen darauf hin, dass diese Art der Förderung für sozial vulnerablen Personengruppen möglicherweise nicht effizient und effektiv ist. Ihre Argumentation basiert auf der Annahme, dass Subjektförderungen für sozial schwächere Gruppen keinen langfristigen Nutzen bringen und direkt den Eigentümer zugutekommen, ohne dass diese Mittel nachhaltig investiert werden. Im Gegensatz zur Subjektförderung, die sich auf die Förderung einzelner Personen konzentriert, zielt die Objektförderung auf bauliche Maßnahmen und Infrastruktur ab. Dadurch können die Wohnsituation langfristig verbessert und nachhaltige Investitionen in den Wohnungsmarkt getätigt werden. Aus Perspektive der Daseinsvorsorge ist es von entscheidender Bedeutung, kommunale und gemeinnützige Wohnbauträger in ihrer Rolle zur Schaffung leistbaren Wohnraums zu stärken. In diesem Zusammenhang ist es erforderlich, das Beihilferecht zu optimieren, um staatliche Förderungen im Wohnungsbau verstärkt auf Förderungen für bauliche Maßnahmen und Infrastruktur (Objektförderung) zu lenken. Des Weiteren sind EU-Mittel von Bedeutung, damit speziell für vulnerable Gruppen auch energieeffizienter und gut sanierter Wohnraum bereitgestellt werden kann, ohne dass diese Kosten auf die Mieten umgelegt werden. Aus Sicht der Daseinsvorsorge ist eine gerechte Energiewende von entscheidender Bedeutung. Die Gewährleistung eines Zugangs zu energieeffizientem und nachhaltigem Wohnen für alle Menschen ohne Beeinträchtigung der Lebensqualität ist dabei von besonderer Bedeutung.</w:t>
      </w:r>
      <w:r w:rsidR="008F559E" w:rsidRPr="0050443A">
        <w:rPr>
          <w:rFonts w:ascii="Aptos" w:hAnsi="Aptos"/>
          <w:bCs/>
          <w:sz w:val="22"/>
          <w:szCs w:val="22"/>
        </w:rPr>
        <w:br w:type="page"/>
      </w:r>
    </w:p>
    <w:p w14:paraId="1BD1898C" w14:textId="77777777" w:rsidR="0073336A" w:rsidRPr="0050443A" w:rsidRDefault="0073336A" w:rsidP="0073336A">
      <w:pPr>
        <w:spacing w:after="120"/>
        <w:jc w:val="both"/>
        <w:rPr>
          <w:rFonts w:ascii="Aptos" w:hAnsi="Aptos"/>
          <w:bCs/>
          <w:iCs/>
          <w:sz w:val="22"/>
          <w:szCs w:val="22"/>
        </w:rPr>
      </w:pPr>
    </w:p>
    <w:p w14:paraId="3F925EB6" w14:textId="77777777" w:rsidR="00DD3218" w:rsidRPr="0050443A" w:rsidRDefault="00DD3218" w:rsidP="0050443A">
      <w:pPr>
        <w:rPr>
          <w:rFonts w:ascii="Aptos" w:hAnsi="Aptos"/>
        </w:rPr>
      </w:pPr>
    </w:p>
    <w:p w14:paraId="7059F3E4" w14:textId="1A48B355" w:rsidR="00FA10A4" w:rsidRPr="0050443A" w:rsidRDefault="00FA10A4" w:rsidP="008F559E">
      <w:pPr>
        <w:spacing w:after="120"/>
        <w:jc w:val="both"/>
        <w:rPr>
          <w:rFonts w:ascii="Aptos" w:hAnsi="Aptos"/>
          <w:i/>
          <w:iCs/>
          <w:sz w:val="22"/>
          <w:szCs w:val="22"/>
          <w:u w:val="single"/>
        </w:rPr>
      </w:pPr>
      <w:r w:rsidRPr="0050443A">
        <w:rPr>
          <w:rFonts w:ascii="Aptos" w:eastAsiaTheme="majorEastAsia" w:hAnsi="Aptos" w:cstheme="majorBidi"/>
          <w:b/>
          <w:color w:val="E4342D"/>
          <w:szCs w:val="32"/>
        </w:rPr>
        <w:t xml:space="preserve">Soziale- und ökologische </w:t>
      </w:r>
      <w:r w:rsidR="00FC4A11" w:rsidRPr="0050443A">
        <w:rPr>
          <w:rFonts w:ascii="Aptos" w:eastAsiaTheme="majorEastAsia" w:hAnsi="Aptos" w:cstheme="majorBidi"/>
          <w:b/>
          <w:color w:val="E4342D"/>
          <w:szCs w:val="32"/>
        </w:rPr>
        <w:t>Kriterien</w:t>
      </w:r>
      <w:r w:rsidRPr="0050443A">
        <w:rPr>
          <w:rFonts w:ascii="Aptos" w:eastAsiaTheme="majorEastAsia" w:hAnsi="Aptos" w:cstheme="majorBidi"/>
          <w:b/>
          <w:color w:val="E4342D"/>
          <w:szCs w:val="32"/>
        </w:rPr>
        <w:t xml:space="preserve"> im Wohn</w:t>
      </w:r>
      <w:r w:rsidR="00DD3218">
        <w:rPr>
          <w:rFonts w:ascii="Aptos" w:eastAsiaTheme="majorEastAsia" w:hAnsi="Aptos" w:cstheme="majorBidi"/>
          <w:b/>
          <w:color w:val="E4342D"/>
          <w:szCs w:val="32"/>
        </w:rPr>
        <w:t>ungs</w:t>
      </w:r>
      <w:r w:rsidRPr="0050443A">
        <w:rPr>
          <w:rFonts w:ascii="Aptos" w:eastAsiaTheme="majorEastAsia" w:hAnsi="Aptos" w:cstheme="majorBidi"/>
          <w:b/>
          <w:color w:val="E4342D"/>
          <w:szCs w:val="32"/>
        </w:rPr>
        <w:t>bau</w:t>
      </w:r>
    </w:p>
    <w:tbl>
      <w:tblPr>
        <w:tblStyle w:val="TableGrid"/>
        <w:tblW w:w="0" w:type="auto"/>
        <w:tblInd w:w="108" w:type="dxa"/>
        <w:tblLook w:val="04A0" w:firstRow="1" w:lastRow="0" w:firstColumn="1" w:lastColumn="0" w:noHBand="0" w:noVBand="1"/>
      </w:tblPr>
      <w:tblGrid>
        <w:gridCol w:w="9060"/>
      </w:tblGrid>
      <w:tr w:rsidR="008F559E" w:rsidRPr="0050443A" w14:paraId="36655A0E" w14:textId="77777777" w:rsidTr="00715DD3">
        <w:tc>
          <w:tcPr>
            <w:tcW w:w="9060" w:type="dxa"/>
            <w:shd w:val="clear" w:color="auto" w:fill="D9D9D9" w:themeFill="background1" w:themeFillShade="D9"/>
          </w:tcPr>
          <w:p w14:paraId="6AE38B56" w14:textId="013F1C0F" w:rsidR="008F559E" w:rsidRPr="0050443A" w:rsidRDefault="008F559E" w:rsidP="00072582">
            <w:pPr>
              <w:spacing w:before="120" w:after="120"/>
              <w:jc w:val="both"/>
              <w:rPr>
                <w:rFonts w:ascii="Aptos" w:hAnsi="Aptos"/>
                <w:b/>
                <w:iCs/>
                <w:sz w:val="22"/>
                <w:szCs w:val="22"/>
              </w:rPr>
            </w:pPr>
            <w:r w:rsidRPr="0050443A">
              <w:rPr>
                <w:rFonts w:ascii="Aptos" w:hAnsi="Aptos"/>
                <w:b/>
                <w:iCs/>
                <w:sz w:val="22"/>
                <w:szCs w:val="22"/>
              </w:rPr>
              <w:t xml:space="preserve">Frage </w:t>
            </w:r>
          </w:p>
        </w:tc>
      </w:tr>
      <w:tr w:rsidR="008F559E" w:rsidRPr="0050443A" w14:paraId="13EA8B03" w14:textId="77777777" w:rsidTr="00715DD3">
        <w:tc>
          <w:tcPr>
            <w:tcW w:w="9060" w:type="dxa"/>
          </w:tcPr>
          <w:p w14:paraId="535F8E7F" w14:textId="2BB19BEF" w:rsidR="008F559E" w:rsidRPr="0050443A" w:rsidRDefault="00353C4A" w:rsidP="00DD3218">
            <w:pPr>
              <w:spacing w:after="160" w:line="259" w:lineRule="auto"/>
              <w:jc w:val="both"/>
              <w:rPr>
                <w:rFonts w:ascii="Aptos" w:hAnsi="Aptos"/>
                <w:b/>
                <w:bCs/>
                <w:sz w:val="22"/>
                <w:szCs w:val="22"/>
              </w:rPr>
            </w:pPr>
            <w:r w:rsidRPr="00353C4A">
              <w:rPr>
                <w:rFonts w:ascii="Aptos" w:hAnsi="Aptos" w:cs="Segoe UI"/>
                <w:color w:val="0D0D0D"/>
                <w:sz w:val="22"/>
                <w:szCs w:val="22"/>
                <w:shd w:val="clear" w:color="auto" w:fill="FFFFFF"/>
              </w:rPr>
              <w:t>Sozial-ökologische Kriterien im Wohnungsbau sind von entscheidender Bedeutung, um sicherzustellen, dass Wohnprojekte sowohl der Umwelt als auch den Menschen zugute kommen. Die Integration solcher Kriterien ermöglicht es Wohnprojekten, umweltfreundliche Praktiken zu fördern, die Gesundheit und das Wohlbefinden der Bewohner zu verbessern und soziale Ungleichheiten zu verringern</w:t>
            </w:r>
            <w:r>
              <w:rPr>
                <w:rFonts w:ascii="Aptos" w:hAnsi="Aptos" w:cs="Segoe UI"/>
                <w:color w:val="0D0D0D"/>
                <w:sz w:val="22"/>
                <w:szCs w:val="22"/>
                <w:shd w:val="clear" w:color="auto" w:fill="FFFFFF"/>
              </w:rPr>
              <w:t xml:space="preserve">. </w:t>
            </w:r>
            <w:r w:rsidR="00DD3218" w:rsidRPr="00DD3218">
              <w:rPr>
                <w:rFonts w:ascii="Aptos" w:hAnsi="Aptos" w:cs="Segoe UI"/>
                <w:b/>
                <w:bCs/>
                <w:color w:val="0D0D0D"/>
                <w:sz w:val="22"/>
                <w:szCs w:val="22"/>
                <w:shd w:val="clear" w:color="auto" w:fill="FFFFFF"/>
              </w:rPr>
              <w:t>Wie wollen Sie sicherstellen, dass soziale und ökologische Kriterien in künftigen EU-Programmen zur Förderung des Wohnungsbaus berücksichtigt werden?</w:t>
            </w:r>
          </w:p>
        </w:tc>
      </w:tr>
      <w:tr w:rsidR="008F559E" w:rsidRPr="0050443A" w14:paraId="62E36264" w14:textId="77777777" w:rsidTr="00715DD3">
        <w:tc>
          <w:tcPr>
            <w:tcW w:w="9060" w:type="dxa"/>
            <w:shd w:val="clear" w:color="auto" w:fill="D9D9D9" w:themeFill="background1" w:themeFillShade="D9"/>
          </w:tcPr>
          <w:p w14:paraId="27E3A2A5" w14:textId="188D20FC" w:rsidR="008F559E" w:rsidRPr="0050443A" w:rsidRDefault="008F559E" w:rsidP="00072582">
            <w:pPr>
              <w:spacing w:before="120" w:after="120"/>
              <w:jc w:val="both"/>
              <w:rPr>
                <w:rFonts w:ascii="Aptos" w:hAnsi="Aptos"/>
                <w:b/>
                <w:bCs/>
                <w:sz w:val="22"/>
                <w:szCs w:val="22"/>
              </w:rPr>
            </w:pPr>
            <w:r w:rsidRPr="0050443A">
              <w:rPr>
                <w:rFonts w:ascii="Aptos" w:hAnsi="Aptos"/>
                <w:b/>
                <w:bCs/>
                <w:sz w:val="22"/>
                <w:szCs w:val="22"/>
              </w:rPr>
              <w:t>Nachfrage</w:t>
            </w:r>
          </w:p>
        </w:tc>
      </w:tr>
      <w:tr w:rsidR="008F559E" w:rsidRPr="0050443A" w14:paraId="38DB8786" w14:textId="77777777" w:rsidTr="00715DD3">
        <w:tc>
          <w:tcPr>
            <w:tcW w:w="9060" w:type="dxa"/>
          </w:tcPr>
          <w:p w14:paraId="5ED4921B" w14:textId="314A47AB" w:rsidR="00DD3218" w:rsidRPr="00DD3218" w:rsidRDefault="00DD3218" w:rsidP="00DD3218">
            <w:pPr>
              <w:pStyle w:val="ListParagraph"/>
              <w:numPr>
                <w:ilvl w:val="0"/>
                <w:numId w:val="93"/>
              </w:numPr>
              <w:spacing w:before="120" w:after="120"/>
              <w:jc w:val="both"/>
              <w:rPr>
                <w:rFonts w:ascii="Aptos" w:hAnsi="Aptos"/>
                <w:sz w:val="22"/>
                <w:szCs w:val="22"/>
              </w:rPr>
            </w:pPr>
            <w:r w:rsidRPr="00DD3218">
              <w:rPr>
                <w:rFonts w:ascii="Aptos" w:hAnsi="Aptos"/>
                <w:sz w:val="22"/>
                <w:szCs w:val="22"/>
              </w:rPr>
              <w:t>Welche Initiativen sind geplant, um sozial-ökologische Kriterien im Wohnungsbau zu verankern?</w:t>
            </w:r>
          </w:p>
          <w:p w14:paraId="5F5E54CD" w14:textId="77777777" w:rsidR="001B7DE3" w:rsidRDefault="001B7DE3" w:rsidP="00DD3218">
            <w:pPr>
              <w:pStyle w:val="ListParagraph"/>
              <w:numPr>
                <w:ilvl w:val="0"/>
                <w:numId w:val="93"/>
              </w:numPr>
              <w:spacing w:before="120" w:after="120"/>
              <w:jc w:val="both"/>
              <w:rPr>
                <w:rFonts w:ascii="Aptos" w:hAnsi="Aptos"/>
                <w:sz w:val="22"/>
                <w:szCs w:val="22"/>
              </w:rPr>
            </w:pPr>
            <w:r w:rsidRPr="001B7DE3">
              <w:rPr>
                <w:rFonts w:ascii="Aptos" w:hAnsi="Aptos"/>
                <w:sz w:val="22"/>
                <w:szCs w:val="22"/>
              </w:rPr>
              <w:t>Planen Sie die Einrichtung eines zweckgebundenen Wohnbau-Fonds auf europäischer Ebene, um Investitionen in den Ausbau des sozialen Wohnbaus und die thermische Sanierung zu fördern?</w:t>
            </w:r>
          </w:p>
          <w:p w14:paraId="484276FC" w14:textId="0A1663C8" w:rsidR="00076223" w:rsidRPr="00DD3218" w:rsidRDefault="00076223" w:rsidP="00076223">
            <w:pPr>
              <w:pStyle w:val="ListParagraph"/>
              <w:numPr>
                <w:ilvl w:val="0"/>
                <w:numId w:val="93"/>
              </w:numPr>
              <w:spacing w:before="120" w:after="120"/>
              <w:jc w:val="both"/>
              <w:rPr>
                <w:rFonts w:ascii="Aptos" w:hAnsi="Aptos"/>
                <w:sz w:val="22"/>
                <w:szCs w:val="22"/>
              </w:rPr>
            </w:pPr>
            <w:r w:rsidRPr="00DD3218">
              <w:rPr>
                <w:rFonts w:ascii="Aptos" w:hAnsi="Aptos"/>
                <w:sz w:val="22"/>
                <w:szCs w:val="22"/>
              </w:rPr>
              <w:t>Mit welchen Maßnahmen wollen Sie die Einhaltung dieser Kriterien kontrollieren und sicherstellen?</w:t>
            </w:r>
          </w:p>
        </w:tc>
      </w:tr>
    </w:tbl>
    <w:p w14:paraId="58EB01AF" w14:textId="77777777" w:rsidR="008F559E" w:rsidRPr="0050443A" w:rsidRDefault="008F559E" w:rsidP="00076223">
      <w:pPr>
        <w:spacing w:after="120"/>
        <w:jc w:val="both"/>
        <w:rPr>
          <w:rFonts w:ascii="Aptos" w:hAnsi="Aptos"/>
          <w:i/>
          <w:iCs/>
          <w:sz w:val="22"/>
          <w:szCs w:val="22"/>
          <w:u w:val="single"/>
        </w:rPr>
      </w:pPr>
    </w:p>
    <w:tbl>
      <w:tblPr>
        <w:tblStyle w:val="TableNormal1"/>
        <w:tblW w:w="0" w:type="auto"/>
        <w:tblLayout w:type="fixed"/>
        <w:tblLook w:val="01E0" w:firstRow="1" w:lastRow="1" w:firstColumn="1" w:lastColumn="1" w:noHBand="0" w:noVBand="0"/>
      </w:tblPr>
      <w:tblGrid>
        <w:gridCol w:w="9066"/>
      </w:tblGrid>
      <w:tr w:rsidR="00715DD3" w:rsidRPr="009B5839" w14:paraId="7F577BC1" w14:textId="77777777" w:rsidTr="003D4657">
        <w:trPr>
          <w:trHeight w:val="277"/>
        </w:trPr>
        <w:tc>
          <w:tcPr>
            <w:tcW w:w="9066" w:type="dxa"/>
            <w:shd w:val="clear" w:color="auto" w:fill="D9D9D9"/>
          </w:tcPr>
          <w:p w14:paraId="6568C4EC" w14:textId="77777777" w:rsidR="00715DD3" w:rsidRPr="009B5839" w:rsidRDefault="00715DD3" w:rsidP="003D4657">
            <w:pPr>
              <w:pStyle w:val="TableParagraph"/>
              <w:spacing w:line="258" w:lineRule="exact"/>
              <w:ind w:left="0"/>
              <w:rPr>
                <w:rFonts w:ascii="Aptos" w:hAnsi="Aptos"/>
                <w:b/>
                <w:sz w:val="24"/>
              </w:rPr>
            </w:pPr>
            <w:r>
              <w:rPr>
                <w:rFonts w:ascii="Aptos" w:hAnsi="Aptos"/>
                <w:b/>
                <w:sz w:val="24"/>
              </w:rPr>
              <w:t>Hintergrundinformationen</w:t>
            </w:r>
          </w:p>
        </w:tc>
      </w:tr>
    </w:tbl>
    <w:p w14:paraId="3567B95E" w14:textId="45D4028F" w:rsidR="00076223" w:rsidRPr="00715DD3" w:rsidRDefault="00076223" w:rsidP="00076223">
      <w:pPr>
        <w:jc w:val="both"/>
        <w:rPr>
          <w:rFonts w:ascii="Aptos" w:hAnsi="Aptos"/>
          <w:sz w:val="22"/>
          <w:szCs w:val="22"/>
        </w:rPr>
      </w:pPr>
      <w:r w:rsidRPr="00076223">
        <w:rPr>
          <w:rFonts w:ascii="Aptos" w:hAnsi="Aptos"/>
          <w:sz w:val="22"/>
          <w:szCs w:val="22"/>
        </w:rPr>
        <w:t>Der Gebäudesektor ist derzeit für 40 % des Energieverbrauchs und 36 % der Treibhausgasemissionen in der EU verantwortlich.</w:t>
      </w:r>
      <w:r w:rsidR="00353C4A">
        <w:rPr>
          <w:rFonts w:ascii="Aptos" w:hAnsi="Aptos"/>
          <w:sz w:val="22"/>
          <w:szCs w:val="22"/>
        </w:rPr>
        <w:t xml:space="preserve"> </w:t>
      </w:r>
      <w:r w:rsidRPr="00076223">
        <w:rPr>
          <w:rFonts w:ascii="Aptos" w:hAnsi="Aptos"/>
          <w:sz w:val="22"/>
          <w:szCs w:val="22"/>
        </w:rPr>
        <w:t>Somit stellt er einen zentralen Hebel zur Bekämpfung des Klimawandels und zur Erreichung der EU-Klimaziele dar. Die EU hat sich das ehrgeizige Ziel gesetzt, dass ab 2030 alle Neubauten Nullemissionsgebäude sein sollen</w:t>
      </w:r>
      <w:r>
        <w:rPr>
          <w:rFonts w:ascii="Aptos" w:hAnsi="Aptos"/>
          <w:sz w:val="22"/>
          <w:szCs w:val="22"/>
        </w:rPr>
        <w:t xml:space="preserve"> </w:t>
      </w:r>
      <w:r w:rsidRPr="00076223">
        <w:rPr>
          <w:rFonts w:ascii="Aptos" w:hAnsi="Aptos"/>
          <w:sz w:val="22"/>
          <w:szCs w:val="22"/>
          <w:vertAlign w:val="subscript"/>
        </w:rPr>
        <w:t>(1</w:t>
      </w:r>
      <w:r>
        <w:rPr>
          <w:rFonts w:ascii="Aptos" w:hAnsi="Aptos"/>
          <w:sz w:val="22"/>
          <w:szCs w:val="22"/>
          <w:vertAlign w:val="subscript"/>
        </w:rPr>
        <w:t>,2</w:t>
      </w:r>
      <w:r w:rsidRPr="00076223">
        <w:rPr>
          <w:rFonts w:ascii="Aptos" w:hAnsi="Aptos"/>
          <w:sz w:val="22"/>
          <w:szCs w:val="22"/>
          <w:vertAlign w:val="subscript"/>
        </w:rPr>
        <w:t>).</w:t>
      </w:r>
      <w:r w:rsidRPr="00076223">
        <w:rPr>
          <w:rFonts w:ascii="Aptos" w:hAnsi="Aptos"/>
          <w:sz w:val="22"/>
          <w:szCs w:val="22"/>
        </w:rPr>
        <w:t xml:space="preserve"> </w:t>
      </w:r>
      <w:r w:rsidR="00BD3840" w:rsidRPr="00076223">
        <w:rPr>
          <w:rFonts w:ascii="Aptos" w:hAnsi="Aptos"/>
          <w:sz w:val="22"/>
          <w:szCs w:val="22"/>
        </w:rPr>
        <w:t>Neben der bereits beschlossenen Richtlinie</w:t>
      </w:r>
      <w:r w:rsidR="00BD3840" w:rsidRPr="00BD3840">
        <w:rPr>
          <w:rFonts w:ascii="Aptos" w:hAnsi="Aptos"/>
          <w:sz w:val="22"/>
          <w:szCs w:val="22"/>
        </w:rPr>
        <w:t xml:space="preserve"> über die Gesamtenergieeffizienz von Gebäuden </w:t>
      </w:r>
      <w:r w:rsidRPr="00076223">
        <w:rPr>
          <w:rFonts w:ascii="Aptos" w:hAnsi="Aptos"/>
          <w:sz w:val="22"/>
          <w:szCs w:val="22"/>
        </w:rPr>
        <w:t>der EU sind auch soziale Ziele von entscheidender Bedeutung, um den gesellschaftspolitischen Zusammenhalt zu fördern. Der Wohnungsbau ist ein wichtiger Sektor, um den aktuellen sozial-ökologischen Herausforderungen zu begegnen. In diesem Zusammenhang stellt sich die Frage, welche EU-Initiativen und -Programme die Verankerung von sozial-ökologischen Kriterien fördern können. Als ein möglicher Ansatz kann die Förderung von Objekten im kommunalen und gemeinnützigen Wohnbau genannt werden. Ein zweckgebundener EU-weiter Wohnbaufonds könnte ebenfalls dazu beitragen, die thermisch-energetische Sanierung im sozialen Wohnbau zu verbessern. Aus Perspektive der Daseinsvorsorge ist ein breit gefächertes und ökologisch modernisiertes Angebot an leistbarem Wohnraum für breite Teile der Bevölkerung von entscheidender Bedeutung. Dafür sind transparente und kontrollierte sozial-ökologische Bedingungen beim Wohnungsbau sowie eine Stärkung der Rolle kommunaler und gemeinnütziger Akteure auf dem Wohnungsmarkt erforderlich.</w:t>
      </w:r>
    </w:p>
    <w:p w14:paraId="7D6C44B7" w14:textId="77777777" w:rsidR="00076223" w:rsidRDefault="00076223" w:rsidP="00325640">
      <w:pPr>
        <w:rPr>
          <w:rFonts w:ascii="Aptos" w:hAnsi="Aptos"/>
          <w:bCs/>
          <w:sz w:val="22"/>
          <w:szCs w:val="22"/>
        </w:rPr>
      </w:pPr>
    </w:p>
    <w:p w14:paraId="7C7F722E" w14:textId="77777777" w:rsidR="00076223" w:rsidRPr="00A0603B" w:rsidRDefault="00076223" w:rsidP="00076223">
      <w:pPr>
        <w:pStyle w:val="ListParagraph"/>
        <w:numPr>
          <w:ilvl w:val="0"/>
          <w:numId w:val="109"/>
        </w:numPr>
        <w:jc w:val="both"/>
        <w:rPr>
          <w:rFonts w:ascii="Aptos" w:hAnsi="Aptos"/>
          <w:sz w:val="18"/>
          <w:szCs w:val="18"/>
          <w:lang w:val="en-GB"/>
        </w:rPr>
      </w:pPr>
      <w:r w:rsidRPr="00A0603B">
        <w:rPr>
          <w:rFonts w:ascii="Aptos" w:hAnsi="Aptos"/>
          <w:sz w:val="18"/>
          <w:szCs w:val="18"/>
          <w:lang w:val="en-GB"/>
        </w:rPr>
        <w:t>European Commission 2020: In focus: Energy efficiency in buildings</w:t>
      </w:r>
    </w:p>
    <w:p w14:paraId="404C3D88" w14:textId="77777777" w:rsidR="00076223" w:rsidRDefault="00000000" w:rsidP="00BD3840">
      <w:pPr>
        <w:pStyle w:val="ListParagraph"/>
        <w:ind w:left="360"/>
        <w:jc w:val="both"/>
        <w:rPr>
          <w:rStyle w:val="Hyperlink"/>
          <w:rFonts w:ascii="Aptos" w:hAnsi="Aptos"/>
          <w:sz w:val="18"/>
          <w:szCs w:val="18"/>
          <w:lang w:val="en-GB"/>
        </w:rPr>
      </w:pPr>
      <w:hyperlink r:id="rId33" w:history="1">
        <w:r w:rsidR="00076223" w:rsidRPr="00A0603B">
          <w:rPr>
            <w:rStyle w:val="Hyperlink"/>
            <w:rFonts w:ascii="Aptos" w:hAnsi="Aptos"/>
            <w:sz w:val="18"/>
            <w:szCs w:val="18"/>
            <w:lang w:val="en-GB"/>
          </w:rPr>
          <w:t>https://commission.europa.eu/news/focus-energy-efficiency-buildings-2020-02-17_en</w:t>
        </w:r>
      </w:hyperlink>
    </w:p>
    <w:p w14:paraId="1B52E457" w14:textId="77777777" w:rsidR="00076223" w:rsidRDefault="00076223" w:rsidP="00076223">
      <w:pPr>
        <w:pStyle w:val="ListParagraph"/>
        <w:numPr>
          <w:ilvl w:val="0"/>
          <w:numId w:val="109"/>
        </w:numPr>
        <w:jc w:val="both"/>
        <w:rPr>
          <w:rFonts w:ascii="Aptos" w:hAnsi="Aptos"/>
          <w:sz w:val="18"/>
          <w:szCs w:val="18"/>
          <w:lang w:val="en-GB"/>
        </w:rPr>
      </w:pPr>
      <w:r>
        <w:rPr>
          <w:rFonts w:ascii="Aptos" w:hAnsi="Aptos"/>
          <w:sz w:val="18"/>
          <w:szCs w:val="18"/>
          <w:lang w:val="en-GB"/>
        </w:rPr>
        <w:t>European Commission 2024: R</w:t>
      </w:r>
      <w:r w:rsidRPr="00BB42B4">
        <w:rPr>
          <w:rFonts w:ascii="Aptos" w:hAnsi="Aptos"/>
          <w:sz w:val="18"/>
          <w:szCs w:val="18"/>
          <w:lang w:val="en-GB"/>
        </w:rPr>
        <w:t>evised Energy Performance of Buildings Directive (EU/2024/1275)</w:t>
      </w:r>
    </w:p>
    <w:p w14:paraId="560EB0B3" w14:textId="3D2F1028" w:rsidR="00076223" w:rsidRPr="0095671E" w:rsidRDefault="00000000" w:rsidP="00BD3840">
      <w:pPr>
        <w:ind w:firstLine="348"/>
        <w:jc w:val="both"/>
        <w:rPr>
          <w:rFonts w:ascii="Aptos" w:hAnsi="Aptos"/>
          <w:sz w:val="18"/>
          <w:szCs w:val="18"/>
          <w:lang w:val="en-GB"/>
        </w:rPr>
      </w:pPr>
      <w:hyperlink r:id="rId34" w:history="1">
        <w:r w:rsidR="00076223" w:rsidRPr="003D5069">
          <w:rPr>
            <w:rStyle w:val="Hyperlink"/>
            <w:rFonts w:ascii="Aptos" w:hAnsi="Aptos"/>
            <w:sz w:val="18"/>
            <w:szCs w:val="18"/>
            <w:lang w:val="en-GB"/>
          </w:rPr>
          <w:t>https://eur-lex.europa.eu/legal-content/EN/TXT/PDF/?uri=OJ:L_202401275</w:t>
        </w:r>
      </w:hyperlink>
    </w:p>
    <w:p w14:paraId="6D8B7D4D" w14:textId="77777777" w:rsidR="00076223" w:rsidRPr="00A0603B" w:rsidRDefault="00076223" w:rsidP="00076223">
      <w:pPr>
        <w:pStyle w:val="ListParagraph"/>
        <w:jc w:val="both"/>
        <w:rPr>
          <w:rStyle w:val="Hyperlink"/>
          <w:sz w:val="18"/>
          <w:szCs w:val="18"/>
          <w:lang w:val="en-GB"/>
        </w:rPr>
      </w:pPr>
    </w:p>
    <w:p w14:paraId="07DC1CC1" w14:textId="77777777" w:rsidR="00076223" w:rsidRPr="00076223" w:rsidRDefault="00076223" w:rsidP="00325640">
      <w:pPr>
        <w:rPr>
          <w:rFonts w:ascii="Aptos" w:hAnsi="Aptos"/>
          <w:bCs/>
          <w:sz w:val="22"/>
          <w:szCs w:val="22"/>
          <w:lang w:val="en-GB"/>
        </w:rPr>
      </w:pPr>
    </w:p>
    <w:p w14:paraId="37AD8DC7" w14:textId="77777777" w:rsidR="00076223" w:rsidRPr="00076223" w:rsidRDefault="00076223" w:rsidP="00325640">
      <w:pPr>
        <w:rPr>
          <w:rFonts w:ascii="Aptos" w:hAnsi="Aptos"/>
          <w:bCs/>
          <w:sz w:val="22"/>
          <w:szCs w:val="22"/>
          <w:lang w:val="en-GB"/>
        </w:rPr>
      </w:pPr>
    </w:p>
    <w:p w14:paraId="3E8DE816" w14:textId="77777777" w:rsidR="00076223" w:rsidRPr="00076223" w:rsidRDefault="00076223" w:rsidP="00325640">
      <w:pPr>
        <w:rPr>
          <w:rFonts w:ascii="Aptos" w:hAnsi="Aptos"/>
          <w:bCs/>
          <w:sz w:val="22"/>
          <w:szCs w:val="22"/>
          <w:lang w:val="en-GB"/>
        </w:rPr>
      </w:pPr>
    </w:p>
    <w:p w14:paraId="6726AC31" w14:textId="77777777" w:rsidR="0082018A" w:rsidRDefault="0082018A" w:rsidP="00325640">
      <w:pPr>
        <w:rPr>
          <w:rFonts w:ascii="Aptos" w:hAnsi="Aptos"/>
          <w:bCs/>
          <w:sz w:val="22"/>
          <w:szCs w:val="22"/>
          <w:lang w:val="en-GB"/>
        </w:rPr>
      </w:pPr>
    </w:p>
    <w:p w14:paraId="10195AFF" w14:textId="77777777" w:rsidR="00353C4A" w:rsidRPr="00076223" w:rsidRDefault="00353C4A" w:rsidP="00325640">
      <w:pPr>
        <w:rPr>
          <w:rFonts w:ascii="Aptos" w:hAnsi="Aptos"/>
          <w:bCs/>
          <w:sz w:val="22"/>
          <w:szCs w:val="22"/>
          <w:lang w:val="en-GB"/>
        </w:rPr>
      </w:pPr>
    </w:p>
    <w:p w14:paraId="08CDAE29" w14:textId="45B18D8F" w:rsidR="00FC4A11" w:rsidRPr="0050443A" w:rsidRDefault="00325640" w:rsidP="00353C4A">
      <w:pPr>
        <w:pStyle w:val="Heading1"/>
        <w:rPr>
          <w:i/>
          <w:iCs/>
          <w:sz w:val="22"/>
          <w:szCs w:val="22"/>
          <w:u w:val="single"/>
        </w:rPr>
      </w:pPr>
      <w:bookmarkStart w:id="16" w:name="_Toc170377507"/>
      <w:r w:rsidRPr="0082018A">
        <w:rPr>
          <w:bCs/>
          <w:szCs w:val="24"/>
        </w:rPr>
        <w:t>S</w:t>
      </w:r>
      <w:r w:rsidR="00FC4A11" w:rsidRPr="0082018A">
        <w:rPr>
          <w:szCs w:val="24"/>
        </w:rPr>
        <w:t>ozial-ökologische Modernisierung der Wohnbaubestände</w:t>
      </w:r>
      <w:bookmarkEnd w:id="16"/>
    </w:p>
    <w:tbl>
      <w:tblPr>
        <w:tblStyle w:val="TableGrid"/>
        <w:tblW w:w="0" w:type="auto"/>
        <w:tblInd w:w="108" w:type="dxa"/>
        <w:tblLook w:val="04A0" w:firstRow="1" w:lastRow="0" w:firstColumn="1" w:lastColumn="0" w:noHBand="0" w:noVBand="1"/>
      </w:tblPr>
      <w:tblGrid>
        <w:gridCol w:w="9060"/>
      </w:tblGrid>
      <w:tr w:rsidR="008F559E" w:rsidRPr="0050443A" w14:paraId="44330FE1" w14:textId="77777777" w:rsidTr="00715DD3">
        <w:tc>
          <w:tcPr>
            <w:tcW w:w="9060" w:type="dxa"/>
            <w:shd w:val="clear" w:color="auto" w:fill="D9D9D9" w:themeFill="background1" w:themeFillShade="D9"/>
          </w:tcPr>
          <w:p w14:paraId="36F08535" w14:textId="027CB144" w:rsidR="008F559E" w:rsidRPr="0050443A" w:rsidRDefault="008F559E" w:rsidP="00072582">
            <w:pPr>
              <w:spacing w:before="120" w:after="120"/>
              <w:jc w:val="both"/>
              <w:rPr>
                <w:rFonts w:ascii="Aptos" w:hAnsi="Aptos"/>
                <w:b/>
                <w:iCs/>
                <w:sz w:val="22"/>
                <w:szCs w:val="22"/>
              </w:rPr>
            </w:pPr>
            <w:r w:rsidRPr="0050443A">
              <w:rPr>
                <w:rFonts w:ascii="Aptos" w:hAnsi="Aptos"/>
                <w:b/>
                <w:iCs/>
                <w:sz w:val="22"/>
                <w:szCs w:val="22"/>
              </w:rPr>
              <w:t>Frage</w:t>
            </w:r>
          </w:p>
        </w:tc>
      </w:tr>
      <w:tr w:rsidR="008F559E" w:rsidRPr="0050443A" w14:paraId="4750772B" w14:textId="77777777" w:rsidTr="00715DD3">
        <w:tc>
          <w:tcPr>
            <w:tcW w:w="9060" w:type="dxa"/>
          </w:tcPr>
          <w:p w14:paraId="54C5E78A" w14:textId="2FD2A871" w:rsidR="008F559E" w:rsidRPr="0050443A" w:rsidRDefault="00353C4A" w:rsidP="00DD3218">
            <w:pPr>
              <w:spacing w:before="120" w:after="120"/>
              <w:jc w:val="both"/>
              <w:rPr>
                <w:rFonts w:ascii="Aptos" w:hAnsi="Aptos"/>
                <w:b/>
                <w:bCs/>
                <w:sz w:val="22"/>
                <w:szCs w:val="22"/>
              </w:rPr>
            </w:pPr>
            <w:r w:rsidRPr="00353C4A">
              <w:rPr>
                <w:rFonts w:ascii="Aptos" w:hAnsi="Aptos" w:cs="Segoe UI"/>
                <w:color w:val="0D0D0D"/>
                <w:sz w:val="22"/>
                <w:szCs w:val="22"/>
                <w:shd w:val="clear" w:color="auto" w:fill="FFFFFF"/>
              </w:rPr>
              <w:t>Die Modernisierung des europäischen Wohnungsbestandes ist von entscheidender Bedeutung, um die Wohnqualität zu verbessern, die Energieeffizienz zu erhöhen und den Wohnraum an zukünftige Bedürfnisse anzupassen. Durch Modernisierungsmaßnahmen können Wohnungen energieeffizienter gestaltet, CO</w:t>
            </w:r>
            <w:r w:rsidRPr="00353C4A">
              <w:rPr>
                <w:rFonts w:ascii="Aptos" w:hAnsi="Aptos" w:cs="Segoe UI"/>
                <w:color w:val="0D0D0D"/>
                <w:sz w:val="22"/>
                <w:szCs w:val="22"/>
                <w:shd w:val="clear" w:color="auto" w:fill="FFFFFF"/>
                <w:vertAlign w:val="subscript"/>
              </w:rPr>
              <w:t>2</w:t>
            </w:r>
            <w:r w:rsidRPr="00353C4A">
              <w:rPr>
                <w:rFonts w:ascii="Aptos" w:hAnsi="Aptos" w:cs="Segoe UI"/>
                <w:color w:val="0D0D0D"/>
                <w:sz w:val="22"/>
                <w:szCs w:val="22"/>
                <w:shd w:val="clear" w:color="auto" w:fill="FFFFFF"/>
              </w:rPr>
              <w:t xml:space="preserve">-Emissionen reduziert und die Bewohnbarkeit und der Wohnkomfort erhöht werden. Dies trägt langfristig zur Nachhaltigkeit und zur Bewältigung der Klimakrise bei. </w:t>
            </w:r>
            <w:r w:rsidR="00DD3218" w:rsidRPr="00DD3218">
              <w:rPr>
                <w:rFonts w:ascii="Aptos" w:hAnsi="Aptos" w:cs="Segoe UI"/>
                <w:b/>
                <w:bCs/>
                <w:color w:val="0D0D0D"/>
                <w:sz w:val="22"/>
                <w:szCs w:val="22"/>
                <w:shd w:val="clear" w:color="auto" w:fill="FFFFFF"/>
              </w:rPr>
              <w:t>Welche EU-Programme und EU-Initiativen planen Sie, um den Wohnungsbestand sozial-ökologisch zu modernisieren, damit die EU-Ziele erreicht werden?</w:t>
            </w:r>
          </w:p>
        </w:tc>
      </w:tr>
      <w:tr w:rsidR="008F559E" w:rsidRPr="0050443A" w14:paraId="7D0ED140" w14:textId="77777777" w:rsidTr="00715DD3">
        <w:tc>
          <w:tcPr>
            <w:tcW w:w="9060" w:type="dxa"/>
            <w:shd w:val="clear" w:color="auto" w:fill="D9D9D9" w:themeFill="background1" w:themeFillShade="D9"/>
          </w:tcPr>
          <w:p w14:paraId="74F884E2" w14:textId="529A6FB8" w:rsidR="008F559E" w:rsidRPr="0050443A" w:rsidRDefault="008F559E" w:rsidP="00072582">
            <w:pPr>
              <w:spacing w:before="120" w:after="120"/>
              <w:jc w:val="both"/>
              <w:rPr>
                <w:rFonts w:ascii="Aptos" w:hAnsi="Aptos"/>
                <w:b/>
                <w:bCs/>
                <w:sz w:val="22"/>
                <w:szCs w:val="22"/>
              </w:rPr>
            </w:pPr>
            <w:r w:rsidRPr="0050443A">
              <w:rPr>
                <w:rFonts w:ascii="Aptos" w:hAnsi="Aptos"/>
                <w:b/>
                <w:bCs/>
                <w:sz w:val="22"/>
                <w:szCs w:val="22"/>
              </w:rPr>
              <w:t>Nachfrage</w:t>
            </w:r>
          </w:p>
        </w:tc>
      </w:tr>
      <w:tr w:rsidR="008F559E" w:rsidRPr="0050443A" w14:paraId="5E165797" w14:textId="77777777" w:rsidTr="00715DD3">
        <w:tc>
          <w:tcPr>
            <w:tcW w:w="9060" w:type="dxa"/>
          </w:tcPr>
          <w:p w14:paraId="5D2C8C22" w14:textId="4D6FC6F1" w:rsidR="007D5302" w:rsidRPr="007D5302" w:rsidRDefault="007D5302" w:rsidP="007D5302">
            <w:pPr>
              <w:pStyle w:val="ListParagraph"/>
              <w:numPr>
                <w:ilvl w:val="0"/>
                <w:numId w:val="94"/>
              </w:numPr>
              <w:spacing w:before="120" w:after="120"/>
              <w:jc w:val="both"/>
              <w:rPr>
                <w:rFonts w:ascii="Aptos" w:hAnsi="Aptos"/>
                <w:sz w:val="22"/>
                <w:szCs w:val="22"/>
              </w:rPr>
            </w:pPr>
            <w:r w:rsidRPr="007D5302">
              <w:rPr>
                <w:rFonts w:ascii="Aptos" w:hAnsi="Aptos"/>
                <w:sz w:val="22"/>
                <w:szCs w:val="22"/>
              </w:rPr>
              <w:t>Welche Rolle spielt in Ihren Überlegungen das Thema Energiearmut als Argument für die sozial-ökologische Modernisierung des Wohnungsbestandes?</w:t>
            </w:r>
          </w:p>
          <w:p w14:paraId="3C7E8DE5" w14:textId="1F968712" w:rsidR="007D5302" w:rsidRPr="007D5302" w:rsidRDefault="007D5302" w:rsidP="007D5302">
            <w:pPr>
              <w:pStyle w:val="ListParagraph"/>
              <w:numPr>
                <w:ilvl w:val="0"/>
                <w:numId w:val="94"/>
              </w:numPr>
              <w:spacing w:before="120" w:after="120"/>
              <w:jc w:val="both"/>
              <w:rPr>
                <w:rFonts w:ascii="Aptos" w:hAnsi="Aptos"/>
                <w:sz w:val="22"/>
                <w:szCs w:val="22"/>
              </w:rPr>
            </w:pPr>
            <w:r w:rsidRPr="007D5302">
              <w:rPr>
                <w:rFonts w:ascii="Aptos" w:hAnsi="Aptos"/>
                <w:sz w:val="22"/>
                <w:szCs w:val="22"/>
              </w:rPr>
              <w:t xml:space="preserve">Wie wollen Sie sicherstellen, dass diese </w:t>
            </w:r>
            <w:r w:rsidR="00BD3840" w:rsidRPr="00927964">
              <w:rPr>
                <w:rFonts w:ascii="Aptos" w:hAnsi="Aptos"/>
                <w:sz w:val="22"/>
                <w:szCs w:val="22"/>
              </w:rPr>
              <w:t>energieeffizienten</w:t>
            </w:r>
            <w:r w:rsidRPr="00927964">
              <w:rPr>
                <w:rFonts w:ascii="Aptos" w:hAnsi="Aptos"/>
                <w:sz w:val="22"/>
                <w:szCs w:val="22"/>
              </w:rPr>
              <w:t xml:space="preserve"> Wohnungen</w:t>
            </w:r>
            <w:r w:rsidRPr="007D5302">
              <w:rPr>
                <w:rFonts w:ascii="Aptos" w:hAnsi="Aptos"/>
                <w:sz w:val="22"/>
                <w:szCs w:val="22"/>
              </w:rPr>
              <w:t xml:space="preserve"> auch für sozial Schwächere zugänglich sind?</w:t>
            </w:r>
          </w:p>
        </w:tc>
      </w:tr>
    </w:tbl>
    <w:p w14:paraId="1A2B2E0C" w14:textId="77777777" w:rsidR="008F559E" w:rsidRDefault="008F559E" w:rsidP="008F559E">
      <w:pPr>
        <w:spacing w:after="120"/>
        <w:jc w:val="both"/>
        <w:rPr>
          <w:rFonts w:ascii="Aptos" w:hAnsi="Aptos"/>
          <w:i/>
          <w:iCs/>
          <w:sz w:val="22"/>
          <w:szCs w:val="22"/>
          <w:u w:val="single"/>
        </w:rPr>
      </w:pPr>
    </w:p>
    <w:tbl>
      <w:tblPr>
        <w:tblStyle w:val="TableNormal1"/>
        <w:tblW w:w="0" w:type="auto"/>
        <w:tblLayout w:type="fixed"/>
        <w:tblLook w:val="01E0" w:firstRow="1" w:lastRow="1" w:firstColumn="1" w:lastColumn="1" w:noHBand="0" w:noVBand="0"/>
      </w:tblPr>
      <w:tblGrid>
        <w:gridCol w:w="9066"/>
      </w:tblGrid>
      <w:tr w:rsidR="00715DD3" w:rsidRPr="009B5839" w14:paraId="733971A0" w14:textId="77777777" w:rsidTr="003D4657">
        <w:trPr>
          <w:trHeight w:val="277"/>
        </w:trPr>
        <w:tc>
          <w:tcPr>
            <w:tcW w:w="9066" w:type="dxa"/>
            <w:shd w:val="clear" w:color="auto" w:fill="D9D9D9"/>
          </w:tcPr>
          <w:p w14:paraId="66C373AC" w14:textId="77777777" w:rsidR="00715DD3" w:rsidRPr="009B5839" w:rsidRDefault="00715DD3" w:rsidP="003D4657">
            <w:pPr>
              <w:pStyle w:val="TableParagraph"/>
              <w:spacing w:line="258" w:lineRule="exact"/>
              <w:ind w:left="0"/>
              <w:rPr>
                <w:rFonts w:ascii="Aptos" w:hAnsi="Aptos"/>
                <w:b/>
                <w:sz w:val="24"/>
              </w:rPr>
            </w:pPr>
            <w:r>
              <w:rPr>
                <w:rFonts w:ascii="Aptos" w:hAnsi="Aptos"/>
                <w:b/>
                <w:sz w:val="24"/>
              </w:rPr>
              <w:t>Hintergrundinformationen</w:t>
            </w:r>
          </w:p>
        </w:tc>
      </w:tr>
    </w:tbl>
    <w:p w14:paraId="71ECA39F" w14:textId="732BF690" w:rsidR="00E7586D" w:rsidRDefault="00E7586D" w:rsidP="00353C4A">
      <w:pPr>
        <w:jc w:val="both"/>
        <w:rPr>
          <w:rFonts w:ascii="Aptos" w:hAnsi="Aptos"/>
          <w:sz w:val="22"/>
          <w:szCs w:val="22"/>
        </w:rPr>
      </w:pPr>
      <w:r w:rsidRPr="00E7586D">
        <w:rPr>
          <w:rFonts w:ascii="Aptos" w:hAnsi="Aptos"/>
          <w:sz w:val="22"/>
          <w:szCs w:val="22"/>
        </w:rPr>
        <w:t xml:space="preserve">Der Gebäudesektor ist derzeit für 40 % des Energieverbrauchs und 36 % der Treibhausgasemissionen in der EU verantwortlich. </w:t>
      </w:r>
      <w:r w:rsidR="00353C4A" w:rsidRPr="00353C4A">
        <w:rPr>
          <w:rFonts w:ascii="Aptos" w:hAnsi="Aptos"/>
          <w:sz w:val="22"/>
          <w:szCs w:val="22"/>
        </w:rPr>
        <w:t>Der Gebäudesektor stellt somit einen zentralen Hebel im Kampf gegen den Klimawandel und zur Erreichung der EU-Klimaziele dar</w:t>
      </w:r>
      <w:r w:rsidR="00353C4A">
        <w:rPr>
          <w:rFonts w:ascii="Aptos" w:hAnsi="Aptos"/>
          <w:sz w:val="22"/>
          <w:szCs w:val="22"/>
        </w:rPr>
        <w:t xml:space="preserve"> </w:t>
      </w:r>
      <w:r w:rsidRPr="00E7586D">
        <w:rPr>
          <w:rFonts w:ascii="Aptos" w:hAnsi="Aptos"/>
          <w:sz w:val="22"/>
          <w:szCs w:val="22"/>
          <w:vertAlign w:val="subscript"/>
        </w:rPr>
        <w:t>(1)</w:t>
      </w:r>
      <w:r w:rsidRPr="00E7586D">
        <w:rPr>
          <w:rFonts w:ascii="Aptos" w:hAnsi="Aptos"/>
          <w:sz w:val="22"/>
          <w:szCs w:val="22"/>
        </w:rPr>
        <w:t xml:space="preserve">. Die EU hat sich das ehrgeizige Ziel gesetzt, dass </w:t>
      </w:r>
      <w:r w:rsidR="00353C4A" w:rsidRPr="00353C4A">
        <w:rPr>
          <w:rFonts w:ascii="Aptos" w:hAnsi="Aptos"/>
          <w:sz w:val="22"/>
          <w:szCs w:val="22"/>
        </w:rPr>
        <w:t>ab 2030 alle Neubauten als Nullemissionsgebäude errichtet werden sollen</w:t>
      </w:r>
      <w:r w:rsidRPr="00E7586D">
        <w:rPr>
          <w:rFonts w:ascii="Aptos" w:hAnsi="Aptos"/>
          <w:sz w:val="22"/>
          <w:szCs w:val="22"/>
        </w:rPr>
        <w:t>. Neben der bereits beschlossenen Richtlinie über die Gesamtenergieeffizienz von Gebäuden der EU sind auch soziale Ziele von entscheidender Bedeutung, um den gesellschaftspolitischen Zusammenhalt zu fördern. Der europäische Bestand bestehender Wohngebäude ist nicht nur ein großer Emittent und bedarf zügiger thermisch-energetischer Renovierungsmaßnahmen, sondern bietet auch vielen sozial schwächeren EU-Bürger:innen ein Zuhause, die auf leistbaren Wohnraum angewiesen sind. Die seit dem Angriffskrieg Russlands auf die Ukraine ausgelöste Energiekrise hat zu einer signifikanten Steigerung der Heizkosten geführt, was zu einer deutlichen Zunahme der von Energiearmut betroffenen Haushalte geführt hat. Energiearmut bezeichnet die Unfähigkeit eines Haushalts, angemessene und sichere Energieversorgung für grundlegende Bedürfnisse wie Heizen, Kühlen, Kochen und Beleuchtung zu bezahlen. Diese Art von Armut betrifft vor allem einkommensschwache Haushalte und kann zu schlechten Wohnbedingungen, Gesundheitsproblemen und sozialer Ausgrenzung führen. Laut Schätzungen der Europäischen Kommission sind etwa 9,3 % der EU-Bürger von Energiearmut betroffen</w:t>
      </w:r>
      <w:r>
        <w:rPr>
          <w:rFonts w:ascii="Aptos" w:hAnsi="Aptos"/>
          <w:sz w:val="22"/>
          <w:szCs w:val="22"/>
        </w:rPr>
        <w:t xml:space="preserve"> </w:t>
      </w:r>
      <w:r w:rsidRPr="00E7586D">
        <w:rPr>
          <w:rFonts w:ascii="Aptos" w:hAnsi="Aptos"/>
          <w:sz w:val="22"/>
          <w:szCs w:val="22"/>
          <w:vertAlign w:val="subscript"/>
        </w:rPr>
        <w:t>(</w:t>
      </w:r>
      <w:r>
        <w:rPr>
          <w:rFonts w:ascii="Aptos" w:hAnsi="Aptos"/>
          <w:sz w:val="22"/>
          <w:szCs w:val="22"/>
          <w:vertAlign w:val="subscript"/>
        </w:rPr>
        <w:t>2</w:t>
      </w:r>
      <w:r w:rsidRPr="00E7586D">
        <w:rPr>
          <w:rFonts w:ascii="Aptos" w:hAnsi="Aptos"/>
          <w:sz w:val="22"/>
          <w:szCs w:val="22"/>
          <w:vertAlign w:val="subscript"/>
        </w:rPr>
        <w:t>)</w:t>
      </w:r>
      <w:r w:rsidRPr="00E7586D">
        <w:rPr>
          <w:rFonts w:ascii="Aptos" w:hAnsi="Aptos"/>
          <w:sz w:val="22"/>
          <w:szCs w:val="22"/>
        </w:rPr>
        <w:t xml:space="preserve">. Aus Perspektive der Daseinsvorsorge sind ökologische Modernisierungsmaßnahmen im europäischen Wohngebäudebestand unabdingbar. Es sind EU-Programme sowie neue Finanzierungsmodelle erforderlich, </w:t>
      </w:r>
      <w:r w:rsidR="00353C4A" w:rsidRPr="00353C4A">
        <w:rPr>
          <w:rFonts w:ascii="Aptos" w:hAnsi="Aptos"/>
          <w:sz w:val="22"/>
          <w:szCs w:val="22"/>
        </w:rPr>
        <w:t>damit auch sozial Schwächere von den Vorteilen energieeffizienter Wohnungen profitieren können.</w:t>
      </w:r>
    </w:p>
    <w:p w14:paraId="7FC0EBFD" w14:textId="77777777" w:rsidR="00353C4A" w:rsidRDefault="00353C4A" w:rsidP="00353C4A">
      <w:pPr>
        <w:jc w:val="both"/>
        <w:rPr>
          <w:rFonts w:ascii="Aptos" w:hAnsi="Aptos"/>
          <w:bCs/>
          <w:sz w:val="22"/>
          <w:szCs w:val="22"/>
        </w:rPr>
      </w:pPr>
    </w:p>
    <w:p w14:paraId="011B3714" w14:textId="77777777" w:rsidR="00E7586D" w:rsidRPr="00A0603B" w:rsidRDefault="00E7586D" w:rsidP="00E7586D">
      <w:pPr>
        <w:pStyle w:val="ListParagraph"/>
        <w:numPr>
          <w:ilvl w:val="0"/>
          <w:numId w:val="111"/>
        </w:numPr>
        <w:jc w:val="both"/>
        <w:rPr>
          <w:rFonts w:ascii="Aptos" w:hAnsi="Aptos"/>
          <w:sz w:val="18"/>
          <w:szCs w:val="18"/>
          <w:lang w:val="en-GB"/>
        </w:rPr>
      </w:pPr>
      <w:r w:rsidRPr="00A0603B">
        <w:rPr>
          <w:rFonts w:ascii="Aptos" w:hAnsi="Aptos"/>
          <w:sz w:val="18"/>
          <w:szCs w:val="18"/>
          <w:lang w:val="en-GB"/>
        </w:rPr>
        <w:t>European Commission 2020: In focus: Energy efficiency in buildings</w:t>
      </w:r>
    </w:p>
    <w:p w14:paraId="0C1CAECB" w14:textId="77777777" w:rsidR="00E7586D" w:rsidRDefault="00000000" w:rsidP="00E7586D">
      <w:pPr>
        <w:ind w:firstLine="360"/>
        <w:jc w:val="both"/>
        <w:rPr>
          <w:rFonts w:ascii="Aptos" w:hAnsi="Aptos"/>
          <w:sz w:val="18"/>
          <w:szCs w:val="18"/>
          <w:lang w:val="en-GB"/>
        </w:rPr>
      </w:pPr>
      <w:hyperlink r:id="rId35" w:history="1">
        <w:r w:rsidR="00E7586D" w:rsidRPr="00B83BAA">
          <w:rPr>
            <w:rStyle w:val="Hyperlink"/>
            <w:rFonts w:ascii="Aptos" w:hAnsi="Aptos"/>
            <w:sz w:val="18"/>
            <w:szCs w:val="18"/>
            <w:lang w:val="en-GB"/>
          </w:rPr>
          <w:t>https://commission.europa.eu/news/focus-energy-efficiency-buildings-2020-02-17_en</w:t>
        </w:r>
      </w:hyperlink>
    </w:p>
    <w:p w14:paraId="14BD6290" w14:textId="2133D929" w:rsidR="00BD3840" w:rsidRPr="00A0603B" w:rsidRDefault="00BD3840" w:rsidP="00E7586D">
      <w:pPr>
        <w:pStyle w:val="ListParagraph"/>
        <w:numPr>
          <w:ilvl w:val="0"/>
          <w:numId w:val="111"/>
        </w:numPr>
        <w:jc w:val="both"/>
        <w:rPr>
          <w:rFonts w:ascii="Aptos" w:hAnsi="Aptos"/>
          <w:sz w:val="18"/>
          <w:szCs w:val="18"/>
          <w:lang w:val="en-GB"/>
        </w:rPr>
      </w:pPr>
      <w:r w:rsidRPr="00A0603B">
        <w:rPr>
          <w:rFonts w:ascii="Aptos" w:hAnsi="Aptos"/>
          <w:sz w:val="18"/>
          <w:szCs w:val="18"/>
          <w:lang w:val="en-GB"/>
        </w:rPr>
        <w:t>European Commission 202</w:t>
      </w:r>
      <w:r>
        <w:rPr>
          <w:rFonts w:ascii="Aptos" w:hAnsi="Aptos"/>
          <w:sz w:val="18"/>
          <w:szCs w:val="18"/>
          <w:lang w:val="en-GB"/>
        </w:rPr>
        <w:t>3</w:t>
      </w:r>
      <w:r w:rsidRPr="00A0603B">
        <w:rPr>
          <w:rFonts w:ascii="Aptos" w:hAnsi="Aptos"/>
          <w:sz w:val="18"/>
          <w:szCs w:val="18"/>
          <w:lang w:val="en-GB"/>
        </w:rPr>
        <w:t xml:space="preserve">: </w:t>
      </w:r>
      <w:r>
        <w:rPr>
          <w:rFonts w:ascii="Aptos" w:hAnsi="Aptos"/>
          <w:sz w:val="18"/>
          <w:szCs w:val="18"/>
          <w:lang w:val="en-GB"/>
        </w:rPr>
        <w:t>Energy Poverty</w:t>
      </w:r>
    </w:p>
    <w:p w14:paraId="407AF1AC" w14:textId="6BB19FB6" w:rsidR="00BD3840" w:rsidRDefault="00000000" w:rsidP="00BD3840">
      <w:pPr>
        <w:pStyle w:val="ListParagraph"/>
        <w:ind w:left="360"/>
        <w:jc w:val="both"/>
        <w:rPr>
          <w:rStyle w:val="Hyperlink"/>
          <w:rFonts w:ascii="Aptos" w:hAnsi="Aptos"/>
          <w:sz w:val="18"/>
          <w:szCs w:val="18"/>
          <w:lang w:val="en-GB"/>
        </w:rPr>
      </w:pPr>
      <w:hyperlink r:id="rId36" w:history="1">
        <w:r w:rsidR="00BD3840" w:rsidRPr="00BD3840">
          <w:rPr>
            <w:rStyle w:val="Hyperlink"/>
            <w:rFonts w:ascii="Aptos" w:hAnsi="Aptos"/>
            <w:sz w:val="18"/>
            <w:szCs w:val="18"/>
            <w:lang w:val="en-GB"/>
          </w:rPr>
          <w:t>https://energy.ec.europa.eu/topics/markets-and-consumers/energy-consumer-rights/energy-poverty_en</w:t>
        </w:r>
      </w:hyperlink>
    </w:p>
    <w:p w14:paraId="479638A3" w14:textId="77777777" w:rsidR="00BD3840" w:rsidRDefault="00BD3840" w:rsidP="00BD3840">
      <w:pPr>
        <w:pStyle w:val="ListParagraph"/>
        <w:jc w:val="both"/>
        <w:rPr>
          <w:rStyle w:val="Hyperlink"/>
          <w:rFonts w:ascii="Aptos" w:hAnsi="Aptos"/>
          <w:sz w:val="18"/>
          <w:szCs w:val="18"/>
          <w:lang w:val="en-GB"/>
        </w:rPr>
      </w:pPr>
    </w:p>
    <w:p w14:paraId="0EDDCD2F" w14:textId="77777777" w:rsidR="00325640" w:rsidRPr="00BD3840" w:rsidRDefault="00325640" w:rsidP="00325640">
      <w:pPr>
        <w:rPr>
          <w:rFonts w:ascii="Aptos" w:hAnsi="Aptos"/>
          <w:bCs/>
          <w:sz w:val="22"/>
          <w:szCs w:val="22"/>
          <w:lang w:val="en-GB"/>
        </w:rPr>
      </w:pPr>
    </w:p>
    <w:p w14:paraId="40E997E9" w14:textId="77777777" w:rsidR="00325640" w:rsidRPr="00BD3840" w:rsidRDefault="00325640" w:rsidP="00325640">
      <w:pPr>
        <w:rPr>
          <w:rFonts w:ascii="Aptos" w:hAnsi="Aptos"/>
          <w:bCs/>
          <w:sz w:val="22"/>
          <w:szCs w:val="22"/>
          <w:lang w:val="en-GB"/>
        </w:rPr>
      </w:pPr>
    </w:p>
    <w:p w14:paraId="4705151A" w14:textId="38085FB4" w:rsidR="00677956" w:rsidRPr="0050443A" w:rsidRDefault="00FC4A11" w:rsidP="00353C4A">
      <w:pPr>
        <w:pStyle w:val="Heading1"/>
        <w:rPr>
          <w:i/>
          <w:iCs/>
          <w:sz w:val="22"/>
          <w:szCs w:val="22"/>
          <w:u w:val="single"/>
        </w:rPr>
      </w:pPr>
      <w:bookmarkStart w:id="17" w:name="_Toc170377508"/>
      <w:r w:rsidRPr="0082018A">
        <w:rPr>
          <w:bCs/>
          <w:szCs w:val="24"/>
        </w:rPr>
        <w:t xml:space="preserve">Vermeidung sozial segregierter und vulnerabler </w:t>
      </w:r>
      <w:r w:rsidR="00353C4A">
        <w:rPr>
          <w:bCs/>
          <w:szCs w:val="24"/>
        </w:rPr>
        <w:t>Stadtq</w:t>
      </w:r>
      <w:r w:rsidRPr="0082018A">
        <w:rPr>
          <w:bCs/>
          <w:szCs w:val="24"/>
        </w:rPr>
        <w:t>uartiere</w:t>
      </w:r>
      <w:bookmarkEnd w:id="17"/>
    </w:p>
    <w:tbl>
      <w:tblPr>
        <w:tblStyle w:val="TableGrid"/>
        <w:tblW w:w="0" w:type="auto"/>
        <w:tblInd w:w="108" w:type="dxa"/>
        <w:tblLook w:val="04A0" w:firstRow="1" w:lastRow="0" w:firstColumn="1" w:lastColumn="0" w:noHBand="0" w:noVBand="1"/>
      </w:tblPr>
      <w:tblGrid>
        <w:gridCol w:w="9060"/>
      </w:tblGrid>
      <w:tr w:rsidR="00BB1963" w:rsidRPr="0050443A" w14:paraId="53197694" w14:textId="77777777" w:rsidTr="00715DD3">
        <w:tc>
          <w:tcPr>
            <w:tcW w:w="9060" w:type="dxa"/>
            <w:shd w:val="clear" w:color="auto" w:fill="D9D9D9" w:themeFill="background1" w:themeFillShade="D9"/>
          </w:tcPr>
          <w:p w14:paraId="4E3B46D7" w14:textId="69E2D484" w:rsidR="00BB1963" w:rsidRPr="0050443A" w:rsidRDefault="00BB1963" w:rsidP="00072582">
            <w:pPr>
              <w:spacing w:before="120" w:after="120"/>
              <w:jc w:val="both"/>
              <w:rPr>
                <w:rFonts w:ascii="Aptos" w:hAnsi="Aptos"/>
                <w:b/>
                <w:iCs/>
                <w:sz w:val="22"/>
                <w:szCs w:val="22"/>
              </w:rPr>
            </w:pPr>
            <w:r w:rsidRPr="0050443A">
              <w:rPr>
                <w:rFonts w:ascii="Aptos" w:hAnsi="Aptos"/>
                <w:b/>
                <w:iCs/>
                <w:sz w:val="22"/>
                <w:szCs w:val="22"/>
              </w:rPr>
              <w:t>Frage</w:t>
            </w:r>
          </w:p>
        </w:tc>
      </w:tr>
      <w:tr w:rsidR="00BB1963" w:rsidRPr="0050443A" w14:paraId="11D4A1FC" w14:textId="77777777" w:rsidTr="00715DD3">
        <w:tc>
          <w:tcPr>
            <w:tcW w:w="9060" w:type="dxa"/>
          </w:tcPr>
          <w:p w14:paraId="3F7BF78D" w14:textId="4AA02EA9" w:rsidR="00BB1963" w:rsidRPr="0050443A" w:rsidRDefault="00353C4A" w:rsidP="007D5302">
            <w:pPr>
              <w:spacing w:before="120" w:after="120"/>
              <w:jc w:val="both"/>
              <w:rPr>
                <w:rFonts w:ascii="Aptos" w:hAnsi="Aptos"/>
                <w:b/>
                <w:bCs/>
                <w:sz w:val="22"/>
                <w:szCs w:val="22"/>
                <w:lang w:val="de-DE"/>
              </w:rPr>
            </w:pPr>
            <w:r w:rsidRPr="00353C4A">
              <w:rPr>
                <w:rFonts w:ascii="Aptos" w:hAnsi="Aptos" w:cs="Segoe UI"/>
                <w:color w:val="0D0D0D"/>
                <w:sz w:val="22"/>
                <w:szCs w:val="22"/>
                <w:shd w:val="clear" w:color="auto" w:fill="FFFFFF"/>
              </w:rPr>
              <w:t xml:space="preserve">Die Segregation in europäischen Städten stellt ein Problem dar, da sie soziale Ungleichheiten verstärkt, den sozialen Zusammenhalt gefährdet und den Zugang zu Ressourcen und Chancen ungleich verteilt. Dies hat zur Folge, dass bestimmte Bevölkerungsgruppen, wie Menschen mit niedrigem Einkommen oder ethnische Minderheiten, von Bildung, Beschäftigungsmöglichkeiten und anderen wichtigen Dienstleistungen ausgeschlossen sein können. So genannte </w:t>
            </w:r>
            <w:r>
              <w:rPr>
                <w:rFonts w:ascii="Aptos" w:hAnsi="Aptos" w:cs="Segoe UI"/>
                <w:color w:val="0D0D0D"/>
                <w:sz w:val="22"/>
                <w:szCs w:val="22"/>
                <w:shd w:val="clear" w:color="auto" w:fill="FFFFFF"/>
              </w:rPr>
              <w:t>vulnerable Stadtquartiere</w:t>
            </w:r>
            <w:r w:rsidRPr="00353C4A">
              <w:rPr>
                <w:rFonts w:ascii="Aptos" w:hAnsi="Aptos" w:cs="Segoe UI"/>
                <w:color w:val="0D0D0D"/>
                <w:sz w:val="22"/>
                <w:szCs w:val="22"/>
                <w:shd w:val="clear" w:color="auto" w:fill="FFFFFF"/>
              </w:rPr>
              <w:t xml:space="preserve"> können zu einem Sicherheitsproblem werden. Dies ist häufig auf einen Mangel an räumlich verteiltem, bezahlbarem Wohnraum zurückzuführen. </w:t>
            </w:r>
            <w:r w:rsidR="007D5302" w:rsidRPr="007D5302">
              <w:rPr>
                <w:rFonts w:ascii="Aptos" w:hAnsi="Aptos" w:cs="Segoe UI"/>
                <w:b/>
                <w:bCs/>
                <w:color w:val="0D0D0D"/>
                <w:sz w:val="22"/>
                <w:szCs w:val="22"/>
                <w:shd w:val="clear" w:color="auto" w:fill="FFFFFF"/>
              </w:rPr>
              <w:t>Welche Initiativen und EU-Programme planen Sie, um sozial segregierte und gefährdete Stadtviertel in europäischen Städten zu verhindern?</w:t>
            </w:r>
          </w:p>
        </w:tc>
      </w:tr>
      <w:tr w:rsidR="00BB1963" w:rsidRPr="0050443A" w14:paraId="147A74BE" w14:textId="77777777" w:rsidTr="00715DD3">
        <w:tc>
          <w:tcPr>
            <w:tcW w:w="9060" w:type="dxa"/>
            <w:shd w:val="clear" w:color="auto" w:fill="D9D9D9" w:themeFill="background1" w:themeFillShade="D9"/>
          </w:tcPr>
          <w:p w14:paraId="2556F825" w14:textId="39FD5DD9" w:rsidR="00BB1963" w:rsidRPr="0050443A" w:rsidRDefault="00BB1963" w:rsidP="00072582">
            <w:pPr>
              <w:spacing w:before="120" w:after="120"/>
              <w:jc w:val="both"/>
              <w:rPr>
                <w:rFonts w:ascii="Aptos" w:hAnsi="Aptos"/>
                <w:b/>
                <w:bCs/>
                <w:sz w:val="22"/>
                <w:szCs w:val="22"/>
              </w:rPr>
            </w:pPr>
            <w:r w:rsidRPr="0050443A">
              <w:rPr>
                <w:rFonts w:ascii="Aptos" w:hAnsi="Aptos"/>
                <w:b/>
                <w:bCs/>
                <w:sz w:val="22"/>
                <w:szCs w:val="22"/>
              </w:rPr>
              <w:t>Nachfrag</w:t>
            </w:r>
            <w:r w:rsidR="00A830AD" w:rsidRPr="0050443A">
              <w:rPr>
                <w:rFonts w:ascii="Aptos" w:hAnsi="Aptos"/>
                <w:b/>
                <w:bCs/>
                <w:sz w:val="22"/>
                <w:szCs w:val="22"/>
              </w:rPr>
              <w:t>e</w:t>
            </w:r>
          </w:p>
        </w:tc>
      </w:tr>
      <w:tr w:rsidR="00BB1963" w:rsidRPr="0050443A" w14:paraId="1DDBEADF" w14:textId="77777777" w:rsidTr="00715DD3">
        <w:tc>
          <w:tcPr>
            <w:tcW w:w="9060" w:type="dxa"/>
          </w:tcPr>
          <w:p w14:paraId="2EBE9B76" w14:textId="22CC3DC6" w:rsidR="007D5302" w:rsidRPr="007D5302" w:rsidRDefault="007D5302" w:rsidP="007D5302">
            <w:pPr>
              <w:pStyle w:val="ListParagraph"/>
              <w:numPr>
                <w:ilvl w:val="0"/>
                <w:numId w:val="77"/>
              </w:numPr>
              <w:spacing w:before="120" w:after="120"/>
              <w:jc w:val="both"/>
              <w:rPr>
                <w:rFonts w:ascii="Aptos" w:hAnsi="Aptos"/>
                <w:sz w:val="22"/>
                <w:szCs w:val="22"/>
              </w:rPr>
            </w:pPr>
            <w:r w:rsidRPr="007D5302">
              <w:rPr>
                <w:rFonts w:ascii="Aptos" w:hAnsi="Aptos"/>
                <w:sz w:val="22"/>
                <w:szCs w:val="22"/>
              </w:rPr>
              <w:t xml:space="preserve">Welche Bedeutung messen Sie dem </w:t>
            </w:r>
            <w:r w:rsidR="00B77A11">
              <w:rPr>
                <w:rFonts w:ascii="Aptos" w:hAnsi="Aptos"/>
                <w:sz w:val="22"/>
                <w:szCs w:val="22"/>
              </w:rPr>
              <w:t>kommunalen</w:t>
            </w:r>
            <w:r w:rsidRPr="007D5302">
              <w:rPr>
                <w:rFonts w:ascii="Aptos" w:hAnsi="Aptos"/>
                <w:sz w:val="22"/>
                <w:szCs w:val="22"/>
              </w:rPr>
              <w:t xml:space="preserve"> und </w:t>
            </w:r>
            <w:r w:rsidR="00074BCE" w:rsidRPr="00325640">
              <w:rPr>
                <w:rFonts w:ascii="Aptos" w:hAnsi="Aptos"/>
                <w:sz w:val="22"/>
                <w:szCs w:val="22"/>
              </w:rPr>
              <w:t>gemein</w:t>
            </w:r>
            <w:r w:rsidR="00074BCE">
              <w:rPr>
                <w:rFonts w:ascii="Aptos" w:hAnsi="Aptos"/>
                <w:sz w:val="22"/>
                <w:szCs w:val="22"/>
              </w:rPr>
              <w:t>nützigen</w:t>
            </w:r>
            <w:r w:rsidR="00074BCE" w:rsidRPr="00325640">
              <w:rPr>
                <w:rFonts w:ascii="Aptos" w:hAnsi="Aptos"/>
                <w:sz w:val="22"/>
                <w:szCs w:val="22"/>
              </w:rPr>
              <w:t xml:space="preserve"> </w:t>
            </w:r>
            <w:r w:rsidRPr="007D5302">
              <w:rPr>
                <w:rFonts w:ascii="Aptos" w:hAnsi="Aptos"/>
                <w:sz w:val="22"/>
                <w:szCs w:val="22"/>
              </w:rPr>
              <w:t>Wohnungsbau bei, um die soziale Durchmischung in europäischen Städten zu fördern?</w:t>
            </w:r>
          </w:p>
          <w:p w14:paraId="38DD5392" w14:textId="318D761A" w:rsidR="00BB1963" w:rsidRPr="0050443A" w:rsidRDefault="007D5302" w:rsidP="007D5302">
            <w:pPr>
              <w:pStyle w:val="ListParagraph"/>
              <w:numPr>
                <w:ilvl w:val="0"/>
                <w:numId w:val="77"/>
              </w:numPr>
              <w:spacing w:before="120" w:after="120"/>
              <w:jc w:val="both"/>
              <w:rPr>
                <w:rFonts w:ascii="Aptos" w:hAnsi="Aptos"/>
                <w:sz w:val="22"/>
                <w:szCs w:val="22"/>
              </w:rPr>
            </w:pPr>
            <w:r w:rsidRPr="007D5302">
              <w:rPr>
                <w:rFonts w:ascii="Aptos" w:hAnsi="Aptos"/>
                <w:sz w:val="22"/>
                <w:szCs w:val="22"/>
              </w:rPr>
              <w:t xml:space="preserve">Welche Rolle spielen </w:t>
            </w:r>
            <w:r w:rsidR="00074BCE" w:rsidRPr="00325640">
              <w:rPr>
                <w:rFonts w:ascii="Aptos" w:hAnsi="Aptos"/>
                <w:sz w:val="22"/>
                <w:szCs w:val="22"/>
              </w:rPr>
              <w:t>gemein</w:t>
            </w:r>
            <w:r w:rsidR="00074BCE">
              <w:rPr>
                <w:rFonts w:ascii="Aptos" w:hAnsi="Aptos"/>
                <w:sz w:val="22"/>
                <w:szCs w:val="22"/>
              </w:rPr>
              <w:t>nützige</w:t>
            </w:r>
            <w:r w:rsidR="00074BCE" w:rsidRPr="00325640">
              <w:rPr>
                <w:rFonts w:ascii="Aptos" w:hAnsi="Aptos"/>
                <w:sz w:val="22"/>
                <w:szCs w:val="22"/>
              </w:rPr>
              <w:t xml:space="preserve"> </w:t>
            </w:r>
            <w:r w:rsidRPr="007D5302">
              <w:rPr>
                <w:rFonts w:ascii="Aptos" w:hAnsi="Aptos"/>
                <w:sz w:val="22"/>
                <w:szCs w:val="22"/>
              </w:rPr>
              <w:t>Organisationen in Ihren Überlegungen?</w:t>
            </w:r>
          </w:p>
        </w:tc>
      </w:tr>
    </w:tbl>
    <w:p w14:paraId="18CE36E5" w14:textId="77777777" w:rsidR="00BB1963" w:rsidRDefault="00BB1963" w:rsidP="00BB1963">
      <w:pPr>
        <w:spacing w:after="120"/>
        <w:jc w:val="both"/>
        <w:rPr>
          <w:rFonts w:ascii="Aptos" w:hAnsi="Aptos"/>
          <w:i/>
          <w:iCs/>
          <w:sz w:val="22"/>
          <w:szCs w:val="22"/>
          <w:u w:val="single"/>
        </w:rPr>
      </w:pPr>
    </w:p>
    <w:tbl>
      <w:tblPr>
        <w:tblStyle w:val="TableNormal1"/>
        <w:tblW w:w="0" w:type="auto"/>
        <w:tblLayout w:type="fixed"/>
        <w:tblLook w:val="01E0" w:firstRow="1" w:lastRow="1" w:firstColumn="1" w:lastColumn="1" w:noHBand="0" w:noVBand="0"/>
      </w:tblPr>
      <w:tblGrid>
        <w:gridCol w:w="9066"/>
      </w:tblGrid>
      <w:tr w:rsidR="00715DD3" w:rsidRPr="009B5839" w14:paraId="1030CE0C" w14:textId="77777777" w:rsidTr="003D4657">
        <w:trPr>
          <w:trHeight w:val="277"/>
        </w:trPr>
        <w:tc>
          <w:tcPr>
            <w:tcW w:w="9066" w:type="dxa"/>
            <w:shd w:val="clear" w:color="auto" w:fill="D9D9D9"/>
          </w:tcPr>
          <w:p w14:paraId="17B830B2" w14:textId="77777777" w:rsidR="00715DD3" w:rsidRPr="009B5839" w:rsidRDefault="00715DD3" w:rsidP="003D4657">
            <w:pPr>
              <w:pStyle w:val="TableParagraph"/>
              <w:spacing w:line="258" w:lineRule="exact"/>
              <w:ind w:left="0"/>
              <w:rPr>
                <w:rFonts w:ascii="Aptos" w:hAnsi="Aptos"/>
                <w:b/>
                <w:sz w:val="24"/>
              </w:rPr>
            </w:pPr>
            <w:r>
              <w:rPr>
                <w:rFonts w:ascii="Aptos" w:hAnsi="Aptos"/>
                <w:b/>
                <w:sz w:val="24"/>
              </w:rPr>
              <w:t>Hintergrundinformationen</w:t>
            </w:r>
          </w:p>
        </w:tc>
      </w:tr>
    </w:tbl>
    <w:p w14:paraId="7940158E" w14:textId="333A4771" w:rsidR="00325640" w:rsidRDefault="007E3A3D" w:rsidP="007E3A3D">
      <w:pPr>
        <w:spacing w:after="120"/>
        <w:jc w:val="both"/>
        <w:rPr>
          <w:rFonts w:ascii="Aptos" w:hAnsi="Aptos"/>
        </w:rPr>
      </w:pPr>
      <w:r w:rsidRPr="00353C4A">
        <w:rPr>
          <w:rFonts w:ascii="Aptos" w:hAnsi="Aptos"/>
          <w:sz w:val="22"/>
          <w:szCs w:val="22"/>
        </w:rPr>
        <w:t xml:space="preserve">Das Phänomen sogenannter „vulnerabler </w:t>
      </w:r>
      <w:r>
        <w:rPr>
          <w:rFonts w:ascii="Aptos" w:hAnsi="Aptos"/>
          <w:sz w:val="22"/>
          <w:szCs w:val="22"/>
        </w:rPr>
        <w:t>Stadtq</w:t>
      </w:r>
      <w:r w:rsidRPr="00353C4A">
        <w:rPr>
          <w:rFonts w:ascii="Aptos" w:hAnsi="Aptos"/>
          <w:sz w:val="22"/>
          <w:szCs w:val="22"/>
        </w:rPr>
        <w:t>uartiere“ ist in europäischen Großstädten seit Jahrzehnten bekannt. Aufgrund verfehlter Wohnungs- und Stadtentwicklungspolitiken in Verbindung mit dem freien Wohnungsmarkt hat sich die Situation leider verschärft.</w:t>
      </w:r>
      <w:r>
        <w:rPr>
          <w:rFonts w:ascii="Aptos" w:hAnsi="Aptos"/>
          <w:sz w:val="22"/>
          <w:szCs w:val="22"/>
        </w:rPr>
        <w:t xml:space="preserve"> </w:t>
      </w:r>
      <w:r w:rsidR="00353C4A" w:rsidRPr="00353C4A">
        <w:rPr>
          <w:rFonts w:ascii="Aptos" w:hAnsi="Aptos"/>
          <w:sz w:val="22"/>
          <w:szCs w:val="22"/>
        </w:rPr>
        <w:t>Die Segregation in europäischen Städten stellt</w:t>
      </w:r>
      <w:r>
        <w:rPr>
          <w:rFonts w:ascii="Aptos" w:hAnsi="Aptos"/>
          <w:sz w:val="22"/>
          <w:szCs w:val="22"/>
        </w:rPr>
        <w:t xml:space="preserve"> somit</w:t>
      </w:r>
      <w:r w:rsidR="00353C4A" w:rsidRPr="00353C4A">
        <w:rPr>
          <w:rFonts w:ascii="Aptos" w:hAnsi="Aptos"/>
          <w:sz w:val="22"/>
          <w:szCs w:val="22"/>
        </w:rPr>
        <w:t xml:space="preserve"> ein ernsthaftes soziales Problem dar, das die sozialen Ungleichheiten verstärkt, den sozialen Zusammenhalt gefährdet und den Zugang zu Ressourcen und Chancen ungleich verteilt. Die Segregation</w:t>
      </w:r>
      <w:r>
        <w:rPr>
          <w:rFonts w:ascii="Aptos" w:hAnsi="Aptos"/>
          <w:sz w:val="22"/>
          <w:szCs w:val="22"/>
        </w:rPr>
        <w:t xml:space="preserve"> in solchen Vierteln</w:t>
      </w:r>
      <w:r w:rsidR="00353C4A" w:rsidRPr="00353C4A">
        <w:rPr>
          <w:rFonts w:ascii="Aptos" w:hAnsi="Aptos"/>
          <w:sz w:val="22"/>
          <w:szCs w:val="22"/>
        </w:rPr>
        <w:t xml:space="preserve"> führt häufig zu getrennten Lebenswelten, in denen bestimmte Bevölkerungsgruppen, wie Menschen mit niedrigem Einkommen oder ethnische Minderheiten, von Bildung, Beschäftigungsmöglichkeiten und anderen wichtigen Dienstleistungen ausgeschlossen sein können</w:t>
      </w:r>
      <w:r>
        <w:rPr>
          <w:rFonts w:ascii="Aptos" w:hAnsi="Aptos"/>
          <w:sz w:val="22"/>
          <w:szCs w:val="22"/>
        </w:rPr>
        <w:t xml:space="preserve">. </w:t>
      </w:r>
      <w:r w:rsidR="00353C4A" w:rsidRPr="00353C4A">
        <w:rPr>
          <w:rFonts w:ascii="Aptos" w:hAnsi="Aptos"/>
          <w:sz w:val="22"/>
          <w:szCs w:val="22"/>
        </w:rPr>
        <w:t xml:space="preserve">Ein Mangel an räumlich verteiltem, bezahlbarem Wohnraum ist in vielen Fällen die Ursache. </w:t>
      </w:r>
      <w:r>
        <w:rPr>
          <w:rFonts w:ascii="Aptos" w:hAnsi="Aptos"/>
          <w:sz w:val="22"/>
          <w:szCs w:val="22"/>
        </w:rPr>
        <w:t>D</w:t>
      </w:r>
      <w:r w:rsidRPr="007E3A3D">
        <w:rPr>
          <w:rFonts w:ascii="Aptos" w:hAnsi="Aptos"/>
          <w:sz w:val="22"/>
          <w:szCs w:val="22"/>
        </w:rPr>
        <w:t>ie Bewohner:innen dieser Stadtviertel sind häufig mit einer unzureichenden Infrastruktur, mangelndem Zugang zu Bildungseinrichtungen, Gesundheitsdiensten und Beschäftigungsmöglichkeiten konfrontiert</w:t>
      </w:r>
      <w:r w:rsidR="00353C4A" w:rsidRPr="00353C4A">
        <w:rPr>
          <w:rFonts w:ascii="Aptos" w:hAnsi="Aptos"/>
          <w:sz w:val="22"/>
          <w:szCs w:val="22"/>
        </w:rPr>
        <w:t xml:space="preserve">. Das </w:t>
      </w:r>
      <w:r>
        <w:rPr>
          <w:rFonts w:ascii="Aptos" w:hAnsi="Aptos"/>
          <w:sz w:val="22"/>
          <w:szCs w:val="22"/>
        </w:rPr>
        <w:t xml:space="preserve">daraus resultierende </w:t>
      </w:r>
      <w:r w:rsidR="00353C4A" w:rsidRPr="00353C4A">
        <w:rPr>
          <w:rFonts w:ascii="Aptos" w:hAnsi="Aptos"/>
          <w:sz w:val="22"/>
          <w:szCs w:val="22"/>
        </w:rPr>
        <w:t>Fehlen von sozialer Durchmischung in Wohngebieten kann die sozialen und wirtschaftlichen Probleme in diesen Vierteln</w:t>
      </w:r>
      <w:r>
        <w:rPr>
          <w:rFonts w:ascii="Aptos" w:hAnsi="Aptos"/>
          <w:sz w:val="22"/>
          <w:szCs w:val="22"/>
        </w:rPr>
        <w:t xml:space="preserve"> zusätzlich</w:t>
      </w:r>
      <w:r w:rsidR="00353C4A" w:rsidRPr="00353C4A">
        <w:rPr>
          <w:rFonts w:ascii="Aptos" w:hAnsi="Aptos"/>
          <w:sz w:val="22"/>
          <w:szCs w:val="22"/>
        </w:rPr>
        <w:t xml:space="preserve"> verstärken. Aus Perspektive der Daseinsvorsorge ist der kommunale und gemeinnützige Wohnbau bei einer nachhaltigen Stadtentwicklung von entscheidender Bedeutung. Er dient der Vorbeugung vulnerabler Quartiere und der räumlich gerechten Verteilung leistbaren Wohnraums.</w:t>
      </w:r>
    </w:p>
    <w:p w14:paraId="4A9DEB55" w14:textId="77777777" w:rsidR="00B77A11" w:rsidRDefault="00B77A11" w:rsidP="00325640">
      <w:pPr>
        <w:rPr>
          <w:rFonts w:ascii="Aptos" w:hAnsi="Aptos"/>
        </w:rPr>
      </w:pPr>
    </w:p>
    <w:p w14:paraId="12671101" w14:textId="77777777" w:rsidR="007E3A3D" w:rsidRDefault="007E3A3D" w:rsidP="00325640">
      <w:pPr>
        <w:rPr>
          <w:rFonts w:ascii="Aptos" w:hAnsi="Aptos"/>
        </w:rPr>
      </w:pPr>
    </w:p>
    <w:p w14:paraId="0FB84118" w14:textId="77777777" w:rsidR="007E3A3D" w:rsidRDefault="007E3A3D" w:rsidP="00325640">
      <w:pPr>
        <w:rPr>
          <w:rFonts w:ascii="Aptos" w:hAnsi="Aptos"/>
        </w:rPr>
      </w:pPr>
    </w:p>
    <w:p w14:paraId="3857C733" w14:textId="77777777" w:rsidR="007E3A3D" w:rsidRDefault="007E3A3D" w:rsidP="00325640">
      <w:pPr>
        <w:rPr>
          <w:rFonts w:ascii="Aptos" w:hAnsi="Aptos"/>
        </w:rPr>
      </w:pPr>
    </w:p>
    <w:p w14:paraId="017B5CCA" w14:textId="77777777" w:rsidR="007E3A3D" w:rsidRDefault="007E3A3D" w:rsidP="00325640">
      <w:pPr>
        <w:rPr>
          <w:rFonts w:ascii="Aptos" w:hAnsi="Aptos"/>
        </w:rPr>
      </w:pPr>
    </w:p>
    <w:p w14:paraId="39787395" w14:textId="77777777" w:rsidR="007E3A3D" w:rsidRDefault="007E3A3D" w:rsidP="00325640">
      <w:pPr>
        <w:rPr>
          <w:rFonts w:ascii="Aptos" w:hAnsi="Aptos"/>
        </w:rPr>
      </w:pPr>
    </w:p>
    <w:p w14:paraId="068B7D84" w14:textId="77777777" w:rsidR="007E3A3D" w:rsidRDefault="007E3A3D" w:rsidP="00325640">
      <w:pPr>
        <w:rPr>
          <w:rFonts w:ascii="Aptos" w:hAnsi="Aptos"/>
        </w:rPr>
      </w:pPr>
    </w:p>
    <w:p w14:paraId="2839B5CF" w14:textId="77777777" w:rsidR="007E3A3D" w:rsidRDefault="007E3A3D" w:rsidP="00325640">
      <w:pPr>
        <w:rPr>
          <w:rFonts w:ascii="Aptos" w:hAnsi="Aptos"/>
        </w:rPr>
      </w:pPr>
    </w:p>
    <w:p w14:paraId="77308F74" w14:textId="77777777" w:rsidR="00B77A11" w:rsidRDefault="00B77A11" w:rsidP="00325640">
      <w:pPr>
        <w:rPr>
          <w:rFonts w:ascii="Aptos" w:hAnsi="Aptos"/>
        </w:rPr>
      </w:pPr>
    </w:p>
    <w:p w14:paraId="3DFA2D7F" w14:textId="77777777" w:rsidR="00D874BA" w:rsidRDefault="00D874BA" w:rsidP="00325640">
      <w:pPr>
        <w:rPr>
          <w:rFonts w:ascii="Aptos" w:eastAsiaTheme="majorEastAsia" w:hAnsi="Aptos" w:cstheme="majorBidi"/>
          <w:b/>
          <w:bCs/>
          <w:color w:val="E4342D"/>
        </w:rPr>
      </w:pPr>
    </w:p>
    <w:p w14:paraId="6882A73E" w14:textId="4900964C" w:rsidR="00D874BA" w:rsidRDefault="00FC4A11" w:rsidP="00D874BA">
      <w:pPr>
        <w:rPr>
          <w:rFonts w:ascii="Aptos" w:eastAsiaTheme="majorEastAsia" w:hAnsi="Aptos" w:cstheme="majorBidi"/>
          <w:b/>
          <w:bCs/>
          <w:color w:val="E4342D"/>
        </w:rPr>
      </w:pPr>
      <w:r w:rsidRPr="0082018A">
        <w:rPr>
          <w:rFonts w:ascii="Aptos" w:eastAsiaTheme="majorEastAsia" w:hAnsi="Aptos" w:cstheme="majorBidi"/>
          <w:b/>
          <w:bCs/>
          <w:color w:val="E4342D"/>
        </w:rPr>
        <w:t>Kurzzeitvermietung</w:t>
      </w:r>
    </w:p>
    <w:p w14:paraId="372DD0F1" w14:textId="77777777" w:rsidR="007E3A3D" w:rsidRPr="0050443A" w:rsidRDefault="007E3A3D" w:rsidP="00D874BA">
      <w:pPr>
        <w:rPr>
          <w:rFonts w:ascii="Aptos" w:hAnsi="Aptos"/>
          <w:i/>
          <w:iCs/>
          <w:sz w:val="22"/>
          <w:szCs w:val="22"/>
          <w:u w:val="single"/>
        </w:rPr>
      </w:pPr>
    </w:p>
    <w:tbl>
      <w:tblPr>
        <w:tblStyle w:val="TableGrid"/>
        <w:tblW w:w="0" w:type="auto"/>
        <w:tblInd w:w="108" w:type="dxa"/>
        <w:tblLook w:val="04A0" w:firstRow="1" w:lastRow="0" w:firstColumn="1" w:lastColumn="0" w:noHBand="0" w:noVBand="1"/>
      </w:tblPr>
      <w:tblGrid>
        <w:gridCol w:w="9060"/>
      </w:tblGrid>
      <w:tr w:rsidR="00F179F2" w:rsidRPr="0050443A" w14:paraId="68232723" w14:textId="77777777" w:rsidTr="00715DD3">
        <w:tc>
          <w:tcPr>
            <w:tcW w:w="9060" w:type="dxa"/>
            <w:shd w:val="clear" w:color="auto" w:fill="D9D9D9" w:themeFill="background1" w:themeFillShade="D9"/>
          </w:tcPr>
          <w:p w14:paraId="3827C0FB" w14:textId="7CE1350C" w:rsidR="00F179F2" w:rsidRPr="0050443A" w:rsidRDefault="00F179F2" w:rsidP="00072582">
            <w:pPr>
              <w:spacing w:before="120" w:after="120"/>
              <w:jc w:val="both"/>
              <w:rPr>
                <w:rFonts w:ascii="Aptos" w:hAnsi="Aptos"/>
                <w:b/>
                <w:iCs/>
                <w:sz w:val="22"/>
                <w:szCs w:val="22"/>
              </w:rPr>
            </w:pPr>
            <w:r w:rsidRPr="0050443A">
              <w:rPr>
                <w:rFonts w:ascii="Aptos" w:hAnsi="Aptos"/>
                <w:b/>
                <w:iCs/>
                <w:sz w:val="22"/>
                <w:szCs w:val="22"/>
              </w:rPr>
              <w:t>Frage</w:t>
            </w:r>
          </w:p>
        </w:tc>
      </w:tr>
      <w:tr w:rsidR="00F179F2" w:rsidRPr="0050443A" w14:paraId="72447DC3" w14:textId="77777777" w:rsidTr="00715DD3">
        <w:tc>
          <w:tcPr>
            <w:tcW w:w="9060" w:type="dxa"/>
          </w:tcPr>
          <w:p w14:paraId="27A14E45" w14:textId="7556D4BD" w:rsidR="00F179F2" w:rsidRPr="0050443A" w:rsidRDefault="007E3A3D" w:rsidP="00A00A8B">
            <w:pPr>
              <w:spacing w:before="120" w:after="120"/>
              <w:jc w:val="both"/>
              <w:rPr>
                <w:rFonts w:ascii="Aptos" w:hAnsi="Aptos"/>
                <w:b/>
                <w:bCs/>
                <w:sz w:val="22"/>
                <w:szCs w:val="22"/>
                <w:lang w:val="de-DE"/>
              </w:rPr>
            </w:pPr>
            <w:r w:rsidRPr="007E3A3D">
              <w:rPr>
                <w:rFonts w:ascii="Aptos" w:hAnsi="Aptos" w:cs="Segoe UI"/>
                <w:color w:val="0D0D0D"/>
                <w:sz w:val="22"/>
                <w:szCs w:val="22"/>
                <w:shd w:val="clear" w:color="auto" w:fill="FFFFFF"/>
              </w:rPr>
              <w:t>Die touristische Kurzzeitvermietung in europäischen Städten stellt insbesondere für kommunale und gemeinnützige Wohnungsanbieter eine Herausforderung dar. Plattformen wie AirBnB können zu einer Verknappung von Wohnraum führen, da Wohnungen für touristische Kurzzeitaufenthalte genutzt werden und somit langfristig Wohnraum für Einheimische verloren geht. Darüber hinaus können sie zur Kommerzialisierung von Wohngegenden und zu steigenden Miet- und Immobilienpreisen führen, was wiederum soziale Ungleichheit und Gentrifizierung verstärkt. Die Short-Term-Rental-Initiative (STRI) der EU stellt einen wichtigen Schritt zur Lösung dieses Problems dar.</w:t>
            </w:r>
            <w:r w:rsidR="00A00A8B" w:rsidRPr="00A00A8B">
              <w:rPr>
                <w:rFonts w:ascii="Aptos" w:hAnsi="Aptos" w:cs="Segoe UI"/>
                <w:color w:val="0D0D0D"/>
                <w:sz w:val="22"/>
                <w:szCs w:val="22"/>
                <w:shd w:val="clear" w:color="auto" w:fill="FFFFFF"/>
              </w:rPr>
              <w:t xml:space="preserve"> </w:t>
            </w:r>
            <w:r w:rsidR="00A00A8B" w:rsidRPr="00A00A8B">
              <w:rPr>
                <w:rFonts w:ascii="Aptos" w:hAnsi="Aptos" w:cs="Segoe UI"/>
                <w:b/>
                <w:bCs/>
                <w:color w:val="0D0D0D"/>
                <w:sz w:val="22"/>
                <w:szCs w:val="22"/>
                <w:shd w:val="clear" w:color="auto" w:fill="FFFFFF"/>
              </w:rPr>
              <w:t>Beabsichtigen Sie, die private touristische Kurzzeitvermietung in Europa weiter einzuschränken und zu regulieren?</w:t>
            </w:r>
          </w:p>
        </w:tc>
      </w:tr>
      <w:tr w:rsidR="00F179F2" w:rsidRPr="0050443A" w14:paraId="46C54A5E" w14:textId="77777777" w:rsidTr="00715DD3">
        <w:tc>
          <w:tcPr>
            <w:tcW w:w="9060" w:type="dxa"/>
            <w:shd w:val="clear" w:color="auto" w:fill="D9D9D9" w:themeFill="background1" w:themeFillShade="D9"/>
          </w:tcPr>
          <w:p w14:paraId="489993BB" w14:textId="60CB8D1C" w:rsidR="00F179F2" w:rsidRPr="0050443A" w:rsidRDefault="00F179F2" w:rsidP="00072582">
            <w:pPr>
              <w:spacing w:before="120" w:after="120"/>
              <w:jc w:val="both"/>
              <w:rPr>
                <w:rFonts w:ascii="Aptos" w:hAnsi="Aptos"/>
                <w:b/>
                <w:bCs/>
                <w:sz w:val="22"/>
                <w:szCs w:val="22"/>
              </w:rPr>
            </w:pPr>
            <w:r w:rsidRPr="0050443A">
              <w:rPr>
                <w:rFonts w:ascii="Aptos" w:hAnsi="Aptos"/>
                <w:b/>
                <w:bCs/>
                <w:sz w:val="22"/>
                <w:szCs w:val="22"/>
              </w:rPr>
              <w:t>Nachfrage</w:t>
            </w:r>
          </w:p>
        </w:tc>
      </w:tr>
      <w:tr w:rsidR="00F179F2" w:rsidRPr="0050443A" w14:paraId="64E72716" w14:textId="77777777" w:rsidTr="00715DD3">
        <w:tc>
          <w:tcPr>
            <w:tcW w:w="9060" w:type="dxa"/>
          </w:tcPr>
          <w:p w14:paraId="31027D3A" w14:textId="3CB3579A" w:rsidR="002852F0" w:rsidRPr="002852F0" w:rsidRDefault="002852F0" w:rsidP="002852F0">
            <w:pPr>
              <w:pStyle w:val="ListParagraph"/>
              <w:numPr>
                <w:ilvl w:val="0"/>
                <w:numId w:val="90"/>
              </w:numPr>
              <w:spacing w:before="120" w:after="120"/>
              <w:jc w:val="both"/>
              <w:rPr>
                <w:rFonts w:ascii="Aptos" w:hAnsi="Aptos"/>
                <w:sz w:val="22"/>
                <w:szCs w:val="22"/>
              </w:rPr>
            </w:pPr>
            <w:r w:rsidRPr="002852F0">
              <w:rPr>
                <w:rFonts w:ascii="Aptos" w:hAnsi="Aptos"/>
                <w:sz w:val="22"/>
                <w:szCs w:val="22"/>
              </w:rPr>
              <w:t xml:space="preserve">Wie wollen Sie sicherstellen, dass </w:t>
            </w:r>
            <w:r w:rsidR="00074BCE" w:rsidRPr="00325640">
              <w:rPr>
                <w:rFonts w:ascii="Aptos" w:hAnsi="Aptos"/>
                <w:sz w:val="22"/>
                <w:szCs w:val="22"/>
              </w:rPr>
              <w:t>gemein</w:t>
            </w:r>
            <w:r w:rsidR="00074BCE">
              <w:rPr>
                <w:rFonts w:ascii="Aptos" w:hAnsi="Aptos"/>
                <w:sz w:val="22"/>
                <w:szCs w:val="22"/>
              </w:rPr>
              <w:t>nützige</w:t>
            </w:r>
            <w:r w:rsidR="008E6447">
              <w:rPr>
                <w:rFonts w:ascii="Aptos" w:hAnsi="Aptos"/>
                <w:sz w:val="22"/>
                <w:szCs w:val="22"/>
              </w:rPr>
              <w:t>r</w:t>
            </w:r>
            <w:r w:rsidR="00074BCE" w:rsidRPr="00325640">
              <w:rPr>
                <w:rFonts w:ascii="Aptos" w:hAnsi="Aptos"/>
                <w:sz w:val="22"/>
                <w:szCs w:val="22"/>
              </w:rPr>
              <w:t xml:space="preserve"> </w:t>
            </w:r>
            <w:r w:rsidRPr="002852F0">
              <w:rPr>
                <w:rFonts w:ascii="Aptos" w:hAnsi="Aptos"/>
                <w:sz w:val="22"/>
                <w:szCs w:val="22"/>
              </w:rPr>
              <w:t xml:space="preserve">bzw. geförderter Wohnraum nicht für touristische Kurzzeitvermietungen (z.B. Airbnb) zweckentfremdet wird? </w:t>
            </w:r>
          </w:p>
          <w:p w14:paraId="56780C8A" w14:textId="77777777" w:rsidR="00F179F2" w:rsidRDefault="002852F0" w:rsidP="002852F0">
            <w:pPr>
              <w:pStyle w:val="ListParagraph"/>
              <w:numPr>
                <w:ilvl w:val="0"/>
                <w:numId w:val="90"/>
              </w:numPr>
              <w:spacing w:before="120" w:after="120"/>
              <w:jc w:val="both"/>
              <w:rPr>
                <w:rFonts w:ascii="Aptos" w:hAnsi="Aptos"/>
                <w:sz w:val="22"/>
                <w:szCs w:val="22"/>
              </w:rPr>
            </w:pPr>
            <w:r w:rsidRPr="002852F0">
              <w:rPr>
                <w:rFonts w:ascii="Aptos" w:hAnsi="Aptos"/>
                <w:sz w:val="22"/>
                <w:szCs w:val="22"/>
              </w:rPr>
              <w:t>Sind EU-Programme geplant, um den Mehraufwand der Kommunen - z.B. den Verwaltungsaufwand für die Registrierung und Kontrolle von touristisch vermieteten Wohnungen auf Plattformen - auszugleichen?</w:t>
            </w:r>
          </w:p>
          <w:p w14:paraId="19C2E566" w14:textId="5685DCC7" w:rsidR="003A432D" w:rsidRPr="0050443A" w:rsidRDefault="003A432D" w:rsidP="002852F0">
            <w:pPr>
              <w:pStyle w:val="ListParagraph"/>
              <w:numPr>
                <w:ilvl w:val="0"/>
                <w:numId w:val="90"/>
              </w:numPr>
              <w:spacing w:before="120" w:after="120"/>
              <w:jc w:val="both"/>
              <w:rPr>
                <w:rFonts w:ascii="Aptos" w:hAnsi="Aptos"/>
                <w:sz w:val="22"/>
                <w:szCs w:val="22"/>
              </w:rPr>
            </w:pPr>
            <w:r w:rsidRPr="003A432D">
              <w:rPr>
                <w:rFonts w:ascii="Aptos" w:hAnsi="Aptos"/>
                <w:sz w:val="22"/>
                <w:szCs w:val="22"/>
              </w:rPr>
              <w:t>Planen Sie die Einführung einer an Kurzzeitvermietungsplattformen gerichteten Offenlegungspflicht, um dem Phänomen des dauerhaften Entzugs von Wohnungen vom Wohnungsmarkt effektiv begegnen zu können?</w:t>
            </w:r>
          </w:p>
        </w:tc>
      </w:tr>
    </w:tbl>
    <w:p w14:paraId="0D97161E" w14:textId="77777777" w:rsidR="00715DD3" w:rsidRPr="00002BF2" w:rsidRDefault="00715DD3" w:rsidP="00715DD3"/>
    <w:tbl>
      <w:tblPr>
        <w:tblStyle w:val="TableNormal1"/>
        <w:tblW w:w="0" w:type="auto"/>
        <w:tblLayout w:type="fixed"/>
        <w:tblLook w:val="01E0" w:firstRow="1" w:lastRow="1" w:firstColumn="1" w:lastColumn="1" w:noHBand="0" w:noVBand="0"/>
      </w:tblPr>
      <w:tblGrid>
        <w:gridCol w:w="9066"/>
      </w:tblGrid>
      <w:tr w:rsidR="00715DD3" w:rsidRPr="009B5839" w14:paraId="79B2F2B1" w14:textId="77777777" w:rsidTr="003D4657">
        <w:trPr>
          <w:trHeight w:val="277"/>
        </w:trPr>
        <w:tc>
          <w:tcPr>
            <w:tcW w:w="9066" w:type="dxa"/>
            <w:shd w:val="clear" w:color="auto" w:fill="D9D9D9"/>
          </w:tcPr>
          <w:p w14:paraId="343F4125" w14:textId="77777777" w:rsidR="00715DD3" w:rsidRPr="009B5839" w:rsidRDefault="00715DD3" w:rsidP="00715DD3">
            <w:pPr>
              <w:pStyle w:val="TableParagraph"/>
              <w:ind w:left="0"/>
              <w:rPr>
                <w:rFonts w:ascii="Aptos" w:hAnsi="Aptos"/>
                <w:b/>
                <w:sz w:val="24"/>
              </w:rPr>
            </w:pPr>
            <w:r>
              <w:rPr>
                <w:rFonts w:ascii="Aptos" w:hAnsi="Aptos"/>
                <w:b/>
                <w:sz w:val="24"/>
              </w:rPr>
              <w:t>Hintergrundinformationen</w:t>
            </w:r>
          </w:p>
        </w:tc>
      </w:tr>
    </w:tbl>
    <w:p w14:paraId="627C6168" w14:textId="0500DFD1" w:rsidR="00D874BA" w:rsidRDefault="007E3A3D" w:rsidP="00715DD3">
      <w:pPr>
        <w:pStyle w:val="NormalWeb"/>
        <w:spacing w:before="0" w:beforeAutospacing="0" w:after="0" w:afterAutospacing="0"/>
        <w:jc w:val="both"/>
        <w:rPr>
          <w:rFonts w:ascii="Aptos" w:eastAsiaTheme="minorHAnsi" w:hAnsi="Aptos" w:cstheme="minorBidi"/>
          <w:sz w:val="22"/>
          <w:szCs w:val="22"/>
          <w:lang w:eastAsia="en-US"/>
        </w:rPr>
      </w:pPr>
      <w:r w:rsidRPr="007E3A3D">
        <w:rPr>
          <w:rFonts w:ascii="Aptos" w:eastAsiaTheme="minorHAnsi" w:hAnsi="Aptos" w:cstheme="minorBidi"/>
          <w:sz w:val="22"/>
          <w:szCs w:val="22"/>
          <w:lang w:eastAsia="en-US"/>
        </w:rPr>
        <w:t>Die Geschäftspraktiken von Airbnb und anderen Plattformen für touristische Kurzzeitvermietungen in europäischen Städten sind insbesondere für kommunale und gemeinnützige Wohnungsanbieter mit Herausforderungen verbunden.</w:t>
      </w:r>
      <w:r w:rsidR="00D874BA" w:rsidRPr="00D874BA">
        <w:rPr>
          <w:rFonts w:ascii="Aptos" w:eastAsiaTheme="minorHAnsi" w:hAnsi="Aptos" w:cstheme="minorBidi"/>
          <w:sz w:val="22"/>
          <w:szCs w:val="22"/>
          <w:lang w:eastAsia="en-US"/>
        </w:rPr>
        <w:t xml:space="preserve"> Die Nutzung dieser Plattformen kann zu einer Verknappung von Wohnraum führen, da Wohnungen für Kurzaufenthalte genutzt werden, was langfristig die Verfügbarkeit von Wohnraum für Einheimische einschränkt. Dies kann zu einer Kommerzialisierung von Wohngegenden und steigenden Miet- und Immobilienpreisen führen, was wiederum soziale Ungleichheit und Gentrifizierung verstärkt. Diese Entwicklung beeinträchtigt das Ziel von kommunalen und gemeinnützigen Wohnungsanbietern, bezahlbaren Wohnraum für einkommensschwache Bevölkerungsgruppen bereitzustellen, da sie mit der Konkurrenz durch kurzfristige Vermietungen konfrontiert sind. Die Short-Term-Rental-Initiative (STR</w:t>
      </w:r>
      <w:r w:rsidR="00D874BA">
        <w:rPr>
          <w:rFonts w:ascii="Aptos" w:eastAsiaTheme="minorHAnsi" w:hAnsi="Aptos" w:cstheme="minorBidi"/>
          <w:sz w:val="22"/>
          <w:szCs w:val="22"/>
          <w:lang w:eastAsia="en-US"/>
        </w:rPr>
        <w:t>I</w:t>
      </w:r>
      <w:r w:rsidR="00D874BA" w:rsidRPr="00D874BA">
        <w:rPr>
          <w:rFonts w:ascii="Aptos" w:eastAsiaTheme="minorHAnsi" w:hAnsi="Aptos" w:cstheme="minorBidi"/>
          <w:sz w:val="22"/>
          <w:szCs w:val="22"/>
          <w:lang w:eastAsia="en-US"/>
        </w:rPr>
        <w:t>) der EU ist ein wichtiger Schritt, um dieses Problem anzugehen, indem sie darauf abzielt, kurzfristige Vermietungen in Europa zu regulieren und gemeinsame Standards und Regulierungsansätze zu entwickeln</w:t>
      </w:r>
      <w:r w:rsidR="00D874BA">
        <w:rPr>
          <w:rFonts w:ascii="Aptos" w:eastAsiaTheme="minorHAnsi" w:hAnsi="Aptos" w:cstheme="minorBidi"/>
          <w:sz w:val="22"/>
          <w:szCs w:val="22"/>
          <w:lang w:eastAsia="en-US"/>
        </w:rPr>
        <w:t xml:space="preserve"> (1)</w:t>
      </w:r>
      <w:r w:rsidR="00D874BA" w:rsidRPr="00D874BA">
        <w:rPr>
          <w:rFonts w:ascii="Aptos" w:eastAsiaTheme="minorHAnsi" w:hAnsi="Aptos" w:cstheme="minorBidi"/>
          <w:sz w:val="22"/>
          <w:szCs w:val="22"/>
          <w:lang w:eastAsia="en-US"/>
        </w:rPr>
        <w:t>. Dennoch sind aus Perspektive der Daseinsvorsorge weitere Maßnahmen auf lokaler und nationaler Ebene erforderlich, um sicherzustellen, dass kurzfristige Vermietungen den sozialen und wirtschaftlichen Bedürfnissen der Städte entsprechen und die Verfügbarkeit von langfristigem, bezahlbarem Wohnraum nicht beeinträchtigen</w:t>
      </w:r>
      <w:r w:rsidR="00D874BA">
        <w:rPr>
          <w:rFonts w:ascii="Aptos" w:eastAsiaTheme="minorHAnsi" w:hAnsi="Aptos" w:cstheme="minorBidi"/>
          <w:sz w:val="22"/>
          <w:szCs w:val="22"/>
          <w:lang w:eastAsia="en-US"/>
        </w:rPr>
        <w:t>.</w:t>
      </w:r>
    </w:p>
    <w:p w14:paraId="7D462B1E" w14:textId="77777777" w:rsidR="00715DD3" w:rsidRDefault="00715DD3" w:rsidP="00715DD3">
      <w:pPr>
        <w:pStyle w:val="NormalWeb"/>
        <w:spacing w:before="0" w:beforeAutospacing="0" w:after="0" w:afterAutospacing="0"/>
        <w:jc w:val="both"/>
        <w:rPr>
          <w:rFonts w:ascii="Aptos" w:eastAsiaTheme="minorHAnsi" w:hAnsi="Aptos" w:cstheme="minorBidi"/>
          <w:sz w:val="22"/>
          <w:szCs w:val="22"/>
          <w:lang w:eastAsia="en-US"/>
        </w:rPr>
      </w:pPr>
    </w:p>
    <w:p w14:paraId="75478DF8" w14:textId="509FBF30" w:rsidR="00D874BA" w:rsidRPr="00A0603B" w:rsidRDefault="00D874BA" w:rsidP="00D874BA">
      <w:pPr>
        <w:pStyle w:val="ListParagraph"/>
        <w:numPr>
          <w:ilvl w:val="0"/>
          <w:numId w:val="112"/>
        </w:numPr>
        <w:jc w:val="both"/>
        <w:rPr>
          <w:rFonts w:ascii="Aptos" w:hAnsi="Aptos"/>
          <w:sz w:val="18"/>
          <w:szCs w:val="18"/>
          <w:lang w:val="en-GB"/>
        </w:rPr>
      </w:pPr>
      <w:r>
        <w:rPr>
          <w:rFonts w:ascii="Aptos" w:hAnsi="Aptos"/>
          <w:sz w:val="18"/>
          <w:szCs w:val="18"/>
          <w:lang w:val="en-GB"/>
        </w:rPr>
        <w:t>European Parliament</w:t>
      </w:r>
      <w:r w:rsidRPr="00A0603B">
        <w:rPr>
          <w:rFonts w:ascii="Aptos" w:hAnsi="Aptos"/>
          <w:sz w:val="18"/>
          <w:szCs w:val="18"/>
          <w:lang w:val="en-GB"/>
        </w:rPr>
        <w:t xml:space="preserve"> 202</w:t>
      </w:r>
      <w:r>
        <w:rPr>
          <w:rFonts w:ascii="Aptos" w:hAnsi="Aptos"/>
          <w:sz w:val="18"/>
          <w:szCs w:val="18"/>
          <w:lang w:val="en-GB"/>
        </w:rPr>
        <w:t>4</w:t>
      </w:r>
      <w:r w:rsidRPr="00A0603B">
        <w:rPr>
          <w:rFonts w:ascii="Aptos" w:hAnsi="Aptos"/>
          <w:sz w:val="18"/>
          <w:szCs w:val="18"/>
          <w:lang w:val="en-GB"/>
        </w:rPr>
        <w:t xml:space="preserve">: </w:t>
      </w:r>
      <w:r w:rsidRPr="00D874BA">
        <w:rPr>
          <w:rFonts w:ascii="Aptos" w:hAnsi="Aptos"/>
          <w:sz w:val="18"/>
          <w:szCs w:val="18"/>
          <w:lang w:val="en-GB"/>
        </w:rPr>
        <w:t>New rules for a responsible and transparent short-term rental sector</w:t>
      </w:r>
    </w:p>
    <w:p w14:paraId="551E646B" w14:textId="1F66CA2F" w:rsidR="00D874BA" w:rsidRDefault="00000000" w:rsidP="00D874BA">
      <w:pPr>
        <w:pStyle w:val="ListParagraph"/>
        <w:ind w:left="360"/>
        <w:jc w:val="both"/>
        <w:rPr>
          <w:rStyle w:val="Hyperlink"/>
          <w:rFonts w:ascii="Aptos" w:hAnsi="Aptos"/>
          <w:sz w:val="18"/>
          <w:szCs w:val="18"/>
          <w:lang w:val="en-GB"/>
        </w:rPr>
      </w:pPr>
      <w:hyperlink r:id="rId37" w:history="1">
        <w:r w:rsidR="00D874BA" w:rsidRPr="00D874BA">
          <w:rPr>
            <w:rStyle w:val="Hyperlink"/>
            <w:rFonts w:ascii="Aptos" w:hAnsi="Aptos"/>
            <w:sz w:val="18"/>
            <w:szCs w:val="18"/>
            <w:lang w:val="en-GB"/>
          </w:rPr>
          <w:t>https://www.europarl.europa.eu/news/en/press-room/20240223IPR18094/new-rules-for-a-responsible-and-transparent-short-term-rental-sector</w:t>
        </w:r>
      </w:hyperlink>
    </w:p>
    <w:p w14:paraId="23662793" w14:textId="77777777" w:rsidR="007E3A3D" w:rsidRDefault="007E3A3D" w:rsidP="00325640">
      <w:pPr>
        <w:rPr>
          <w:rFonts w:ascii="Aptos" w:hAnsi="Aptos"/>
          <w:bCs/>
          <w:sz w:val="22"/>
          <w:szCs w:val="22"/>
          <w:lang w:val="en-GB"/>
        </w:rPr>
      </w:pPr>
    </w:p>
    <w:p w14:paraId="5ED081D7" w14:textId="77777777" w:rsidR="002C6C9E" w:rsidRPr="00D874BA" w:rsidRDefault="002C6C9E" w:rsidP="00325640">
      <w:pPr>
        <w:rPr>
          <w:rFonts w:ascii="Aptos" w:hAnsi="Aptos"/>
          <w:bCs/>
          <w:sz w:val="22"/>
          <w:szCs w:val="22"/>
          <w:lang w:val="en-GB"/>
        </w:rPr>
      </w:pPr>
    </w:p>
    <w:p w14:paraId="1E26D6D7" w14:textId="210900C8" w:rsidR="00607F98" w:rsidRDefault="00FC4A11" w:rsidP="007E3A3D">
      <w:pPr>
        <w:rPr>
          <w:rFonts w:ascii="Aptos" w:eastAsiaTheme="majorEastAsia" w:hAnsi="Aptos" w:cstheme="majorBidi"/>
          <w:b/>
          <w:bCs/>
          <w:color w:val="E4342D"/>
        </w:rPr>
      </w:pPr>
      <w:r w:rsidRPr="0082018A">
        <w:rPr>
          <w:rFonts w:ascii="Aptos" w:eastAsiaTheme="majorEastAsia" w:hAnsi="Aptos" w:cstheme="majorBidi"/>
          <w:b/>
          <w:bCs/>
          <w:color w:val="E4342D"/>
        </w:rPr>
        <w:t>Klimaresiliente Quartiere</w:t>
      </w:r>
    </w:p>
    <w:p w14:paraId="268DBC3D" w14:textId="77777777" w:rsidR="002C6C9E" w:rsidRPr="0050443A" w:rsidRDefault="002C6C9E" w:rsidP="007E3A3D">
      <w:pPr>
        <w:rPr>
          <w:rFonts w:ascii="Aptos" w:hAnsi="Aptos"/>
          <w:i/>
          <w:iCs/>
          <w:sz w:val="22"/>
          <w:szCs w:val="22"/>
          <w:u w:val="single"/>
        </w:rPr>
      </w:pPr>
    </w:p>
    <w:tbl>
      <w:tblPr>
        <w:tblStyle w:val="TableGrid"/>
        <w:tblW w:w="0" w:type="auto"/>
        <w:tblInd w:w="108" w:type="dxa"/>
        <w:tblLook w:val="04A0" w:firstRow="1" w:lastRow="0" w:firstColumn="1" w:lastColumn="0" w:noHBand="0" w:noVBand="1"/>
      </w:tblPr>
      <w:tblGrid>
        <w:gridCol w:w="9060"/>
      </w:tblGrid>
      <w:tr w:rsidR="00607F98" w:rsidRPr="0050443A" w14:paraId="2B64A1AD" w14:textId="77777777" w:rsidTr="00715DD3">
        <w:tc>
          <w:tcPr>
            <w:tcW w:w="9060" w:type="dxa"/>
            <w:shd w:val="clear" w:color="auto" w:fill="D9D9D9" w:themeFill="background1" w:themeFillShade="D9"/>
          </w:tcPr>
          <w:p w14:paraId="530CC168" w14:textId="23EF3A02" w:rsidR="00607F98" w:rsidRPr="0050443A" w:rsidRDefault="00607F98" w:rsidP="00072582">
            <w:pPr>
              <w:spacing w:before="120" w:after="120"/>
              <w:jc w:val="both"/>
              <w:rPr>
                <w:rFonts w:ascii="Aptos" w:hAnsi="Aptos"/>
                <w:b/>
                <w:iCs/>
                <w:sz w:val="22"/>
                <w:szCs w:val="22"/>
              </w:rPr>
            </w:pPr>
            <w:r w:rsidRPr="0050443A">
              <w:rPr>
                <w:rFonts w:ascii="Aptos" w:hAnsi="Aptos"/>
                <w:b/>
                <w:iCs/>
                <w:sz w:val="22"/>
                <w:szCs w:val="22"/>
              </w:rPr>
              <w:t>Frage</w:t>
            </w:r>
          </w:p>
        </w:tc>
      </w:tr>
      <w:tr w:rsidR="00607F98" w:rsidRPr="0050443A" w14:paraId="348393FE" w14:textId="77777777" w:rsidTr="00715DD3">
        <w:tc>
          <w:tcPr>
            <w:tcW w:w="9060" w:type="dxa"/>
          </w:tcPr>
          <w:p w14:paraId="4E9B3D18" w14:textId="0B16F743" w:rsidR="00607F98" w:rsidRPr="0050443A" w:rsidRDefault="007E3A3D" w:rsidP="002852F0">
            <w:pPr>
              <w:spacing w:before="120" w:after="120"/>
              <w:jc w:val="both"/>
              <w:rPr>
                <w:rFonts w:ascii="Aptos" w:hAnsi="Aptos"/>
                <w:b/>
                <w:bCs/>
                <w:sz w:val="22"/>
                <w:szCs w:val="22"/>
              </w:rPr>
            </w:pPr>
            <w:r w:rsidRPr="007E3A3D">
              <w:rPr>
                <w:rFonts w:ascii="Aptos" w:hAnsi="Aptos" w:cs="Segoe UI"/>
                <w:color w:val="0D0D0D"/>
                <w:sz w:val="22"/>
                <w:szCs w:val="22"/>
                <w:shd w:val="clear" w:color="auto" w:fill="FFFFFF"/>
              </w:rPr>
              <w:t xml:space="preserve">Um die europäischen Städte klimaresilient zu machen, ist ein Quartiersansatz in der Stadtentwicklung erforderlich. Der Quartiersansatz in der Stadtentwicklung bezieht sich auf die Planung und Entwicklung von Stadtquartieren auf lokaler Ebene. Dabei stehen die Bedürfnisse und das soziale Miteinander der Bewohner im Vordergrund. Dies ist eine wesentliche Voraussetzung, um die Akzeptanz für baulich-investive Maßnahmen zu fördern und die Lebensqualität nachhaltig zu verbessern. </w:t>
            </w:r>
            <w:r w:rsidR="002852F0" w:rsidRPr="002852F0">
              <w:rPr>
                <w:rFonts w:ascii="Aptos" w:hAnsi="Aptos" w:cs="Segoe UI"/>
                <w:b/>
                <w:bCs/>
                <w:color w:val="0D0D0D"/>
                <w:sz w:val="22"/>
                <w:szCs w:val="22"/>
                <w:shd w:val="clear" w:color="auto" w:fill="FFFFFF"/>
              </w:rPr>
              <w:t>Welche Initiativen planen Sie, um sichere, widerstandsfähige und an den Klimawandel angepasste Quartiere zu fördern?</w:t>
            </w:r>
          </w:p>
        </w:tc>
      </w:tr>
      <w:tr w:rsidR="00607F98" w:rsidRPr="0050443A" w14:paraId="13EB7C32" w14:textId="77777777" w:rsidTr="00715DD3">
        <w:tc>
          <w:tcPr>
            <w:tcW w:w="9060" w:type="dxa"/>
            <w:shd w:val="clear" w:color="auto" w:fill="D9D9D9" w:themeFill="background1" w:themeFillShade="D9"/>
          </w:tcPr>
          <w:p w14:paraId="36D13BAF" w14:textId="2E4765D4" w:rsidR="00607F98" w:rsidRPr="0050443A" w:rsidRDefault="00607F98" w:rsidP="00072582">
            <w:pPr>
              <w:spacing w:before="120" w:after="120"/>
              <w:jc w:val="both"/>
              <w:rPr>
                <w:rFonts w:ascii="Aptos" w:hAnsi="Aptos"/>
                <w:b/>
                <w:bCs/>
                <w:sz w:val="22"/>
                <w:szCs w:val="22"/>
              </w:rPr>
            </w:pPr>
            <w:r w:rsidRPr="0050443A">
              <w:rPr>
                <w:rFonts w:ascii="Aptos" w:hAnsi="Aptos"/>
                <w:b/>
                <w:bCs/>
                <w:sz w:val="22"/>
                <w:szCs w:val="22"/>
              </w:rPr>
              <w:t>Nachfrage</w:t>
            </w:r>
          </w:p>
        </w:tc>
      </w:tr>
      <w:tr w:rsidR="00607F98" w:rsidRPr="0050443A" w14:paraId="7747DF2C" w14:textId="77777777" w:rsidTr="00715DD3">
        <w:tc>
          <w:tcPr>
            <w:tcW w:w="9060" w:type="dxa"/>
          </w:tcPr>
          <w:p w14:paraId="6ABA23B8" w14:textId="57C816F8" w:rsidR="002852F0" w:rsidRPr="002852F0" w:rsidRDefault="002852F0" w:rsidP="00927964">
            <w:pPr>
              <w:pStyle w:val="ListParagraph"/>
              <w:numPr>
                <w:ilvl w:val="0"/>
                <w:numId w:val="89"/>
              </w:numPr>
              <w:spacing w:before="120" w:after="120"/>
              <w:jc w:val="both"/>
              <w:rPr>
                <w:rFonts w:ascii="Aptos" w:hAnsi="Aptos"/>
                <w:sz w:val="22"/>
                <w:szCs w:val="22"/>
              </w:rPr>
            </w:pPr>
            <w:r w:rsidRPr="002852F0">
              <w:rPr>
                <w:rFonts w:ascii="Aptos" w:hAnsi="Aptos"/>
                <w:sz w:val="22"/>
                <w:szCs w:val="22"/>
              </w:rPr>
              <w:t>Welche Rolle spielt aus Ihrer Sicht der Quartiersansatz und welche Anknüpfungspunkte sehen Sie zur Verkehrspolitik, um die Anpassung an den Klimawandel in europäischen Städten zu gewährleisten?</w:t>
            </w:r>
          </w:p>
          <w:p w14:paraId="4C0858EA" w14:textId="14D9ACD6" w:rsidR="00FC4A11" w:rsidRPr="0050443A" w:rsidRDefault="002852F0" w:rsidP="002852F0">
            <w:pPr>
              <w:pStyle w:val="ListParagraph"/>
              <w:numPr>
                <w:ilvl w:val="0"/>
                <w:numId w:val="89"/>
              </w:numPr>
              <w:spacing w:before="120" w:after="120"/>
              <w:jc w:val="both"/>
              <w:rPr>
                <w:rFonts w:ascii="Aptos" w:hAnsi="Aptos"/>
                <w:sz w:val="22"/>
                <w:szCs w:val="22"/>
              </w:rPr>
            </w:pPr>
            <w:r w:rsidRPr="002852F0">
              <w:rPr>
                <w:rFonts w:ascii="Aptos" w:hAnsi="Aptos"/>
                <w:sz w:val="22"/>
                <w:szCs w:val="22"/>
              </w:rPr>
              <w:t>Welche Gefahr sehen Sie in der Zunahme von Hitzetagen in europäischen Großstädten und welche kurz- und langfristigen Maßnahmen planen Sie, um vulnerable Gruppen vor dieser temporären Gesundheitsgefährdung zu schützen?</w:t>
            </w:r>
          </w:p>
        </w:tc>
      </w:tr>
    </w:tbl>
    <w:p w14:paraId="44893E52" w14:textId="77777777" w:rsidR="009A4C7E" w:rsidRDefault="009A4C7E" w:rsidP="00607F98">
      <w:pPr>
        <w:spacing w:after="120"/>
        <w:jc w:val="both"/>
      </w:pPr>
    </w:p>
    <w:tbl>
      <w:tblPr>
        <w:tblStyle w:val="TableNormal1"/>
        <w:tblW w:w="0" w:type="auto"/>
        <w:tblLayout w:type="fixed"/>
        <w:tblLook w:val="01E0" w:firstRow="1" w:lastRow="1" w:firstColumn="1" w:lastColumn="1" w:noHBand="0" w:noVBand="0"/>
      </w:tblPr>
      <w:tblGrid>
        <w:gridCol w:w="9066"/>
      </w:tblGrid>
      <w:tr w:rsidR="00715DD3" w:rsidRPr="009B5839" w14:paraId="4F03CB39" w14:textId="77777777" w:rsidTr="003D4657">
        <w:trPr>
          <w:trHeight w:val="277"/>
        </w:trPr>
        <w:tc>
          <w:tcPr>
            <w:tcW w:w="9066" w:type="dxa"/>
            <w:shd w:val="clear" w:color="auto" w:fill="D9D9D9"/>
          </w:tcPr>
          <w:p w14:paraId="6322F452" w14:textId="77777777" w:rsidR="00715DD3" w:rsidRPr="009B5839" w:rsidRDefault="00715DD3" w:rsidP="003D4657">
            <w:pPr>
              <w:pStyle w:val="TableParagraph"/>
              <w:spacing w:line="258" w:lineRule="exact"/>
              <w:ind w:left="0"/>
              <w:rPr>
                <w:rFonts w:ascii="Aptos" w:hAnsi="Aptos"/>
                <w:b/>
                <w:sz w:val="24"/>
              </w:rPr>
            </w:pPr>
            <w:r>
              <w:rPr>
                <w:rFonts w:ascii="Aptos" w:hAnsi="Aptos"/>
                <w:b/>
                <w:sz w:val="24"/>
              </w:rPr>
              <w:t>Hintergrundinformationen</w:t>
            </w:r>
          </w:p>
        </w:tc>
      </w:tr>
    </w:tbl>
    <w:p w14:paraId="1B4996D8" w14:textId="1A660CE1" w:rsidR="00607F98" w:rsidRPr="0050443A" w:rsidRDefault="009B2678" w:rsidP="009B2678">
      <w:pPr>
        <w:spacing w:after="120"/>
        <w:jc w:val="both"/>
        <w:rPr>
          <w:rFonts w:ascii="Aptos" w:hAnsi="Aptos"/>
          <w:i/>
          <w:iCs/>
          <w:sz w:val="22"/>
          <w:szCs w:val="22"/>
          <w:u w:val="single"/>
        </w:rPr>
      </w:pPr>
      <w:r w:rsidRPr="009B2678">
        <w:t>Um die europäischen Städte klimaresilient zu machen, ist ein Quartiersansatz in der Stadtentwicklung erforderlich, der die Anforderungen an die urbane Mobilität und die Notwendigkeit der Anpassung an den Klimawandel, insbesondere angesichts der Zunahme von Hitzetagen, berücksichtigt. Der Ansatz zielt auf die Planung und Entwicklung von Stadtquartieren auf lokaler Ebene ab. Dabei stehen die Bedürfnisse und das soziale Miteinander der Bewohner im Vordergrund. Die Schaffung klimaresilienter Quartiere erfordert somit einen ganzheitlichen Ansatz, der sowohl infrastrukturelle als auch soziale Aspekte berücksichtigt und öffentliche, kommunale und gemeinnützige Akteure zusammenbringt. Dies ist eine wesentliche Voraussetzung, um die Akzeptanz für baulich-investive Maßnahmen zu fördern und die Lebensqualität nachhaltig zu verbessern. Eine effektive Stadtentwicklungspolitik muss daher die Integration von nachhaltigen Verkehrssystemen, Grünflächen und Anpassungsmaßnahmen an den Klimawandel in den Quartiersansatz integrieren. Der Ausbau von Fuß- und Radwegen, die Schaffung von öffentlichen Grünflächen sowie die Installation von hitzeresistenten Infrastrukturen wie Dach- und Fassadenbegrünungen tragen dazu bei, die Lebensqualität in städtischen Gebieten zu verbessern und gleichzeitig die Folgen des Klimawandels abzumildern. Aus der Perspektive der Daseinsvorsorge ist ein solcher Politikansatz zu begrüßen, zumal viele dieser Leistungen des täglichen Bedarfs wie bezahlbarer Wohnraum, urbane Mobilität und Gesundheitseinrichtungen von staatlichen, kommunalen und gemeinnützigen Akteuren bereitgestellt werden.</w:t>
      </w:r>
    </w:p>
    <w:sectPr w:rsidR="00607F98" w:rsidRPr="0050443A" w:rsidSect="00C0412A">
      <w:headerReference w:type="even" r:id="rId38"/>
      <w:headerReference w:type="default" r:id="rId39"/>
      <w:footerReference w:type="even" r:id="rId40"/>
      <w:footerReference w:type="default" r:id="rId41"/>
      <w:headerReference w:type="first" r:id="rId42"/>
      <w:footerReference w:type="first" r:id="rId43"/>
      <w:pgSz w:w="11906" w:h="16838"/>
      <w:pgMar w:top="1418" w:right="1418" w:bottom="1134" w:left="1418" w:header="708" w:footer="51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DD4C0FA" w14:textId="77777777" w:rsidR="00323A7E" w:rsidRDefault="00323A7E" w:rsidP="00AB3D08">
      <w:r>
        <w:separator/>
      </w:r>
    </w:p>
  </w:endnote>
  <w:endnote w:type="continuationSeparator" w:id="0">
    <w:p w14:paraId="1484D936" w14:textId="77777777" w:rsidR="00323A7E" w:rsidRDefault="00323A7E" w:rsidP="00AB3D0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Segoe UI">
    <w:panose1 w:val="020B0502040204020203"/>
    <w:charset w:val="00"/>
    <w:family w:val="swiss"/>
    <w:pitch w:val="variable"/>
    <w:sig w:usb0="E4002EFF" w:usb1="C000E47F" w:usb2="00000009" w:usb3="00000000" w:csb0="000001FF" w:csb1="00000000"/>
  </w:font>
  <w:font w:name="Arial MT">
    <w:altName w:val="Arial"/>
    <w:charset w:val="01"/>
    <w:family w:val="swiss"/>
    <w:pitch w:val="variable"/>
  </w:font>
  <w:font w:name="Open Sans">
    <w:charset w:val="00"/>
    <w:family w:val="swiss"/>
    <w:pitch w:val="variable"/>
    <w:sig w:usb0="E00002EF" w:usb1="4000205B" w:usb2="00000028"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7B619DB" w14:textId="77777777" w:rsidR="0050443A" w:rsidRDefault="0050443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250F69C" w14:textId="77777777" w:rsidR="0050443A" w:rsidRPr="00CD3D28" w:rsidRDefault="0050443A" w:rsidP="009D4B62">
    <w:pPr>
      <w:pStyle w:val="Footer"/>
      <w:rPr>
        <w:rFonts w:ascii="Aptos" w:hAnsi="Aptos"/>
        <w:color w:val="808080" w:themeColor="background1" w:themeShade="80"/>
        <w:sz w:val="20"/>
        <w:szCs w:val="20"/>
        <w:lang w:val="en-GB"/>
      </w:rPr>
    </w:pPr>
    <w:r w:rsidRPr="009D4B62">
      <w:rPr>
        <w:sz w:val="22"/>
        <w:szCs w:val="22"/>
        <w:lang w:val="en-GB"/>
      </w:rPr>
      <w:tab/>
    </w:r>
    <w:r w:rsidRPr="009D4B62">
      <w:rPr>
        <w:sz w:val="22"/>
        <w:szCs w:val="22"/>
        <w:lang w:val="en-GB"/>
      </w:rPr>
      <w:tab/>
    </w:r>
    <w:r w:rsidRPr="00CD3D28">
      <w:rPr>
        <w:rFonts w:ascii="Aptos" w:hAnsi="Aptos"/>
        <w:color w:val="808080" w:themeColor="background1" w:themeShade="80"/>
        <w:sz w:val="18"/>
        <w:szCs w:val="18"/>
        <w:lang w:val="en-GB"/>
      </w:rPr>
      <w:t>For any inquiries please contact:</w:t>
    </w:r>
  </w:p>
  <w:p w14:paraId="77116794" w14:textId="629516C1" w:rsidR="0050443A" w:rsidRPr="00CD3D28" w:rsidRDefault="0050443A" w:rsidP="009D4B62">
    <w:pPr>
      <w:pStyle w:val="Footer"/>
      <w:rPr>
        <w:rFonts w:ascii="Aptos" w:hAnsi="Aptos"/>
        <w:color w:val="808080" w:themeColor="background1" w:themeShade="80"/>
        <w:sz w:val="18"/>
        <w:szCs w:val="18"/>
        <w:lang w:val="en-GB"/>
      </w:rPr>
    </w:pPr>
    <w:r w:rsidRPr="00CD3D28">
      <w:rPr>
        <w:rFonts w:ascii="Aptos" w:hAnsi="Aptos"/>
        <w:color w:val="808080" w:themeColor="background1" w:themeShade="80"/>
        <w:sz w:val="18"/>
        <w:szCs w:val="18"/>
        <w:lang w:val="en-GB"/>
      </w:rPr>
      <w:tab/>
    </w:r>
    <w:r w:rsidRPr="00CD3D28">
      <w:rPr>
        <w:rFonts w:ascii="Aptos" w:hAnsi="Aptos"/>
        <w:color w:val="808080" w:themeColor="background1" w:themeShade="80"/>
        <w:sz w:val="18"/>
        <w:szCs w:val="18"/>
        <w:lang w:val="en-GB"/>
      </w:rPr>
      <w:tab/>
    </w:r>
    <w:r w:rsidR="001A1F08">
      <w:rPr>
        <w:rFonts w:ascii="Aptos" w:hAnsi="Aptos"/>
        <w:color w:val="808080" w:themeColor="background1" w:themeShade="80"/>
        <w:sz w:val="18"/>
        <w:szCs w:val="18"/>
        <w:lang w:val="en-GB"/>
      </w:rPr>
      <w:t>Jeremias Jobst</w:t>
    </w:r>
  </w:p>
  <w:p w14:paraId="71BF9FB6" w14:textId="4380104D" w:rsidR="0050443A" w:rsidRPr="00CD3D28" w:rsidRDefault="0050443A" w:rsidP="009D4B62">
    <w:pPr>
      <w:pStyle w:val="Footer"/>
      <w:rPr>
        <w:rFonts w:ascii="Aptos" w:hAnsi="Aptos"/>
        <w:color w:val="7F7F7F" w:themeColor="text1" w:themeTint="80"/>
        <w:sz w:val="18"/>
        <w:szCs w:val="18"/>
        <w:lang w:val="en-GB"/>
      </w:rPr>
    </w:pPr>
    <w:r w:rsidRPr="00CD3D28">
      <w:rPr>
        <w:rFonts w:ascii="Aptos" w:hAnsi="Aptos"/>
        <w:color w:val="808080" w:themeColor="background1" w:themeShade="80"/>
        <w:sz w:val="18"/>
        <w:szCs w:val="18"/>
        <w:lang w:val="en-GB"/>
      </w:rPr>
      <w:tab/>
    </w:r>
    <w:r w:rsidRPr="00CD3D28">
      <w:rPr>
        <w:rFonts w:ascii="Aptos" w:hAnsi="Aptos"/>
        <w:color w:val="808080" w:themeColor="background1" w:themeShade="80"/>
        <w:sz w:val="18"/>
        <w:szCs w:val="18"/>
        <w:lang w:val="en-GB"/>
      </w:rPr>
      <w:tab/>
    </w:r>
    <w:r w:rsidR="001A1F08">
      <w:rPr>
        <w:rFonts w:ascii="Aptos" w:hAnsi="Aptos"/>
        <w:sz w:val="18"/>
        <w:szCs w:val="18"/>
        <w:lang w:val="en-GB"/>
      </w:rPr>
      <w:t>Jeremias.jobst</w:t>
    </w:r>
    <w:r w:rsidRPr="00E5268E">
      <w:rPr>
        <w:rFonts w:ascii="Aptos" w:hAnsi="Aptos"/>
        <w:sz w:val="18"/>
        <w:szCs w:val="18"/>
        <w:lang w:val="en-GB"/>
      </w:rPr>
      <w:t>@voewg.at</w:t>
    </w:r>
  </w:p>
  <w:p w14:paraId="5F5EFF21" w14:textId="77777777" w:rsidR="0050443A" w:rsidRPr="00CD3D28" w:rsidRDefault="0050443A" w:rsidP="009D4B62">
    <w:pPr>
      <w:pStyle w:val="Footer"/>
      <w:rPr>
        <w:rFonts w:ascii="Aptos" w:hAnsi="Aptos"/>
        <w:color w:val="808080" w:themeColor="background1" w:themeShade="80"/>
        <w:sz w:val="18"/>
        <w:szCs w:val="18"/>
        <w:lang w:val="en-GB"/>
      </w:rPr>
    </w:pPr>
    <w:r w:rsidRPr="00CD3D28">
      <w:rPr>
        <w:rFonts w:ascii="Aptos" w:hAnsi="Aptos"/>
        <w:color w:val="808080" w:themeColor="background1" w:themeShade="80"/>
        <w:sz w:val="18"/>
        <w:szCs w:val="18"/>
        <w:lang w:val="en-GB"/>
      </w:rPr>
      <w:tab/>
    </w:r>
    <w:r w:rsidRPr="00CD3D28">
      <w:rPr>
        <w:rFonts w:ascii="Aptos" w:hAnsi="Aptos"/>
        <w:color w:val="808080" w:themeColor="background1" w:themeShade="80"/>
        <w:sz w:val="20"/>
        <w:szCs w:val="20"/>
      </w:rPr>
      <w:fldChar w:fldCharType="begin"/>
    </w:r>
    <w:r w:rsidRPr="00CD3D28">
      <w:rPr>
        <w:rFonts w:ascii="Aptos" w:hAnsi="Aptos"/>
        <w:color w:val="808080" w:themeColor="background1" w:themeShade="80"/>
        <w:sz w:val="20"/>
        <w:szCs w:val="20"/>
        <w:lang w:val="en-GB"/>
      </w:rPr>
      <w:instrText>PAGE   \* MERGEFORMAT</w:instrText>
    </w:r>
    <w:r w:rsidRPr="00CD3D28">
      <w:rPr>
        <w:rFonts w:ascii="Aptos" w:hAnsi="Aptos"/>
        <w:color w:val="808080" w:themeColor="background1" w:themeShade="80"/>
        <w:sz w:val="20"/>
        <w:szCs w:val="20"/>
      </w:rPr>
      <w:fldChar w:fldCharType="separate"/>
    </w:r>
    <w:r w:rsidRPr="00CD3D28">
      <w:rPr>
        <w:rFonts w:ascii="Aptos" w:hAnsi="Aptos"/>
        <w:color w:val="808080" w:themeColor="background1" w:themeShade="80"/>
        <w:sz w:val="20"/>
        <w:szCs w:val="20"/>
        <w:lang w:val="en-GB"/>
      </w:rPr>
      <w:t>23</w:t>
    </w:r>
    <w:r w:rsidRPr="00CD3D28">
      <w:rPr>
        <w:rFonts w:ascii="Aptos" w:hAnsi="Aptos"/>
        <w:color w:val="808080" w:themeColor="background1" w:themeShade="80"/>
        <w:sz w:val="20"/>
        <w:szCs w:val="20"/>
      </w:rPr>
      <w:fldChar w:fldCharType="end"/>
    </w:r>
    <w:r w:rsidRPr="00CD3D28">
      <w:rPr>
        <w:rFonts w:ascii="Aptos" w:hAnsi="Aptos"/>
        <w:color w:val="808080" w:themeColor="background1" w:themeShade="80"/>
        <w:sz w:val="18"/>
        <w:szCs w:val="18"/>
        <w:lang w:val="en-GB"/>
      </w:rPr>
      <w:tab/>
      <w:t>+43 1 408 2202-</w:t>
    </w:r>
    <w:r>
      <w:rPr>
        <w:rFonts w:ascii="Aptos" w:hAnsi="Aptos"/>
        <w:color w:val="808080" w:themeColor="background1" w:themeShade="80"/>
        <w:sz w:val="18"/>
        <w:szCs w:val="18"/>
        <w:lang w:val="en-GB"/>
      </w:rPr>
      <w:t>26</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AC4CEAA" w14:textId="77777777" w:rsidR="0050443A" w:rsidRDefault="0050443A">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5538939" w14:textId="77777777" w:rsidR="0050443A" w:rsidRDefault="0050443A">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EEC7228" w14:textId="77777777" w:rsidR="00B77A11" w:rsidRPr="00CD3D28" w:rsidRDefault="0050443A" w:rsidP="00B77A11">
    <w:pPr>
      <w:pStyle w:val="Footer"/>
      <w:rPr>
        <w:rFonts w:ascii="Aptos" w:hAnsi="Aptos"/>
        <w:color w:val="808080" w:themeColor="background1" w:themeShade="80"/>
        <w:sz w:val="20"/>
        <w:szCs w:val="20"/>
        <w:lang w:val="en-GB"/>
      </w:rPr>
    </w:pPr>
    <w:r w:rsidRPr="009D4B62">
      <w:rPr>
        <w:sz w:val="22"/>
        <w:szCs w:val="22"/>
        <w:lang w:val="en-GB"/>
      </w:rPr>
      <w:tab/>
    </w:r>
    <w:r w:rsidRPr="009D4B62">
      <w:rPr>
        <w:sz w:val="22"/>
        <w:szCs w:val="22"/>
        <w:lang w:val="en-GB"/>
      </w:rPr>
      <w:tab/>
    </w:r>
    <w:r w:rsidR="00B77A11" w:rsidRPr="00CD3D28">
      <w:rPr>
        <w:rFonts w:ascii="Aptos" w:hAnsi="Aptos"/>
        <w:color w:val="808080" w:themeColor="background1" w:themeShade="80"/>
        <w:sz w:val="18"/>
        <w:szCs w:val="18"/>
        <w:lang w:val="en-GB"/>
      </w:rPr>
      <w:t>For any inquiries please contact:</w:t>
    </w:r>
  </w:p>
  <w:p w14:paraId="7FE46E33" w14:textId="77777777" w:rsidR="00B77A11" w:rsidRPr="00CD3D28" w:rsidRDefault="00B77A11" w:rsidP="00B77A11">
    <w:pPr>
      <w:pStyle w:val="Footer"/>
      <w:rPr>
        <w:rFonts w:ascii="Aptos" w:hAnsi="Aptos"/>
        <w:color w:val="808080" w:themeColor="background1" w:themeShade="80"/>
        <w:sz w:val="18"/>
        <w:szCs w:val="18"/>
        <w:lang w:val="en-GB"/>
      </w:rPr>
    </w:pPr>
    <w:r w:rsidRPr="00CD3D28">
      <w:rPr>
        <w:rFonts w:ascii="Aptos" w:hAnsi="Aptos"/>
        <w:color w:val="808080" w:themeColor="background1" w:themeShade="80"/>
        <w:sz w:val="18"/>
        <w:szCs w:val="18"/>
        <w:lang w:val="en-GB"/>
      </w:rPr>
      <w:tab/>
    </w:r>
    <w:r w:rsidRPr="00CD3D28">
      <w:rPr>
        <w:rFonts w:ascii="Aptos" w:hAnsi="Aptos"/>
        <w:color w:val="808080" w:themeColor="background1" w:themeShade="80"/>
        <w:sz w:val="18"/>
        <w:szCs w:val="18"/>
        <w:lang w:val="en-GB"/>
      </w:rPr>
      <w:tab/>
    </w:r>
    <w:r>
      <w:rPr>
        <w:rFonts w:ascii="Aptos" w:hAnsi="Aptos"/>
        <w:color w:val="808080" w:themeColor="background1" w:themeShade="80"/>
        <w:sz w:val="18"/>
        <w:szCs w:val="18"/>
        <w:lang w:val="en-GB"/>
      </w:rPr>
      <w:t>Jeremias Jobst</w:t>
    </w:r>
  </w:p>
  <w:p w14:paraId="79649C86" w14:textId="77777777" w:rsidR="00B77A11" w:rsidRPr="00CD3D28" w:rsidRDefault="00B77A11" w:rsidP="00B77A11">
    <w:pPr>
      <w:pStyle w:val="Footer"/>
      <w:rPr>
        <w:rFonts w:ascii="Aptos" w:hAnsi="Aptos"/>
        <w:color w:val="7F7F7F" w:themeColor="text1" w:themeTint="80"/>
        <w:sz w:val="18"/>
        <w:szCs w:val="18"/>
        <w:lang w:val="en-GB"/>
      </w:rPr>
    </w:pPr>
    <w:r w:rsidRPr="00CD3D28">
      <w:rPr>
        <w:rFonts w:ascii="Aptos" w:hAnsi="Aptos"/>
        <w:color w:val="808080" w:themeColor="background1" w:themeShade="80"/>
        <w:sz w:val="18"/>
        <w:szCs w:val="18"/>
        <w:lang w:val="en-GB"/>
      </w:rPr>
      <w:tab/>
    </w:r>
    <w:r w:rsidRPr="00CD3D28">
      <w:rPr>
        <w:rFonts w:ascii="Aptos" w:hAnsi="Aptos"/>
        <w:color w:val="808080" w:themeColor="background1" w:themeShade="80"/>
        <w:sz w:val="18"/>
        <w:szCs w:val="18"/>
        <w:lang w:val="en-GB"/>
      </w:rPr>
      <w:tab/>
    </w:r>
    <w:r>
      <w:rPr>
        <w:rFonts w:ascii="Aptos" w:hAnsi="Aptos"/>
        <w:sz w:val="18"/>
        <w:szCs w:val="18"/>
        <w:lang w:val="en-GB"/>
      </w:rPr>
      <w:t>Jeremias.jobst</w:t>
    </w:r>
    <w:r w:rsidRPr="00E5268E">
      <w:rPr>
        <w:rFonts w:ascii="Aptos" w:hAnsi="Aptos"/>
        <w:sz w:val="18"/>
        <w:szCs w:val="18"/>
        <w:lang w:val="en-GB"/>
      </w:rPr>
      <w:t>@voewg.at</w:t>
    </w:r>
  </w:p>
  <w:p w14:paraId="23D5C694" w14:textId="77777777" w:rsidR="00B77A11" w:rsidRPr="00CD3D28" w:rsidRDefault="00B77A11" w:rsidP="00B77A11">
    <w:pPr>
      <w:pStyle w:val="Footer"/>
      <w:rPr>
        <w:rFonts w:ascii="Aptos" w:hAnsi="Aptos"/>
        <w:color w:val="808080" w:themeColor="background1" w:themeShade="80"/>
        <w:sz w:val="18"/>
        <w:szCs w:val="18"/>
        <w:lang w:val="en-GB"/>
      </w:rPr>
    </w:pPr>
    <w:r w:rsidRPr="00CD3D28">
      <w:rPr>
        <w:rFonts w:ascii="Aptos" w:hAnsi="Aptos"/>
        <w:color w:val="808080" w:themeColor="background1" w:themeShade="80"/>
        <w:sz w:val="18"/>
        <w:szCs w:val="18"/>
        <w:lang w:val="en-GB"/>
      </w:rPr>
      <w:tab/>
    </w:r>
    <w:r w:rsidRPr="00CD3D28">
      <w:rPr>
        <w:rFonts w:ascii="Aptos" w:hAnsi="Aptos"/>
        <w:color w:val="808080" w:themeColor="background1" w:themeShade="80"/>
        <w:sz w:val="20"/>
        <w:szCs w:val="20"/>
      </w:rPr>
      <w:fldChar w:fldCharType="begin"/>
    </w:r>
    <w:r w:rsidRPr="00CD3D28">
      <w:rPr>
        <w:rFonts w:ascii="Aptos" w:hAnsi="Aptos"/>
        <w:color w:val="808080" w:themeColor="background1" w:themeShade="80"/>
        <w:sz w:val="20"/>
        <w:szCs w:val="20"/>
        <w:lang w:val="en-GB"/>
      </w:rPr>
      <w:instrText>PAGE   \* MERGEFORMAT</w:instrText>
    </w:r>
    <w:r w:rsidRPr="00CD3D28">
      <w:rPr>
        <w:rFonts w:ascii="Aptos" w:hAnsi="Aptos"/>
        <w:color w:val="808080" w:themeColor="background1" w:themeShade="80"/>
        <w:sz w:val="20"/>
        <w:szCs w:val="20"/>
      </w:rPr>
      <w:fldChar w:fldCharType="separate"/>
    </w:r>
    <w:r>
      <w:rPr>
        <w:rFonts w:ascii="Aptos" w:hAnsi="Aptos"/>
        <w:color w:val="808080" w:themeColor="background1" w:themeShade="80"/>
        <w:sz w:val="20"/>
        <w:szCs w:val="20"/>
      </w:rPr>
      <w:t>20</w:t>
    </w:r>
    <w:r w:rsidRPr="00CD3D28">
      <w:rPr>
        <w:rFonts w:ascii="Aptos" w:hAnsi="Aptos"/>
        <w:color w:val="808080" w:themeColor="background1" w:themeShade="80"/>
        <w:sz w:val="20"/>
        <w:szCs w:val="20"/>
      </w:rPr>
      <w:fldChar w:fldCharType="end"/>
    </w:r>
    <w:r w:rsidRPr="00CD3D28">
      <w:rPr>
        <w:rFonts w:ascii="Aptos" w:hAnsi="Aptos"/>
        <w:color w:val="808080" w:themeColor="background1" w:themeShade="80"/>
        <w:sz w:val="18"/>
        <w:szCs w:val="18"/>
        <w:lang w:val="en-GB"/>
      </w:rPr>
      <w:tab/>
      <w:t>+43 1 408 2202-</w:t>
    </w:r>
    <w:r>
      <w:rPr>
        <w:rFonts w:ascii="Aptos" w:hAnsi="Aptos"/>
        <w:color w:val="808080" w:themeColor="background1" w:themeShade="80"/>
        <w:sz w:val="18"/>
        <w:szCs w:val="18"/>
        <w:lang w:val="en-GB"/>
      </w:rPr>
      <w:t>26</w:t>
    </w:r>
  </w:p>
  <w:p w14:paraId="531EBF07" w14:textId="5B2FE605" w:rsidR="0050443A" w:rsidRPr="00CD3D28" w:rsidRDefault="0050443A" w:rsidP="00B77A11">
    <w:pPr>
      <w:pStyle w:val="Footer"/>
      <w:rPr>
        <w:rFonts w:ascii="Aptos" w:hAnsi="Aptos"/>
        <w:color w:val="808080" w:themeColor="background1" w:themeShade="80"/>
        <w:sz w:val="18"/>
        <w:szCs w:val="18"/>
        <w:lang w:val="en-GB"/>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ECD508C" w14:textId="77777777" w:rsidR="0050443A" w:rsidRDefault="0050443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43DD6C5C" w14:textId="77777777" w:rsidR="00323A7E" w:rsidRDefault="00323A7E" w:rsidP="00AB3D08">
      <w:r>
        <w:separator/>
      </w:r>
    </w:p>
  </w:footnote>
  <w:footnote w:type="continuationSeparator" w:id="0">
    <w:p w14:paraId="40437FB7" w14:textId="77777777" w:rsidR="00323A7E" w:rsidRDefault="00323A7E" w:rsidP="00AB3D0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2979B92" w14:textId="77777777" w:rsidR="0050443A" w:rsidRDefault="0050443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3093D2C" w14:textId="77777777" w:rsidR="0050443A" w:rsidRPr="00CD3D28" w:rsidRDefault="0050443A" w:rsidP="009D4B62">
    <w:pPr>
      <w:rPr>
        <w:rFonts w:ascii="Aptos" w:eastAsia="Times New Roman" w:hAnsi="Aptos" w:cstheme="minorHAnsi"/>
        <w:color w:val="808080" w:themeColor="background1" w:themeShade="80"/>
        <w:sz w:val="18"/>
        <w:szCs w:val="18"/>
        <w:lang w:val="en-US" w:eastAsia="de-AT"/>
      </w:rPr>
    </w:pPr>
    <w:r w:rsidRPr="00CD3D28">
      <w:rPr>
        <w:rFonts w:ascii="Aptos" w:hAnsi="Aptos"/>
        <w:noProof/>
        <w:color w:val="808080" w:themeColor="background1" w:themeShade="80"/>
      </w:rPr>
      <w:drawing>
        <wp:anchor distT="0" distB="0" distL="114300" distR="114300" simplePos="0" relativeHeight="251656192" behindDoc="0" locked="0" layoutInCell="1" allowOverlap="1" wp14:anchorId="48A7BF27" wp14:editId="665D21BE">
          <wp:simplePos x="0" y="0"/>
          <wp:positionH relativeFrom="margin">
            <wp:posOffset>3474720</wp:posOffset>
          </wp:positionH>
          <wp:positionV relativeFrom="paragraph">
            <wp:posOffset>-149860</wp:posOffset>
          </wp:positionV>
          <wp:extent cx="2286000" cy="437515"/>
          <wp:effectExtent l="0" t="0" r="0" b="635"/>
          <wp:wrapThrough wrapText="bothSides">
            <wp:wrapPolygon edited="0">
              <wp:start x="0" y="0"/>
              <wp:lineTo x="0" y="20691"/>
              <wp:lineTo x="21420" y="20691"/>
              <wp:lineTo x="21420" y="0"/>
              <wp:lineTo x="0" y="0"/>
            </wp:wrapPolygon>
          </wp:wrapThrough>
          <wp:docPr id="282191694" name="Grafik 282191694"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ClipAr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86000" cy="437515"/>
                  </a:xfrm>
                  <a:prstGeom prst="rect">
                    <a:avLst/>
                  </a:prstGeom>
                  <a:noFill/>
                  <a:ln>
                    <a:noFill/>
                  </a:ln>
                </pic:spPr>
              </pic:pic>
            </a:graphicData>
          </a:graphic>
        </wp:anchor>
      </w:drawing>
    </w:r>
    <w:r w:rsidRPr="00CD3D28">
      <w:rPr>
        <w:rFonts w:ascii="Aptos" w:eastAsia="Times New Roman" w:hAnsi="Aptos" w:cstheme="minorHAnsi"/>
        <w:color w:val="808080" w:themeColor="background1" w:themeShade="80"/>
        <w:sz w:val="18"/>
        <w:szCs w:val="18"/>
        <w:lang w:val="en-US" w:eastAsia="de-AT"/>
      </w:rPr>
      <w:t>EU transparency register number:</w:t>
    </w:r>
  </w:p>
  <w:p w14:paraId="047C9B1E" w14:textId="77777777" w:rsidR="0050443A" w:rsidRDefault="0050443A" w:rsidP="00115D5D">
    <w:pPr>
      <w:rPr>
        <w:rFonts w:ascii="Aptos" w:eastAsia="Times New Roman" w:hAnsi="Aptos" w:cstheme="minorHAnsi"/>
        <w:color w:val="808080" w:themeColor="background1" w:themeShade="80"/>
        <w:sz w:val="18"/>
        <w:szCs w:val="18"/>
        <w:lang w:val="en-US" w:eastAsia="de-AT"/>
      </w:rPr>
    </w:pPr>
    <w:r w:rsidRPr="00CD3D28">
      <w:rPr>
        <w:rFonts w:ascii="Aptos" w:eastAsia="Times New Roman" w:hAnsi="Aptos" w:cstheme="minorHAnsi"/>
        <w:noProof/>
        <w:color w:val="808080" w:themeColor="background1" w:themeShade="80"/>
        <w:sz w:val="18"/>
        <w:szCs w:val="18"/>
        <w:lang w:val="en-US" w:eastAsia="de-AT"/>
      </w:rPr>
      <w:drawing>
        <wp:anchor distT="0" distB="0" distL="114300" distR="114300" simplePos="0" relativeHeight="251658240" behindDoc="0" locked="0" layoutInCell="1" allowOverlap="1" wp14:anchorId="1DE4696A" wp14:editId="4BDD71A5">
          <wp:simplePos x="0" y="0"/>
          <wp:positionH relativeFrom="margin">
            <wp:posOffset>3941022</wp:posOffset>
          </wp:positionH>
          <wp:positionV relativeFrom="margin">
            <wp:posOffset>-100965</wp:posOffset>
          </wp:positionV>
          <wp:extent cx="2154555" cy="422910"/>
          <wp:effectExtent l="0" t="0" r="0" b="0"/>
          <wp:wrapSquare wrapText="bothSides"/>
          <wp:docPr id="1546650855" name="Grafik 2" descr="Ein Bild, das Text, Schrift, Grafiken,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3649" name="Grafik 2" descr="Ein Bild, das Text, Schrift, Grafiken, Screenshot enthält.&#10;&#10;Automatisch generierte Beschreibung"/>
                  <pic:cNvPicPr/>
                </pic:nvPicPr>
                <pic:blipFill>
                  <a:blip r:embed="rId2">
                    <a:extLst>
                      <a:ext uri="{28A0092B-C50C-407E-A947-70E740481C1C}">
                        <a14:useLocalDpi xmlns:a14="http://schemas.microsoft.com/office/drawing/2010/main" val="0"/>
                      </a:ext>
                    </a:extLst>
                  </a:blip>
                  <a:stretch>
                    <a:fillRect/>
                  </a:stretch>
                </pic:blipFill>
                <pic:spPr>
                  <a:xfrm>
                    <a:off x="0" y="0"/>
                    <a:ext cx="2154555" cy="422910"/>
                  </a:xfrm>
                  <a:prstGeom prst="rect">
                    <a:avLst/>
                  </a:prstGeom>
                </pic:spPr>
              </pic:pic>
            </a:graphicData>
          </a:graphic>
          <wp14:sizeRelH relativeFrom="margin">
            <wp14:pctWidth>0</wp14:pctWidth>
          </wp14:sizeRelH>
          <wp14:sizeRelV relativeFrom="margin">
            <wp14:pctHeight>0</wp14:pctHeight>
          </wp14:sizeRelV>
        </wp:anchor>
      </w:drawing>
    </w:r>
    <w:r w:rsidRPr="00CD3D28">
      <w:rPr>
        <w:rFonts w:ascii="Aptos" w:eastAsia="Times New Roman" w:hAnsi="Aptos" w:cstheme="minorHAnsi"/>
        <w:color w:val="808080" w:themeColor="background1" w:themeShade="80"/>
        <w:sz w:val="18"/>
        <w:szCs w:val="18"/>
        <w:lang w:val="en-US" w:eastAsia="de-AT"/>
      </w:rPr>
      <w:t>643879152710-58</w:t>
    </w:r>
  </w:p>
  <w:p w14:paraId="19A3D55C" w14:textId="04F04506" w:rsidR="002D35DA" w:rsidRPr="00CD3D28" w:rsidRDefault="002D35DA" w:rsidP="00115D5D">
    <w:pPr>
      <w:rPr>
        <w:rFonts w:ascii="Aptos" w:eastAsia="Times New Roman" w:hAnsi="Aptos" w:cstheme="minorHAnsi"/>
        <w:color w:val="808080" w:themeColor="background1" w:themeShade="80"/>
        <w:sz w:val="18"/>
        <w:szCs w:val="18"/>
        <w:lang w:val="en-US" w:eastAsia="de-AT"/>
      </w:rPr>
    </w:pPr>
    <w:r>
      <w:rPr>
        <w:rFonts w:ascii="Aptos" w:eastAsia="Times New Roman" w:hAnsi="Aptos" w:cstheme="minorHAnsi"/>
        <w:color w:val="808080" w:themeColor="background1" w:themeShade="80"/>
        <w:sz w:val="18"/>
        <w:szCs w:val="18"/>
        <w:lang w:val="en-US" w:eastAsia="de-AT"/>
      </w:rPr>
      <w:t xml:space="preserve">Doc </w:t>
    </w:r>
    <w:r w:rsidR="001445DE">
      <w:rPr>
        <w:rFonts w:ascii="Aptos" w:eastAsia="Times New Roman" w:hAnsi="Aptos" w:cstheme="minorHAnsi"/>
        <w:color w:val="808080" w:themeColor="background1" w:themeShade="80"/>
        <w:sz w:val="18"/>
        <w:szCs w:val="18"/>
        <w:lang w:val="en-US" w:eastAsia="de-AT"/>
      </w:rPr>
      <w:t>HO</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A1D06FF" w14:textId="77777777" w:rsidR="0050443A" w:rsidRDefault="0050443A">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473C027" w14:textId="77777777" w:rsidR="0050443A" w:rsidRDefault="0050443A">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9085DDF" w14:textId="77777777" w:rsidR="0050443A" w:rsidRPr="00CD3D28" w:rsidRDefault="0050443A" w:rsidP="009D4B62">
    <w:pPr>
      <w:rPr>
        <w:rFonts w:ascii="Aptos" w:eastAsia="Times New Roman" w:hAnsi="Aptos" w:cstheme="minorHAnsi"/>
        <w:color w:val="808080" w:themeColor="background1" w:themeShade="80"/>
        <w:sz w:val="18"/>
        <w:szCs w:val="18"/>
        <w:lang w:val="en-US" w:eastAsia="de-AT"/>
      </w:rPr>
    </w:pPr>
    <w:r w:rsidRPr="00CD3D28">
      <w:rPr>
        <w:rFonts w:ascii="Aptos" w:hAnsi="Aptos"/>
        <w:noProof/>
        <w:color w:val="808080" w:themeColor="background1" w:themeShade="80"/>
      </w:rPr>
      <w:drawing>
        <wp:anchor distT="0" distB="0" distL="114300" distR="114300" simplePos="0" relativeHeight="251657216" behindDoc="0" locked="0" layoutInCell="1" allowOverlap="1" wp14:anchorId="7B5944CC" wp14:editId="47275B11">
          <wp:simplePos x="0" y="0"/>
          <wp:positionH relativeFrom="margin">
            <wp:posOffset>3474720</wp:posOffset>
          </wp:positionH>
          <wp:positionV relativeFrom="paragraph">
            <wp:posOffset>-149860</wp:posOffset>
          </wp:positionV>
          <wp:extent cx="2286000" cy="437515"/>
          <wp:effectExtent l="0" t="0" r="0" b="635"/>
          <wp:wrapThrough wrapText="bothSides">
            <wp:wrapPolygon edited="0">
              <wp:start x="0" y="0"/>
              <wp:lineTo x="0" y="20691"/>
              <wp:lineTo x="21420" y="20691"/>
              <wp:lineTo x="21420" y="0"/>
              <wp:lineTo x="0" y="0"/>
            </wp:wrapPolygon>
          </wp:wrapThrough>
          <wp:docPr id="464669447" name="Grafik 464669447" descr="Ein Bild, das Text, ClipAr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Text, ClipArt enthält.&#10;&#10;Automatisch generierte Beschreibu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286000" cy="437515"/>
                  </a:xfrm>
                  <a:prstGeom prst="rect">
                    <a:avLst/>
                  </a:prstGeom>
                  <a:noFill/>
                  <a:ln>
                    <a:noFill/>
                  </a:ln>
                </pic:spPr>
              </pic:pic>
            </a:graphicData>
          </a:graphic>
        </wp:anchor>
      </w:drawing>
    </w:r>
    <w:r w:rsidRPr="00CD3D28">
      <w:rPr>
        <w:rFonts w:ascii="Aptos" w:eastAsia="Times New Roman" w:hAnsi="Aptos" w:cstheme="minorHAnsi"/>
        <w:color w:val="808080" w:themeColor="background1" w:themeShade="80"/>
        <w:sz w:val="18"/>
        <w:szCs w:val="18"/>
        <w:lang w:val="en-US" w:eastAsia="de-AT"/>
      </w:rPr>
      <w:t>EU transparency register number:</w:t>
    </w:r>
  </w:p>
  <w:p w14:paraId="7105E097" w14:textId="77777777" w:rsidR="0050443A" w:rsidRPr="00CD3D28" w:rsidRDefault="0050443A" w:rsidP="00115D5D">
    <w:pPr>
      <w:rPr>
        <w:rFonts w:ascii="Aptos" w:eastAsia="Times New Roman" w:hAnsi="Aptos" w:cstheme="minorHAnsi"/>
        <w:color w:val="808080" w:themeColor="background1" w:themeShade="80"/>
        <w:sz w:val="18"/>
        <w:szCs w:val="18"/>
        <w:lang w:val="en-US" w:eastAsia="de-AT"/>
      </w:rPr>
    </w:pPr>
    <w:r w:rsidRPr="00CD3D28">
      <w:rPr>
        <w:rFonts w:ascii="Aptos" w:eastAsia="Times New Roman" w:hAnsi="Aptos" w:cstheme="minorHAnsi"/>
        <w:noProof/>
        <w:color w:val="808080" w:themeColor="background1" w:themeShade="80"/>
        <w:sz w:val="18"/>
        <w:szCs w:val="18"/>
        <w:lang w:val="en-US" w:eastAsia="de-AT"/>
      </w:rPr>
      <w:drawing>
        <wp:anchor distT="0" distB="0" distL="114300" distR="114300" simplePos="0" relativeHeight="251659264" behindDoc="0" locked="0" layoutInCell="1" allowOverlap="1" wp14:anchorId="6BB2B5F3" wp14:editId="095D91F3">
          <wp:simplePos x="0" y="0"/>
          <wp:positionH relativeFrom="margin">
            <wp:posOffset>3941022</wp:posOffset>
          </wp:positionH>
          <wp:positionV relativeFrom="margin">
            <wp:posOffset>-100965</wp:posOffset>
          </wp:positionV>
          <wp:extent cx="2154555" cy="422910"/>
          <wp:effectExtent l="0" t="0" r="0" b="0"/>
          <wp:wrapSquare wrapText="bothSides"/>
          <wp:docPr id="1756349454" name="Grafik 2" descr="Ein Bild, das Text, Schrift, Grafiken,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03649" name="Grafik 2" descr="Ein Bild, das Text, Schrift, Grafiken, Screenshot enthält.&#10;&#10;Automatisch generierte Beschreibung"/>
                  <pic:cNvPicPr/>
                </pic:nvPicPr>
                <pic:blipFill>
                  <a:blip r:embed="rId2">
                    <a:extLst>
                      <a:ext uri="{28A0092B-C50C-407E-A947-70E740481C1C}">
                        <a14:useLocalDpi xmlns:a14="http://schemas.microsoft.com/office/drawing/2010/main" val="0"/>
                      </a:ext>
                    </a:extLst>
                  </a:blip>
                  <a:stretch>
                    <a:fillRect/>
                  </a:stretch>
                </pic:blipFill>
                <pic:spPr>
                  <a:xfrm>
                    <a:off x="0" y="0"/>
                    <a:ext cx="2154555" cy="422910"/>
                  </a:xfrm>
                  <a:prstGeom prst="rect">
                    <a:avLst/>
                  </a:prstGeom>
                </pic:spPr>
              </pic:pic>
            </a:graphicData>
          </a:graphic>
          <wp14:sizeRelH relativeFrom="margin">
            <wp14:pctWidth>0</wp14:pctWidth>
          </wp14:sizeRelH>
          <wp14:sizeRelV relativeFrom="margin">
            <wp14:pctHeight>0</wp14:pctHeight>
          </wp14:sizeRelV>
        </wp:anchor>
      </w:drawing>
    </w:r>
    <w:r w:rsidRPr="00CD3D28">
      <w:rPr>
        <w:rFonts w:ascii="Aptos" w:eastAsia="Times New Roman" w:hAnsi="Aptos" w:cstheme="minorHAnsi"/>
        <w:color w:val="808080" w:themeColor="background1" w:themeShade="80"/>
        <w:sz w:val="18"/>
        <w:szCs w:val="18"/>
        <w:lang w:val="en-US" w:eastAsia="de-AT"/>
      </w:rPr>
      <w:t>643879152710-58</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6C66285" w14:textId="77777777" w:rsidR="0050443A" w:rsidRDefault="0050443A">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F060C5"/>
    <w:multiLevelType w:val="hybridMultilevel"/>
    <w:tmpl w:val="A93855F6"/>
    <w:lvl w:ilvl="0" w:tplc="FFFFFFFF">
      <w:start w:val="1"/>
      <w:numFmt w:val="lowerLetter"/>
      <w:lvlText w:val="(%1)"/>
      <w:lvlJc w:val="left"/>
      <w:pPr>
        <w:ind w:left="720" w:hanging="360"/>
      </w:pPr>
      <w:rPr>
        <w:rFonts w:ascii="Times New Roman" w:eastAsia="Times New Roman" w:hAnsi="Times New Roman" w:cs="Times New Roman"/>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EFF8A498">
      <w:start w:val="1"/>
      <w:numFmt w:val="lowerLetter"/>
      <w:lvlText w:val="(%4)"/>
      <w:lvlJc w:val="left"/>
      <w:pPr>
        <w:ind w:left="720" w:hanging="360"/>
      </w:pPr>
      <w:rPr>
        <w:rFonts w:asciiTheme="minorHAnsi" w:hAnsiTheme="minorHAnsi" w:cstheme="minorHAnsi" w:hint="default"/>
        <w:b w:val="0"/>
        <w:bCs w:val="0"/>
        <w:i w:val="0"/>
        <w:iCs w:val="0"/>
        <w:sz w:val="22"/>
        <w:szCs w:val="20"/>
      </w:r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3AB563A"/>
    <w:multiLevelType w:val="hybridMultilevel"/>
    <w:tmpl w:val="849AA7D8"/>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 w15:restartNumberingAfterBreak="0">
    <w:nsid w:val="042E78A0"/>
    <w:multiLevelType w:val="hybridMultilevel"/>
    <w:tmpl w:val="7ADA9998"/>
    <w:lvl w:ilvl="0" w:tplc="E0A48450">
      <w:numFmt w:val="bullet"/>
      <w:lvlText w:val=""/>
      <w:lvlJc w:val="left"/>
      <w:pPr>
        <w:ind w:left="720" w:hanging="360"/>
      </w:pPr>
      <w:rPr>
        <w:rFonts w:ascii="Wingdings" w:eastAsiaTheme="minorHAnsi" w:hAnsi="Wingdings" w:cstheme="minorBidi"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04BF34C8"/>
    <w:multiLevelType w:val="hybridMultilevel"/>
    <w:tmpl w:val="EFFC44D6"/>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04FD13C0"/>
    <w:multiLevelType w:val="hybridMultilevel"/>
    <w:tmpl w:val="EFFC44D6"/>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5" w15:restartNumberingAfterBreak="0">
    <w:nsid w:val="055825AB"/>
    <w:multiLevelType w:val="hybridMultilevel"/>
    <w:tmpl w:val="3E62BAA0"/>
    <w:lvl w:ilvl="0" w:tplc="C9625850">
      <w:start w:val="1"/>
      <w:numFmt w:val="bullet"/>
      <w:lvlText w:val=""/>
      <w:lvlJc w:val="left"/>
      <w:pPr>
        <w:ind w:left="720" w:hanging="360"/>
      </w:pPr>
      <w:rPr>
        <w:rFonts w:ascii="Wingdings" w:hAnsi="Wingdings" w:hint="default"/>
      </w:rPr>
    </w:lvl>
    <w:lvl w:ilvl="1" w:tplc="0C070003">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6" w15:restartNumberingAfterBreak="0">
    <w:nsid w:val="055D75C5"/>
    <w:multiLevelType w:val="hybridMultilevel"/>
    <w:tmpl w:val="99D86588"/>
    <w:lvl w:ilvl="0" w:tplc="9DE4A2A4">
      <w:start w:val="1"/>
      <w:numFmt w:val="lowerRoman"/>
      <w:lvlText w:val="(%1)"/>
      <w:lvlJc w:val="left"/>
      <w:pPr>
        <w:ind w:left="2875"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7" w15:restartNumberingAfterBreak="0">
    <w:nsid w:val="06201DD5"/>
    <w:multiLevelType w:val="hybridMultilevel"/>
    <w:tmpl w:val="30581BB8"/>
    <w:lvl w:ilvl="0" w:tplc="FFFFFFFF">
      <w:start w:val="1"/>
      <w:numFmt w:val="lowerLetter"/>
      <w:lvlText w:val="(%1)"/>
      <w:lvlJc w:val="left"/>
      <w:pPr>
        <w:ind w:left="720" w:hanging="360"/>
      </w:pPr>
      <w:rPr>
        <w:rFonts w:asciiTheme="minorHAnsi" w:hAnsiTheme="minorHAnsi" w:cstheme="minorHAnsi" w:hint="default"/>
        <w:b w:val="0"/>
        <w:bCs w:val="0"/>
        <w:i w:val="0"/>
        <w:iCs w:val="0"/>
        <w:sz w:val="22"/>
        <w:szCs w:val="20"/>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09EE22A3"/>
    <w:multiLevelType w:val="hybridMultilevel"/>
    <w:tmpl w:val="28547E0A"/>
    <w:lvl w:ilvl="0" w:tplc="04070005">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9" w15:restartNumberingAfterBreak="0">
    <w:nsid w:val="0A4354AA"/>
    <w:multiLevelType w:val="hybridMultilevel"/>
    <w:tmpl w:val="7B2CC236"/>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0" w15:restartNumberingAfterBreak="0">
    <w:nsid w:val="0AD66BBA"/>
    <w:multiLevelType w:val="hybridMultilevel"/>
    <w:tmpl w:val="D21E54EC"/>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42901444">
      <w:start w:val="1"/>
      <w:numFmt w:val="lowerLetter"/>
      <w:lvlText w:val="(%4)"/>
      <w:lvlJc w:val="left"/>
      <w:pPr>
        <w:ind w:left="2880" w:hanging="360"/>
      </w:pPr>
      <w:rPr>
        <w:rFonts w:hint="default"/>
      </w:r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1" w15:restartNumberingAfterBreak="0">
    <w:nsid w:val="0B3A5A6C"/>
    <w:multiLevelType w:val="hybridMultilevel"/>
    <w:tmpl w:val="D4AC4648"/>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2" w15:restartNumberingAfterBreak="0">
    <w:nsid w:val="0B7E1CB4"/>
    <w:multiLevelType w:val="hybridMultilevel"/>
    <w:tmpl w:val="4BBCF58C"/>
    <w:lvl w:ilvl="0" w:tplc="FFFFFFFF">
      <w:start w:val="1"/>
      <w:numFmt w:val="lowerLetter"/>
      <w:lvlText w:val="(%1)"/>
      <w:lvlJc w:val="left"/>
      <w:pPr>
        <w:ind w:left="720" w:hanging="360"/>
      </w:pPr>
      <w:rPr>
        <w:rFonts w:hint="default"/>
      </w:rPr>
    </w:lvl>
    <w:lvl w:ilvl="1" w:tplc="FFFFFFFF">
      <w:start w:val="1"/>
      <w:numFmt w:val="lowerRoman"/>
      <w:lvlText w:val="(%2)"/>
      <w:lvlJc w:val="left"/>
      <w:pPr>
        <w:ind w:left="1800" w:hanging="720"/>
      </w:pPr>
      <w:rPr>
        <w:rFonts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 w15:restartNumberingAfterBreak="0">
    <w:nsid w:val="0E7429AF"/>
    <w:multiLevelType w:val="hybridMultilevel"/>
    <w:tmpl w:val="9E943EE8"/>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4" w15:restartNumberingAfterBreak="0">
    <w:nsid w:val="0EEB0D09"/>
    <w:multiLevelType w:val="hybridMultilevel"/>
    <w:tmpl w:val="FD148B7C"/>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5" w15:restartNumberingAfterBreak="0">
    <w:nsid w:val="0F5969BE"/>
    <w:multiLevelType w:val="hybridMultilevel"/>
    <w:tmpl w:val="42AADC78"/>
    <w:lvl w:ilvl="0" w:tplc="04070005">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6" w15:restartNumberingAfterBreak="0">
    <w:nsid w:val="127250C8"/>
    <w:multiLevelType w:val="hybridMultilevel"/>
    <w:tmpl w:val="BD64393A"/>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7" w15:restartNumberingAfterBreak="0">
    <w:nsid w:val="12CE27AC"/>
    <w:multiLevelType w:val="hybridMultilevel"/>
    <w:tmpl w:val="56F43E7A"/>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8" w15:restartNumberingAfterBreak="0">
    <w:nsid w:val="13560BE7"/>
    <w:multiLevelType w:val="hybridMultilevel"/>
    <w:tmpl w:val="2A0A1654"/>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9" w15:restartNumberingAfterBreak="0">
    <w:nsid w:val="1500531D"/>
    <w:multiLevelType w:val="hybridMultilevel"/>
    <w:tmpl w:val="BC5813DE"/>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0" w15:restartNumberingAfterBreak="0">
    <w:nsid w:val="1522676E"/>
    <w:multiLevelType w:val="hybridMultilevel"/>
    <w:tmpl w:val="5D284368"/>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1" w15:restartNumberingAfterBreak="0">
    <w:nsid w:val="154A5CAD"/>
    <w:multiLevelType w:val="hybridMultilevel"/>
    <w:tmpl w:val="5EBCE62E"/>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2" w15:restartNumberingAfterBreak="0">
    <w:nsid w:val="166A1750"/>
    <w:multiLevelType w:val="hybridMultilevel"/>
    <w:tmpl w:val="062E917A"/>
    <w:lvl w:ilvl="0" w:tplc="EFF8A498">
      <w:start w:val="1"/>
      <w:numFmt w:val="lowerLetter"/>
      <w:lvlText w:val="(%1)"/>
      <w:lvlJc w:val="left"/>
      <w:pPr>
        <w:ind w:left="720" w:hanging="360"/>
      </w:pPr>
      <w:rPr>
        <w:rFonts w:asciiTheme="minorHAnsi" w:hAnsiTheme="minorHAnsi" w:cstheme="minorHAnsi" w:hint="default"/>
        <w:b w:val="0"/>
        <w:bCs w:val="0"/>
        <w:i w:val="0"/>
        <w:iCs w:val="0"/>
        <w:sz w:val="22"/>
        <w:szCs w:val="2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3" w15:restartNumberingAfterBreak="0">
    <w:nsid w:val="16875DC2"/>
    <w:multiLevelType w:val="hybridMultilevel"/>
    <w:tmpl w:val="445A7CC8"/>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4" w15:restartNumberingAfterBreak="0">
    <w:nsid w:val="17240515"/>
    <w:multiLevelType w:val="hybridMultilevel"/>
    <w:tmpl w:val="EFFC44D6"/>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5" w15:restartNumberingAfterBreak="0">
    <w:nsid w:val="190511A6"/>
    <w:multiLevelType w:val="hybridMultilevel"/>
    <w:tmpl w:val="68AAAAFC"/>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6" w15:restartNumberingAfterBreak="0">
    <w:nsid w:val="19980C2F"/>
    <w:multiLevelType w:val="hybridMultilevel"/>
    <w:tmpl w:val="B3BA94D6"/>
    <w:lvl w:ilvl="0" w:tplc="6AAA6808">
      <w:start w:val="1"/>
      <w:numFmt w:val="lowerLetter"/>
      <w:lvlText w:val="(%1)"/>
      <w:lvlJc w:val="left"/>
      <w:pPr>
        <w:ind w:left="720" w:hanging="360"/>
      </w:pPr>
      <w:rPr>
        <w:rFonts w:hint="default"/>
        <w:b w:val="0"/>
        <w:bCs w:val="0"/>
        <w:i w:val="0"/>
        <w:iCs w:val="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6AAA6808">
      <w:start w:val="1"/>
      <w:numFmt w:val="lowerLetter"/>
      <w:lvlText w:val="(%5)"/>
      <w:lvlJc w:val="left"/>
      <w:pPr>
        <w:ind w:left="720" w:hanging="360"/>
      </w:pPr>
      <w:rPr>
        <w:rFonts w:hint="default"/>
        <w:b w:val="0"/>
        <w:bCs w:val="0"/>
        <w:i w:val="0"/>
        <w:iCs w:val="0"/>
      </w:r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7" w15:restartNumberingAfterBreak="0">
    <w:nsid w:val="1A0A2D5B"/>
    <w:multiLevelType w:val="hybridMultilevel"/>
    <w:tmpl w:val="EFFC44D6"/>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8" w15:restartNumberingAfterBreak="0">
    <w:nsid w:val="1AB84547"/>
    <w:multiLevelType w:val="hybridMultilevel"/>
    <w:tmpl w:val="E3C0EA42"/>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9" w15:restartNumberingAfterBreak="0">
    <w:nsid w:val="1B3C78B8"/>
    <w:multiLevelType w:val="multilevel"/>
    <w:tmpl w:val="4D788576"/>
    <w:name w:val="Point"/>
    <w:lvl w:ilvl="0">
      <w:start w:val="1"/>
      <w:numFmt w:val="decimal"/>
      <w:lvlRestart w:val="0"/>
      <w:pStyle w:val="Point0number"/>
      <w:lvlText w:val="(%1)"/>
      <w:lvlJc w:val="left"/>
      <w:pPr>
        <w:tabs>
          <w:tab w:val="num" w:pos="850"/>
        </w:tabs>
        <w:ind w:left="850" w:hanging="850"/>
      </w:pPr>
    </w:lvl>
    <w:lvl w:ilvl="1">
      <w:start w:val="1"/>
      <w:numFmt w:val="lowerLetter"/>
      <w:pStyle w:val="Point0letter"/>
      <w:lvlText w:val="(%2)"/>
      <w:lvlJc w:val="left"/>
      <w:pPr>
        <w:tabs>
          <w:tab w:val="num" w:pos="850"/>
        </w:tabs>
        <w:ind w:left="850" w:hanging="850"/>
      </w:pPr>
    </w:lvl>
    <w:lvl w:ilvl="2">
      <w:start w:val="1"/>
      <w:numFmt w:val="decimal"/>
      <w:pStyle w:val="Point1number"/>
      <w:lvlText w:val="(%3)"/>
      <w:lvlJc w:val="left"/>
      <w:pPr>
        <w:tabs>
          <w:tab w:val="num" w:pos="1417"/>
        </w:tabs>
        <w:ind w:left="1417" w:hanging="567"/>
      </w:pPr>
    </w:lvl>
    <w:lvl w:ilvl="3">
      <w:start w:val="1"/>
      <w:numFmt w:val="lowerLetter"/>
      <w:pStyle w:val="Point1letter"/>
      <w:lvlText w:val="(%4)"/>
      <w:lvlJc w:val="left"/>
      <w:pPr>
        <w:tabs>
          <w:tab w:val="num" w:pos="1417"/>
        </w:tabs>
        <w:ind w:left="1417" w:hanging="567"/>
      </w:pPr>
      <w:rPr>
        <w:b w:val="0"/>
        <w:bCs/>
        <w:i w:val="0"/>
        <w:iCs/>
      </w:rPr>
    </w:lvl>
    <w:lvl w:ilvl="4">
      <w:start w:val="1"/>
      <w:numFmt w:val="decimal"/>
      <w:pStyle w:val="Point2number"/>
      <w:lvlText w:val="(%5)"/>
      <w:lvlJc w:val="left"/>
      <w:pPr>
        <w:tabs>
          <w:tab w:val="num" w:pos="1984"/>
        </w:tabs>
        <w:ind w:left="1984" w:hanging="567"/>
      </w:pPr>
    </w:lvl>
    <w:lvl w:ilvl="5">
      <w:start w:val="1"/>
      <w:numFmt w:val="lowerLetter"/>
      <w:pStyle w:val="Point2letter"/>
      <w:lvlText w:val="(%6)"/>
      <w:lvlJc w:val="left"/>
      <w:pPr>
        <w:tabs>
          <w:tab w:val="num" w:pos="1984"/>
        </w:tabs>
        <w:ind w:left="1984" w:hanging="567"/>
      </w:pPr>
    </w:lvl>
    <w:lvl w:ilvl="6">
      <w:start w:val="1"/>
      <w:numFmt w:val="decimal"/>
      <w:pStyle w:val="Point3number"/>
      <w:lvlText w:val="(%7)"/>
      <w:lvlJc w:val="left"/>
      <w:pPr>
        <w:tabs>
          <w:tab w:val="num" w:pos="2551"/>
        </w:tabs>
        <w:ind w:left="2551" w:hanging="567"/>
      </w:pPr>
    </w:lvl>
    <w:lvl w:ilvl="7">
      <w:start w:val="1"/>
      <w:numFmt w:val="lowerLetter"/>
      <w:pStyle w:val="Point3letter"/>
      <w:lvlText w:val="(%8)"/>
      <w:lvlJc w:val="left"/>
      <w:pPr>
        <w:tabs>
          <w:tab w:val="num" w:pos="2551"/>
        </w:tabs>
        <w:ind w:left="2551" w:hanging="567"/>
      </w:pPr>
    </w:lvl>
    <w:lvl w:ilvl="8">
      <w:start w:val="1"/>
      <w:numFmt w:val="lowerLetter"/>
      <w:pStyle w:val="Point4letter"/>
      <w:lvlText w:val="(%9)"/>
      <w:lvlJc w:val="left"/>
      <w:pPr>
        <w:tabs>
          <w:tab w:val="num" w:pos="3118"/>
        </w:tabs>
        <w:ind w:left="3118" w:hanging="567"/>
      </w:pPr>
    </w:lvl>
  </w:abstractNum>
  <w:abstractNum w:abstractNumId="30" w15:restartNumberingAfterBreak="0">
    <w:nsid w:val="1B8155B8"/>
    <w:multiLevelType w:val="hybridMultilevel"/>
    <w:tmpl w:val="EFFC44D6"/>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31" w15:restartNumberingAfterBreak="0">
    <w:nsid w:val="1CB50BFB"/>
    <w:multiLevelType w:val="hybridMultilevel"/>
    <w:tmpl w:val="74962D66"/>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2" w15:restartNumberingAfterBreak="0">
    <w:nsid w:val="1ECA50D1"/>
    <w:multiLevelType w:val="hybridMultilevel"/>
    <w:tmpl w:val="1974EDC8"/>
    <w:lvl w:ilvl="0" w:tplc="FFFFFFFF">
      <w:start w:val="1"/>
      <w:numFmt w:val="lowerRoman"/>
      <w:lvlText w:val="(%1)"/>
      <w:lvlJc w:val="left"/>
      <w:pPr>
        <w:ind w:left="2155" w:hanging="360"/>
      </w:pPr>
      <w:rPr>
        <w:rFonts w:hint="default"/>
      </w:rPr>
    </w:lvl>
    <w:lvl w:ilvl="1" w:tplc="9DE4A2A4">
      <w:start w:val="1"/>
      <w:numFmt w:val="lowerRoman"/>
      <w:lvlText w:val="(%2)"/>
      <w:lvlJc w:val="left"/>
      <w:pPr>
        <w:ind w:left="2875" w:hanging="360"/>
      </w:pPr>
      <w:rPr>
        <w:rFonts w:hint="default"/>
      </w:rPr>
    </w:lvl>
    <w:lvl w:ilvl="2" w:tplc="FFFFFFFF" w:tentative="1">
      <w:start w:val="1"/>
      <w:numFmt w:val="lowerRoman"/>
      <w:lvlText w:val="%3."/>
      <w:lvlJc w:val="right"/>
      <w:pPr>
        <w:ind w:left="3595" w:hanging="180"/>
      </w:pPr>
    </w:lvl>
    <w:lvl w:ilvl="3" w:tplc="FFFFFFFF" w:tentative="1">
      <w:start w:val="1"/>
      <w:numFmt w:val="decimal"/>
      <w:lvlText w:val="%4."/>
      <w:lvlJc w:val="left"/>
      <w:pPr>
        <w:ind w:left="4315" w:hanging="360"/>
      </w:pPr>
    </w:lvl>
    <w:lvl w:ilvl="4" w:tplc="FFFFFFFF" w:tentative="1">
      <w:start w:val="1"/>
      <w:numFmt w:val="lowerLetter"/>
      <w:lvlText w:val="%5."/>
      <w:lvlJc w:val="left"/>
      <w:pPr>
        <w:ind w:left="5035" w:hanging="360"/>
      </w:pPr>
    </w:lvl>
    <w:lvl w:ilvl="5" w:tplc="FFFFFFFF" w:tentative="1">
      <w:start w:val="1"/>
      <w:numFmt w:val="lowerRoman"/>
      <w:lvlText w:val="%6."/>
      <w:lvlJc w:val="right"/>
      <w:pPr>
        <w:ind w:left="5755" w:hanging="180"/>
      </w:pPr>
    </w:lvl>
    <w:lvl w:ilvl="6" w:tplc="FFFFFFFF" w:tentative="1">
      <w:start w:val="1"/>
      <w:numFmt w:val="decimal"/>
      <w:lvlText w:val="%7."/>
      <w:lvlJc w:val="left"/>
      <w:pPr>
        <w:ind w:left="6475" w:hanging="360"/>
      </w:pPr>
    </w:lvl>
    <w:lvl w:ilvl="7" w:tplc="FFFFFFFF" w:tentative="1">
      <w:start w:val="1"/>
      <w:numFmt w:val="lowerLetter"/>
      <w:lvlText w:val="%8."/>
      <w:lvlJc w:val="left"/>
      <w:pPr>
        <w:ind w:left="7195" w:hanging="360"/>
      </w:pPr>
    </w:lvl>
    <w:lvl w:ilvl="8" w:tplc="FFFFFFFF" w:tentative="1">
      <w:start w:val="1"/>
      <w:numFmt w:val="lowerRoman"/>
      <w:lvlText w:val="%9."/>
      <w:lvlJc w:val="right"/>
      <w:pPr>
        <w:ind w:left="7915" w:hanging="180"/>
      </w:pPr>
    </w:lvl>
  </w:abstractNum>
  <w:abstractNum w:abstractNumId="33" w15:restartNumberingAfterBreak="0">
    <w:nsid w:val="1EFB3C64"/>
    <w:multiLevelType w:val="hybridMultilevel"/>
    <w:tmpl w:val="15828E5A"/>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4" w15:restartNumberingAfterBreak="0">
    <w:nsid w:val="1F52436E"/>
    <w:multiLevelType w:val="hybridMultilevel"/>
    <w:tmpl w:val="0A666D14"/>
    <w:lvl w:ilvl="0" w:tplc="04070005">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5" w15:restartNumberingAfterBreak="0">
    <w:nsid w:val="203B285F"/>
    <w:multiLevelType w:val="hybridMultilevel"/>
    <w:tmpl w:val="C33EB910"/>
    <w:lvl w:ilvl="0" w:tplc="04070005">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6" w15:restartNumberingAfterBreak="0">
    <w:nsid w:val="22096B8C"/>
    <w:multiLevelType w:val="hybridMultilevel"/>
    <w:tmpl w:val="6E6C8062"/>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7" w15:restartNumberingAfterBreak="0">
    <w:nsid w:val="243E2763"/>
    <w:multiLevelType w:val="hybridMultilevel"/>
    <w:tmpl w:val="877E8B46"/>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8" w15:restartNumberingAfterBreak="0">
    <w:nsid w:val="24841A93"/>
    <w:multiLevelType w:val="hybridMultilevel"/>
    <w:tmpl w:val="BB7033B4"/>
    <w:lvl w:ilvl="0" w:tplc="04070005">
      <w:start w:val="1"/>
      <w:numFmt w:val="bullet"/>
      <w:lvlText w:val=""/>
      <w:lvlJc w:val="left"/>
      <w:pPr>
        <w:ind w:left="1440" w:hanging="360"/>
      </w:pPr>
      <w:rPr>
        <w:rFonts w:ascii="Wingdings" w:hAnsi="Wingdings" w:hint="default"/>
      </w:rPr>
    </w:lvl>
    <w:lvl w:ilvl="1" w:tplc="0C070003">
      <w:start w:val="1"/>
      <w:numFmt w:val="bullet"/>
      <w:lvlText w:val="o"/>
      <w:lvlJc w:val="left"/>
      <w:pPr>
        <w:ind w:left="2160" w:hanging="360"/>
      </w:pPr>
      <w:rPr>
        <w:rFonts w:ascii="Courier New" w:hAnsi="Courier New" w:cs="Courier New" w:hint="default"/>
      </w:rPr>
    </w:lvl>
    <w:lvl w:ilvl="2" w:tplc="0C070005" w:tentative="1">
      <w:start w:val="1"/>
      <w:numFmt w:val="bullet"/>
      <w:lvlText w:val=""/>
      <w:lvlJc w:val="left"/>
      <w:pPr>
        <w:ind w:left="2880" w:hanging="360"/>
      </w:pPr>
      <w:rPr>
        <w:rFonts w:ascii="Wingdings" w:hAnsi="Wingdings" w:hint="default"/>
      </w:rPr>
    </w:lvl>
    <w:lvl w:ilvl="3" w:tplc="0C070001" w:tentative="1">
      <w:start w:val="1"/>
      <w:numFmt w:val="bullet"/>
      <w:lvlText w:val=""/>
      <w:lvlJc w:val="left"/>
      <w:pPr>
        <w:ind w:left="3600" w:hanging="360"/>
      </w:pPr>
      <w:rPr>
        <w:rFonts w:ascii="Symbol" w:hAnsi="Symbol" w:hint="default"/>
      </w:rPr>
    </w:lvl>
    <w:lvl w:ilvl="4" w:tplc="0C070003" w:tentative="1">
      <w:start w:val="1"/>
      <w:numFmt w:val="bullet"/>
      <w:lvlText w:val="o"/>
      <w:lvlJc w:val="left"/>
      <w:pPr>
        <w:ind w:left="4320" w:hanging="360"/>
      </w:pPr>
      <w:rPr>
        <w:rFonts w:ascii="Courier New" w:hAnsi="Courier New" w:cs="Courier New" w:hint="default"/>
      </w:rPr>
    </w:lvl>
    <w:lvl w:ilvl="5" w:tplc="0C070005" w:tentative="1">
      <w:start w:val="1"/>
      <w:numFmt w:val="bullet"/>
      <w:lvlText w:val=""/>
      <w:lvlJc w:val="left"/>
      <w:pPr>
        <w:ind w:left="5040" w:hanging="360"/>
      </w:pPr>
      <w:rPr>
        <w:rFonts w:ascii="Wingdings" w:hAnsi="Wingdings" w:hint="default"/>
      </w:rPr>
    </w:lvl>
    <w:lvl w:ilvl="6" w:tplc="0C070001" w:tentative="1">
      <w:start w:val="1"/>
      <w:numFmt w:val="bullet"/>
      <w:lvlText w:val=""/>
      <w:lvlJc w:val="left"/>
      <w:pPr>
        <w:ind w:left="5760" w:hanging="360"/>
      </w:pPr>
      <w:rPr>
        <w:rFonts w:ascii="Symbol" w:hAnsi="Symbol" w:hint="default"/>
      </w:rPr>
    </w:lvl>
    <w:lvl w:ilvl="7" w:tplc="0C070003" w:tentative="1">
      <w:start w:val="1"/>
      <w:numFmt w:val="bullet"/>
      <w:lvlText w:val="o"/>
      <w:lvlJc w:val="left"/>
      <w:pPr>
        <w:ind w:left="6480" w:hanging="360"/>
      </w:pPr>
      <w:rPr>
        <w:rFonts w:ascii="Courier New" w:hAnsi="Courier New" w:cs="Courier New" w:hint="default"/>
      </w:rPr>
    </w:lvl>
    <w:lvl w:ilvl="8" w:tplc="0C070005" w:tentative="1">
      <w:start w:val="1"/>
      <w:numFmt w:val="bullet"/>
      <w:lvlText w:val=""/>
      <w:lvlJc w:val="left"/>
      <w:pPr>
        <w:ind w:left="7200" w:hanging="360"/>
      </w:pPr>
      <w:rPr>
        <w:rFonts w:ascii="Wingdings" w:hAnsi="Wingdings" w:hint="default"/>
      </w:rPr>
    </w:lvl>
  </w:abstractNum>
  <w:abstractNum w:abstractNumId="39" w15:restartNumberingAfterBreak="0">
    <w:nsid w:val="270650EC"/>
    <w:multiLevelType w:val="hybridMultilevel"/>
    <w:tmpl w:val="ED3CA742"/>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0" w15:restartNumberingAfterBreak="0">
    <w:nsid w:val="27CF74B4"/>
    <w:multiLevelType w:val="hybridMultilevel"/>
    <w:tmpl w:val="006ED792"/>
    <w:lvl w:ilvl="0" w:tplc="BE1EFB16">
      <w:start w:val="1"/>
      <w:numFmt w:val="lowerLetter"/>
      <w:lvlText w:val="(%1)"/>
      <w:lvlJc w:val="left"/>
      <w:pPr>
        <w:ind w:left="720" w:hanging="360"/>
      </w:pPr>
      <w:rPr>
        <w:rFonts w:hint="default"/>
        <w:b w:val="0"/>
        <w:bCs w:val="0"/>
        <w:i w:val="0"/>
        <w:iCs w:val="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41" w15:restartNumberingAfterBreak="0">
    <w:nsid w:val="28EA4778"/>
    <w:multiLevelType w:val="hybridMultilevel"/>
    <w:tmpl w:val="8342FA46"/>
    <w:lvl w:ilvl="0" w:tplc="FAE23C56">
      <w:start w:val="1"/>
      <w:numFmt w:val="lowerLetter"/>
      <w:lvlText w:val="(%1)"/>
      <w:lvlJc w:val="left"/>
      <w:pPr>
        <w:ind w:left="720" w:hanging="360"/>
      </w:pPr>
      <w:rPr>
        <w:rFonts w:hint="default"/>
        <w:b/>
        <w:bCs/>
        <w:i/>
        <w:iCs/>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42" w15:restartNumberingAfterBreak="0">
    <w:nsid w:val="2A71771F"/>
    <w:multiLevelType w:val="hybridMultilevel"/>
    <w:tmpl w:val="88967DB2"/>
    <w:lvl w:ilvl="0" w:tplc="04070005">
      <w:start w:val="1"/>
      <w:numFmt w:val="bullet"/>
      <w:lvlText w:val=""/>
      <w:lvlJc w:val="left"/>
      <w:pPr>
        <w:ind w:left="1068" w:hanging="360"/>
      </w:pPr>
      <w:rPr>
        <w:rFonts w:ascii="Wingdings" w:hAnsi="Wingdings" w:hint="default"/>
      </w:rPr>
    </w:lvl>
    <w:lvl w:ilvl="1" w:tplc="0C070003">
      <w:start w:val="1"/>
      <w:numFmt w:val="bullet"/>
      <w:lvlText w:val="o"/>
      <w:lvlJc w:val="left"/>
      <w:pPr>
        <w:ind w:left="1068" w:hanging="360"/>
      </w:pPr>
      <w:rPr>
        <w:rFonts w:ascii="Courier New" w:hAnsi="Courier New" w:cs="Courier New" w:hint="default"/>
      </w:rPr>
    </w:lvl>
    <w:lvl w:ilvl="2" w:tplc="0C070005" w:tentative="1">
      <w:start w:val="1"/>
      <w:numFmt w:val="bullet"/>
      <w:lvlText w:val=""/>
      <w:lvlJc w:val="left"/>
      <w:pPr>
        <w:ind w:left="1788" w:hanging="360"/>
      </w:pPr>
      <w:rPr>
        <w:rFonts w:ascii="Wingdings" w:hAnsi="Wingdings" w:hint="default"/>
      </w:rPr>
    </w:lvl>
    <w:lvl w:ilvl="3" w:tplc="0C070001" w:tentative="1">
      <w:start w:val="1"/>
      <w:numFmt w:val="bullet"/>
      <w:lvlText w:val=""/>
      <w:lvlJc w:val="left"/>
      <w:pPr>
        <w:ind w:left="2508" w:hanging="360"/>
      </w:pPr>
      <w:rPr>
        <w:rFonts w:ascii="Symbol" w:hAnsi="Symbol" w:hint="default"/>
      </w:rPr>
    </w:lvl>
    <w:lvl w:ilvl="4" w:tplc="0C070003" w:tentative="1">
      <w:start w:val="1"/>
      <w:numFmt w:val="bullet"/>
      <w:lvlText w:val="o"/>
      <w:lvlJc w:val="left"/>
      <w:pPr>
        <w:ind w:left="3228" w:hanging="360"/>
      </w:pPr>
      <w:rPr>
        <w:rFonts w:ascii="Courier New" w:hAnsi="Courier New" w:cs="Courier New" w:hint="default"/>
      </w:rPr>
    </w:lvl>
    <w:lvl w:ilvl="5" w:tplc="0C070005" w:tentative="1">
      <w:start w:val="1"/>
      <w:numFmt w:val="bullet"/>
      <w:lvlText w:val=""/>
      <w:lvlJc w:val="left"/>
      <w:pPr>
        <w:ind w:left="3948" w:hanging="360"/>
      </w:pPr>
      <w:rPr>
        <w:rFonts w:ascii="Wingdings" w:hAnsi="Wingdings" w:hint="default"/>
      </w:rPr>
    </w:lvl>
    <w:lvl w:ilvl="6" w:tplc="0C070001" w:tentative="1">
      <w:start w:val="1"/>
      <w:numFmt w:val="bullet"/>
      <w:lvlText w:val=""/>
      <w:lvlJc w:val="left"/>
      <w:pPr>
        <w:ind w:left="4668" w:hanging="360"/>
      </w:pPr>
      <w:rPr>
        <w:rFonts w:ascii="Symbol" w:hAnsi="Symbol" w:hint="default"/>
      </w:rPr>
    </w:lvl>
    <w:lvl w:ilvl="7" w:tplc="0C070003" w:tentative="1">
      <w:start w:val="1"/>
      <w:numFmt w:val="bullet"/>
      <w:lvlText w:val="o"/>
      <w:lvlJc w:val="left"/>
      <w:pPr>
        <w:ind w:left="5388" w:hanging="360"/>
      </w:pPr>
      <w:rPr>
        <w:rFonts w:ascii="Courier New" w:hAnsi="Courier New" w:cs="Courier New" w:hint="default"/>
      </w:rPr>
    </w:lvl>
    <w:lvl w:ilvl="8" w:tplc="0C070005" w:tentative="1">
      <w:start w:val="1"/>
      <w:numFmt w:val="bullet"/>
      <w:lvlText w:val=""/>
      <w:lvlJc w:val="left"/>
      <w:pPr>
        <w:ind w:left="6108" w:hanging="360"/>
      </w:pPr>
      <w:rPr>
        <w:rFonts w:ascii="Wingdings" w:hAnsi="Wingdings" w:hint="default"/>
      </w:rPr>
    </w:lvl>
  </w:abstractNum>
  <w:abstractNum w:abstractNumId="43" w15:restartNumberingAfterBreak="0">
    <w:nsid w:val="2AB46DBC"/>
    <w:multiLevelType w:val="hybridMultilevel"/>
    <w:tmpl w:val="40EAC022"/>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4" w15:restartNumberingAfterBreak="0">
    <w:nsid w:val="2D1F476F"/>
    <w:multiLevelType w:val="hybridMultilevel"/>
    <w:tmpl w:val="C8CCCF48"/>
    <w:lvl w:ilvl="0" w:tplc="EFF8A498">
      <w:start w:val="1"/>
      <w:numFmt w:val="lowerLetter"/>
      <w:lvlText w:val="(%1)"/>
      <w:lvlJc w:val="left"/>
      <w:pPr>
        <w:ind w:left="755" w:hanging="360"/>
      </w:pPr>
      <w:rPr>
        <w:rFonts w:asciiTheme="minorHAnsi" w:hAnsiTheme="minorHAnsi" w:cstheme="minorHAnsi" w:hint="default"/>
        <w:b w:val="0"/>
        <w:bCs w:val="0"/>
        <w:i w:val="0"/>
        <w:iCs w:val="0"/>
        <w:sz w:val="22"/>
        <w:szCs w:val="20"/>
      </w:rPr>
    </w:lvl>
    <w:lvl w:ilvl="1" w:tplc="0C070019" w:tentative="1">
      <w:start w:val="1"/>
      <w:numFmt w:val="lowerLetter"/>
      <w:lvlText w:val="%2."/>
      <w:lvlJc w:val="left"/>
      <w:pPr>
        <w:ind w:left="1475" w:hanging="360"/>
      </w:pPr>
    </w:lvl>
    <w:lvl w:ilvl="2" w:tplc="0C07001B" w:tentative="1">
      <w:start w:val="1"/>
      <w:numFmt w:val="lowerRoman"/>
      <w:lvlText w:val="%3."/>
      <w:lvlJc w:val="right"/>
      <w:pPr>
        <w:ind w:left="2195" w:hanging="180"/>
      </w:pPr>
    </w:lvl>
    <w:lvl w:ilvl="3" w:tplc="0C07000F" w:tentative="1">
      <w:start w:val="1"/>
      <w:numFmt w:val="decimal"/>
      <w:lvlText w:val="%4."/>
      <w:lvlJc w:val="left"/>
      <w:pPr>
        <w:ind w:left="2915" w:hanging="360"/>
      </w:pPr>
    </w:lvl>
    <w:lvl w:ilvl="4" w:tplc="0C070019" w:tentative="1">
      <w:start w:val="1"/>
      <w:numFmt w:val="lowerLetter"/>
      <w:lvlText w:val="%5."/>
      <w:lvlJc w:val="left"/>
      <w:pPr>
        <w:ind w:left="3635" w:hanging="360"/>
      </w:pPr>
    </w:lvl>
    <w:lvl w:ilvl="5" w:tplc="EFF8A498">
      <w:start w:val="1"/>
      <w:numFmt w:val="lowerLetter"/>
      <w:lvlText w:val="(%6)"/>
      <w:lvlJc w:val="left"/>
      <w:pPr>
        <w:ind w:left="2880" w:hanging="360"/>
      </w:pPr>
      <w:rPr>
        <w:rFonts w:asciiTheme="minorHAnsi" w:hAnsiTheme="minorHAnsi" w:cstheme="minorHAnsi" w:hint="default"/>
        <w:b w:val="0"/>
        <w:bCs w:val="0"/>
        <w:i w:val="0"/>
        <w:iCs w:val="0"/>
        <w:sz w:val="22"/>
        <w:szCs w:val="20"/>
      </w:rPr>
    </w:lvl>
    <w:lvl w:ilvl="6" w:tplc="0C07000F" w:tentative="1">
      <w:start w:val="1"/>
      <w:numFmt w:val="decimal"/>
      <w:lvlText w:val="%7."/>
      <w:lvlJc w:val="left"/>
      <w:pPr>
        <w:ind w:left="5075" w:hanging="360"/>
      </w:pPr>
    </w:lvl>
    <w:lvl w:ilvl="7" w:tplc="0C070019" w:tentative="1">
      <w:start w:val="1"/>
      <w:numFmt w:val="lowerLetter"/>
      <w:lvlText w:val="%8."/>
      <w:lvlJc w:val="left"/>
      <w:pPr>
        <w:ind w:left="5795" w:hanging="360"/>
      </w:pPr>
    </w:lvl>
    <w:lvl w:ilvl="8" w:tplc="0C07001B" w:tentative="1">
      <w:start w:val="1"/>
      <w:numFmt w:val="lowerRoman"/>
      <w:lvlText w:val="%9."/>
      <w:lvlJc w:val="right"/>
      <w:pPr>
        <w:ind w:left="6515" w:hanging="180"/>
      </w:pPr>
    </w:lvl>
  </w:abstractNum>
  <w:abstractNum w:abstractNumId="45" w15:restartNumberingAfterBreak="0">
    <w:nsid w:val="2FD241B8"/>
    <w:multiLevelType w:val="hybridMultilevel"/>
    <w:tmpl w:val="2CC4C05A"/>
    <w:lvl w:ilvl="0" w:tplc="EFF8A498">
      <w:start w:val="1"/>
      <w:numFmt w:val="lowerLetter"/>
      <w:lvlText w:val="(%1)"/>
      <w:lvlJc w:val="left"/>
      <w:pPr>
        <w:ind w:left="720" w:hanging="360"/>
      </w:pPr>
      <w:rPr>
        <w:rFonts w:asciiTheme="minorHAnsi" w:hAnsiTheme="minorHAnsi" w:cstheme="minorHAnsi" w:hint="default"/>
        <w:b w:val="0"/>
        <w:bCs w:val="0"/>
        <w:i w:val="0"/>
        <w:iCs w:val="0"/>
        <w:sz w:val="22"/>
        <w:szCs w:val="2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46" w15:restartNumberingAfterBreak="0">
    <w:nsid w:val="30B42C14"/>
    <w:multiLevelType w:val="hybridMultilevel"/>
    <w:tmpl w:val="2A0A1654"/>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47" w15:restartNumberingAfterBreak="0">
    <w:nsid w:val="30E91CCD"/>
    <w:multiLevelType w:val="hybridMultilevel"/>
    <w:tmpl w:val="5774664E"/>
    <w:lvl w:ilvl="0" w:tplc="EFF8A498">
      <w:start w:val="1"/>
      <w:numFmt w:val="lowerLetter"/>
      <w:lvlText w:val="(%1)"/>
      <w:lvlJc w:val="left"/>
      <w:pPr>
        <w:ind w:left="720" w:hanging="360"/>
      </w:pPr>
      <w:rPr>
        <w:rFonts w:asciiTheme="minorHAnsi" w:hAnsiTheme="minorHAnsi" w:cstheme="minorHAnsi" w:hint="default"/>
        <w:b w:val="0"/>
        <w:bCs w:val="0"/>
        <w:i w:val="0"/>
        <w:iCs w:val="0"/>
        <w:sz w:val="22"/>
        <w:szCs w:val="2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EFF8A498">
      <w:start w:val="1"/>
      <w:numFmt w:val="lowerLetter"/>
      <w:lvlText w:val="(%4)"/>
      <w:lvlJc w:val="left"/>
      <w:pPr>
        <w:ind w:left="2880" w:hanging="360"/>
      </w:pPr>
      <w:rPr>
        <w:rFonts w:asciiTheme="minorHAnsi" w:hAnsiTheme="minorHAnsi" w:cstheme="minorHAnsi" w:hint="default"/>
        <w:b w:val="0"/>
        <w:bCs w:val="0"/>
        <w:i w:val="0"/>
        <w:iCs w:val="0"/>
        <w:sz w:val="22"/>
        <w:szCs w:val="20"/>
      </w:rPr>
    </w:lvl>
    <w:lvl w:ilvl="4" w:tplc="0C070019" w:tentative="1">
      <w:start w:val="1"/>
      <w:numFmt w:val="lowerLetter"/>
      <w:lvlText w:val="%5."/>
      <w:lvlJc w:val="left"/>
      <w:pPr>
        <w:ind w:left="3600" w:hanging="360"/>
      </w:pPr>
    </w:lvl>
    <w:lvl w:ilvl="5" w:tplc="EFF8A498">
      <w:start w:val="1"/>
      <w:numFmt w:val="lowerLetter"/>
      <w:lvlText w:val="(%6)"/>
      <w:lvlJc w:val="left"/>
      <w:pPr>
        <w:ind w:left="720" w:hanging="360"/>
      </w:pPr>
      <w:rPr>
        <w:rFonts w:asciiTheme="minorHAnsi" w:hAnsiTheme="minorHAnsi" w:cstheme="minorHAnsi" w:hint="default"/>
        <w:b w:val="0"/>
        <w:bCs w:val="0"/>
        <w:i w:val="0"/>
        <w:iCs w:val="0"/>
        <w:sz w:val="22"/>
        <w:szCs w:val="20"/>
      </w:r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48" w15:restartNumberingAfterBreak="0">
    <w:nsid w:val="38030E66"/>
    <w:multiLevelType w:val="hybridMultilevel"/>
    <w:tmpl w:val="206AD632"/>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9" w15:restartNumberingAfterBreak="0">
    <w:nsid w:val="388B7CEC"/>
    <w:multiLevelType w:val="hybridMultilevel"/>
    <w:tmpl w:val="79C29C60"/>
    <w:lvl w:ilvl="0" w:tplc="0C070001">
      <w:start w:val="1"/>
      <w:numFmt w:val="bullet"/>
      <w:lvlText w:val=""/>
      <w:lvlJc w:val="left"/>
      <w:pPr>
        <w:ind w:left="720" w:hanging="360"/>
      </w:pPr>
      <w:rPr>
        <w:rFonts w:ascii="Symbol" w:hAnsi="Symbol" w:hint="default"/>
      </w:rPr>
    </w:lvl>
    <w:lvl w:ilvl="1" w:tplc="0C070003">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50" w15:restartNumberingAfterBreak="0">
    <w:nsid w:val="388E6884"/>
    <w:multiLevelType w:val="hybridMultilevel"/>
    <w:tmpl w:val="3974921C"/>
    <w:lvl w:ilvl="0" w:tplc="FFFFFFFF">
      <w:start w:val="1"/>
      <w:numFmt w:val="lowerLetter"/>
      <w:lvlText w:val="(%1)"/>
      <w:lvlJc w:val="left"/>
      <w:pPr>
        <w:ind w:left="677" w:hanging="360"/>
      </w:pPr>
      <w:rPr>
        <w:rFonts w:hint="default"/>
        <w:b w:val="0"/>
        <w:bCs w:val="0"/>
        <w:i w:val="0"/>
        <w:iCs w:val="0"/>
      </w:rPr>
    </w:lvl>
    <w:lvl w:ilvl="1" w:tplc="FFFFFFFF" w:tentative="1">
      <w:start w:val="1"/>
      <w:numFmt w:val="lowerLetter"/>
      <w:lvlText w:val="%2."/>
      <w:lvlJc w:val="left"/>
      <w:pPr>
        <w:ind w:left="1397" w:hanging="360"/>
      </w:pPr>
    </w:lvl>
    <w:lvl w:ilvl="2" w:tplc="FFFFFFFF" w:tentative="1">
      <w:start w:val="1"/>
      <w:numFmt w:val="lowerRoman"/>
      <w:lvlText w:val="%3."/>
      <w:lvlJc w:val="right"/>
      <w:pPr>
        <w:ind w:left="2117" w:hanging="180"/>
      </w:pPr>
    </w:lvl>
    <w:lvl w:ilvl="3" w:tplc="FFFFFFFF" w:tentative="1">
      <w:start w:val="1"/>
      <w:numFmt w:val="decimal"/>
      <w:lvlText w:val="%4."/>
      <w:lvlJc w:val="left"/>
      <w:pPr>
        <w:ind w:left="2837" w:hanging="360"/>
      </w:pPr>
    </w:lvl>
    <w:lvl w:ilvl="4" w:tplc="FFFFFFFF" w:tentative="1">
      <w:start w:val="1"/>
      <w:numFmt w:val="lowerLetter"/>
      <w:lvlText w:val="%5."/>
      <w:lvlJc w:val="left"/>
      <w:pPr>
        <w:ind w:left="3557" w:hanging="360"/>
      </w:pPr>
    </w:lvl>
    <w:lvl w:ilvl="5" w:tplc="FFFFFFFF" w:tentative="1">
      <w:start w:val="1"/>
      <w:numFmt w:val="lowerRoman"/>
      <w:lvlText w:val="%6."/>
      <w:lvlJc w:val="right"/>
      <w:pPr>
        <w:ind w:left="4277" w:hanging="180"/>
      </w:pPr>
    </w:lvl>
    <w:lvl w:ilvl="6" w:tplc="FFFFFFFF" w:tentative="1">
      <w:start w:val="1"/>
      <w:numFmt w:val="decimal"/>
      <w:lvlText w:val="%7."/>
      <w:lvlJc w:val="left"/>
      <w:pPr>
        <w:ind w:left="4997" w:hanging="360"/>
      </w:pPr>
    </w:lvl>
    <w:lvl w:ilvl="7" w:tplc="FFFFFFFF" w:tentative="1">
      <w:start w:val="1"/>
      <w:numFmt w:val="lowerLetter"/>
      <w:lvlText w:val="%8."/>
      <w:lvlJc w:val="left"/>
      <w:pPr>
        <w:ind w:left="5717" w:hanging="360"/>
      </w:pPr>
    </w:lvl>
    <w:lvl w:ilvl="8" w:tplc="FFFFFFFF" w:tentative="1">
      <w:start w:val="1"/>
      <w:numFmt w:val="lowerRoman"/>
      <w:lvlText w:val="%9."/>
      <w:lvlJc w:val="right"/>
      <w:pPr>
        <w:ind w:left="6437" w:hanging="180"/>
      </w:pPr>
    </w:lvl>
  </w:abstractNum>
  <w:abstractNum w:abstractNumId="51" w15:restartNumberingAfterBreak="0">
    <w:nsid w:val="3A4F1FF5"/>
    <w:multiLevelType w:val="hybridMultilevel"/>
    <w:tmpl w:val="56E02782"/>
    <w:lvl w:ilvl="0" w:tplc="EFF8A498">
      <w:start w:val="1"/>
      <w:numFmt w:val="lowerLetter"/>
      <w:lvlText w:val="(%1)"/>
      <w:lvlJc w:val="left"/>
      <w:pPr>
        <w:ind w:left="590" w:hanging="360"/>
      </w:pPr>
      <w:rPr>
        <w:rFonts w:asciiTheme="minorHAnsi" w:hAnsiTheme="minorHAnsi" w:cstheme="minorHAnsi" w:hint="default"/>
        <w:b w:val="0"/>
        <w:bCs w:val="0"/>
        <w:i w:val="0"/>
        <w:iCs w:val="0"/>
        <w:sz w:val="22"/>
        <w:szCs w:val="20"/>
      </w:rPr>
    </w:lvl>
    <w:lvl w:ilvl="1" w:tplc="0C070019">
      <w:start w:val="1"/>
      <w:numFmt w:val="lowerLetter"/>
      <w:lvlText w:val="%2."/>
      <w:lvlJc w:val="left"/>
      <w:pPr>
        <w:ind w:left="1310" w:hanging="360"/>
      </w:pPr>
    </w:lvl>
    <w:lvl w:ilvl="2" w:tplc="0C07001B" w:tentative="1">
      <w:start w:val="1"/>
      <w:numFmt w:val="lowerRoman"/>
      <w:lvlText w:val="%3."/>
      <w:lvlJc w:val="right"/>
      <w:pPr>
        <w:ind w:left="2030" w:hanging="180"/>
      </w:pPr>
    </w:lvl>
    <w:lvl w:ilvl="3" w:tplc="0C07000F" w:tentative="1">
      <w:start w:val="1"/>
      <w:numFmt w:val="decimal"/>
      <w:lvlText w:val="%4."/>
      <w:lvlJc w:val="left"/>
      <w:pPr>
        <w:ind w:left="2750" w:hanging="360"/>
      </w:pPr>
    </w:lvl>
    <w:lvl w:ilvl="4" w:tplc="0C070019" w:tentative="1">
      <w:start w:val="1"/>
      <w:numFmt w:val="lowerLetter"/>
      <w:lvlText w:val="%5."/>
      <w:lvlJc w:val="left"/>
      <w:pPr>
        <w:ind w:left="3470" w:hanging="360"/>
      </w:pPr>
    </w:lvl>
    <w:lvl w:ilvl="5" w:tplc="0C07001B" w:tentative="1">
      <w:start w:val="1"/>
      <w:numFmt w:val="lowerRoman"/>
      <w:lvlText w:val="%6."/>
      <w:lvlJc w:val="right"/>
      <w:pPr>
        <w:ind w:left="4190" w:hanging="180"/>
      </w:pPr>
    </w:lvl>
    <w:lvl w:ilvl="6" w:tplc="0C07000F" w:tentative="1">
      <w:start w:val="1"/>
      <w:numFmt w:val="decimal"/>
      <w:lvlText w:val="%7."/>
      <w:lvlJc w:val="left"/>
      <w:pPr>
        <w:ind w:left="4910" w:hanging="360"/>
      </w:pPr>
    </w:lvl>
    <w:lvl w:ilvl="7" w:tplc="0C070019" w:tentative="1">
      <w:start w:val="1"/>
      <w:numFmt w:val="lowerLetter"/>
      <w:lvlText w:val="%8."/>
      <w:lvlJc w:val="left"/>
      <w:pPr>
        <w:ind w:left="5630" w:hanging="360"/>
      </w:pPr>
    </w:lvl>
    <w:lvl w:ilvl="8" w:tplc="0C07001B" w:tentative="1">
      <w:start w:val="1"/>
      <w:numFmt w:val="lowerRoman"/>
      <w:lvlText w:val="%9."/>
      <w:lvlJc w:val="right"/>
      <w:pPr>
        <w:ind w:left="6350" w:hanging="180"/>
      </w:pPr>
    </w:lvl>
  </w:abstractNum>
  <w:abstractNum w:abstractNumId="52" w15:restartNumberingAfterBreak="0">
    <w:nsid w:val="3A8C5869"/>
    <w:multiLevelType w:val="hybridMultilevel"/>
    <w:tmpl w:val="54ACE03A"/>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53" w15:restartNumberingAfterBreak="0">
    <w:nsid w:val="3A9B0570"/>
    <w:multiLevelType w:val="hybridMultilevel"/>
    <w:tmpl w:val="DA22E9C8"/>
    <w:lvl w:ilvl="0" w:tplc="C9625850">
      <w:start w:val="1"/>
      <w:numFmt w:val="bullet"/>
      <w:lvlText w:val=""/>
      <w:lvlJc w:val="left"/>
      <w:pPr>
        <w:ind w:left="720" w:hanging="360"/>
      </w:pPr>
      <w:rPr>
        <w:rFonts w:ascii="Wingdings" w:hAnsi="Wingdings" w:hint="default"/>
      </w:rPr>
    </w:lvl>
    <w:lvl w:ilvl="1" w:tplc="0C070003">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54" w15:restartNumberingAfterBreak="0">
    <w:nsid w:val="3CA07B32"/>
    <w:multiLevelType w:val="hybridMultilevel"/>
    <w:tmpl w:val="046A8E70"/>
    <w:lvl w:ilvl="0" w:tplc="EFF8A498">
      <w:start w:val="1"/>
      <w:numFmt w:val="lowerLetter"/>
      <w:lvlText w:val="(%1)"/>
      <w:lvlJc w:val="left"/>
      <w:pPr>
        <w:ind w:left="720" w:hanging="360"/>
      </w:pPr>
      <w:rPr>
        <w:rFonts w:asciiTheme="minorHAnsi" w:hAnsiTheme="minorHAnsi" w:cstheme="minorHAnsi" w:hint="default"/>
        <w:b w:val="0"/>
        <w:bCs w:val="0"/>
        <w:i w:val="0"/>
        <w:iCs w:val="0"/>
        <w:sz w:val="22"/>
        <w:szCs w:val="2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55" w15:restartNumberingAfterBreak="0">
    <w:nsid w:val="3DA47E8D"/>
    <w:multiLevelType w:val="hybridMultilevel"/>
    <w:tmpl w:val="50ECCE92"/>
    <w:lvl w:ilvl="0" w:tplc="18090005">
      <w:start w:val="1"/>
      <w:numFmt w:val="bullet"/>
      <w:lvlText w:val=""/>
      <w:lvlJc w:val="left"/>
      <w:pPr>
        <w:ind w:left="1172" w:hanging="360"/>
      </w:pPr>
      <w:rPr>
        <w:rFonts w:ascii="Wingdings" w:hAnsi="Wingdings" w:hint="default"/>
      </w:rPr>
    </w:lvl>
    <w:lvl w:ilvl="1" w:tplc="0C070003" w:tentative="1">
      <w:start w:val="1"/>
      <w:numFmt w:val="bullet"/>
      <w:lvlText w:val="o"/>
      <w:lvlJc w:val="left"/>
      <w:pPr>
        <w:ind w:left="1892" w:hanging="360"/>
      </w:pPr>
      <w:rPr>
        <w:rFonts w:ascii="Courier New" w:hAnsi="Courier New" w:cs="Courier New" w:hint="default"/>
      </w:rPr>
    </w:lvl>
    <w:lvl w:ilvl="2" w:tplc="0C070005" w:tentative="1">
      <w:start w:val="1"/>
      <w:numFmt w:val="bullet"/>
      <w:lvlText w:val=""/>
      <w:lvlJc w:val="left"/>
      <w:pPr>
        <w:ind w:left="2612" w:hanging="360"/>
      </w:pPr>
      <w:rPr>
        <w:rFonts w:ascii="Wingdings" w:hAnsi="Wingdings" w:hint="default"/>
      </w:rPr>
    </w:lvl>
    <w:lvl w:ilvl="3" w:tplc="0C070001" w:tentative="1">
      <w:start w:val="1"/>
      <w:numFmt w:val="bullet"/>
      <w:lvlText w:val=""/>
      <w:lvlJc w:val="left"/>
      <w:pPr>
        <w:ind w:left="3332" w:hanging="360"/>
      </w:pPr>
      <w:rPr>
        <w:rFonts w:ascii="Symbol" w:hAnsi="Symbol" w:hint="default"/>
      </w:rPr>
    </w:lvl>
    <w:lvl w:ilvl="4" w:tplc="0C070003" w:tentative="1">
      <w:start w:val="1"/>
      <w:numFmt w:val="bullet"/>
      <w:lvlText w:val="o"/>
      <w:lvlJc w:val="left"/>
      <w:pPr>
        <w:ind w:left="4052" w:hanging="360"/>
      </w:pPr>
      <w:rPr>
        <w:rFonts w:ascii="Courier New" w:hAnsi="Courier New" w:cs="Courier New" w:hint="default"/>
      </w:rPr>
    </w:lvl>
    <w:lvl w:ilvl="5" w:tplc="0C070005" w:tentative="1">
      <w:start w:val="1"/>
      <w:numFmt w:val="bullet"/>
      <w:lvlText w:val=""/>
      <w:lvlJc w:val="left"/>
      <w:pPr>
        <w:ind w:left="4772" w:hanging="360"/>
      </w:pPr>
      <w:rPr>
        <w:rFonts w:ascii="Wingdings" w:hAnsi="Wingdings" w:hint="default"/>
      </w:rPr>
    </w:lvl>
    <w:lvl w:ilvl="6" w:tplc="0C070001" w:tentative="1">
      <w:start w:val="1"/>
      <w:numFmt w:val="bullet"/>
      <w:lvlText w:val=""/>
      <w:lvlJc w:val="left"/>
      <w:pPr>
        <w:ind w:left="5492" w:hanging="360"/>
      </w:pPr>
      <w:rPr>
        <w:rFonts w:ascii="Symbol" w:hAnsi="Symbol" w:hint="default"/>
      </w:rPr>
    </w:lvl>
    <w:lvl w:ilvl="7" w:tplc="0C070003" w:tentative="1">
      <w:start w:val="1"/>
      <w:numFmt w:val="bullet"/>
      <w:lvlText w:val="o"/>
      <w:lvlJc w:val="left"/>
      <w:pPr>
        <w:ind w:left="6212" w:hanging="360"/>
      </w:pPr>
      <w:rPr>
        <w:rFonts w:ascii="Courier New" w:hAnsi="Courier New" w:cs="Courier New" w:hint="default"/>
      </w:rPr>
    </w:lvl>
    <w:lvl w:ilvl="8" w:tplc="0C070005" w:tentative="1">
      <w:start w:val="1"/>
      <w:numFmt w:val="bullet"/>
      <w:lvlText w:val=""/>
      <w:lvlJc w:val="left"/>
      <w:pPr>
        <w:ind w:left="6932" w:hanging="360"/>
      </w:pPr>
      <w:rPr>
        <w:rFonts w:ascii="Wingdings" w:hAnsi="Wingdings" w:hint="default"/>
      </w:rPr>
    </w:lvl>
  </w:abstractNum>
  <w:abstractNum w:abstractNumId="56" w15:restartNumberingAfterBreak="0">
    <w:nsid w:val="3DE77FC2"/>
    <w:multiLevelType w:val="hybridMultilevel"/>
    <w:tmpl w:val="08564C14"/>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57" w15:restartNumberingAfterBreak="0">
    <w:nsid w:val="3EC24831"/>
    <w:multiLevelType w:val="hybridMultilevel"/>
    <w:tmpl w:val="E75680DE"/>
    <w:lvl w:ilvl="0" w:tplc="6AAA6808">
      <w:start w:val="1"/>
      <w:numFmt w:val="lowerLetter"/>
      <w:lvlText w:val="(%1)"/>
      <w:lvlJc w:val="left"/>
      <w:pPr>
        <w:ind w:left="720" w:hanging="360"/>
      </w:pPr>
      <w:rPr>
        <w:rFonts w:hint="default"/>
        <w:b w:val="0"/>
        <w:bCs w:val="0"/>
        <w:i w:val="0"/>
        <w:iCs w:val="0"/>
      </w:rPr>
    </w:lvl>
    <w:lvl w:ilvl="1" w:tplc="9DE4A2A4">
      <w:start w:val="1"/>
      <w:numFmt w:val="lowerRoman"/>
      <w:lvlText w:val="(%2)"/>
      <w:lvlJc w:val="left"/>
      <w:pPr>
        <w:ind w:left="1800" w:hanging="720"/>
      </w:pPr>
      <w:rPr>
        <w:rFonts w:hint="default"/>
      </w:r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58" w15:restartNumberingAfterBreak="0">
    <w:nsid w:val="40B10F6E"/>
    <w:multiLevelType w:val="hybridMultilevel"/>
    <w:tmpl w:val="2D488F40"/>
    <w:lvl w:ilvl="0" w:tplc="EFF8A498">
      <w:start w:val="1"/>
      <w:numFmt w:val="lowerLetter"/>
      <w:lvlText w:val="(%1)"/>
      <w:lvlJc w:val="left"/>
      <w:pPr>
        <w:ind w:left="2880" w:hanging="360"/>
      </w:pPr>
      <w:rPr>
        <w:rFonts w:asciiTheme="minorHAnsi" w:hAnsiTheme="minorHAnsi" w:cstheme="minorHAnsi" w:hint="default"/>
        <w:b w:val="0"/>
        <w:bCs w:val="0"/>
        <w:i w:val="0"/>
        <w:iCs w:val="0"/>
        <w:sz w:val="22"/>
        <w:szCs w:val="20"/>
      </w:rPr>
    </w:lvl>
    <w:lvl w:ilvl="1" w:tplc="0C070019" w:tentative="1">
      <w:start w:val="1"/>
      <w:numFmt w:val="lowerLetter"/>
      <w:lvlText w:val="%2."/>
      <w:lvlJc w:val="left"/>
      <w:pPr>
        <w:ind w:left="3600" w:hanging="360"/>
      </w:pPr>
    </w:lvl>
    <w:lvl w:ilvl="2" w:tplc="0C07001B" w:tentative="1">
      <w:start w:val="1"/>
      <w:numFmt w:val="lowerRoman"/>
      <w:lvlText w:val="%3."/>
      <w:lvlJc w:val="right"/>
      <w:pPr>
        <w:ind w:left="4320" w:hanging="180"/>
      </w:pPr>
    </w:lvl>
    <w:lvl w:ilvl="3" w:tplc="0C07000F" w:tentative="1">
      <w:start w:val="1"/>
      <w:numFmt w:val="decimal"/>
      <w:lvlText w:val="%4."/>
      <w:lvlJc w:val="left"/>
      <w:pPr>
        <w:ind w:left="5040" w:hanging="360"/>
      </w:pPr>
    </w:lvl>
    <w:lvl w:ilvl="4" w:tplc="0C070019" w:tentative="1">
      <w:start w:val="1"/>
      <w:numFmt w:val="lowerLetter"/>
      <w:lvlText w:val="%5."/>
      <w:lvlJc w:val="left"/>
      <w:pPr>
        <w:ind w:left="5760" w:hanging="360"/>
      </w:pPr>
    </w:lvl>
    <w:lvl w:ilvl="5" w:tplc="0C07001B" w:tentative="1">
      <w:start w:val="1"/>
      <w:numFmt w:val="lowerRoman"/>
      <w:lvlText w:val="%6."/>
      <w:lvlJc w:val="right"/>
      <w:pPr>
        <w:ind w:left="6480" w:hanging="180"/>
      </w:pPr>
    </w:lvl>
    <w:lvl w:ilvl="6" w:tplc="0C07000F" w:tentative="1">
      <w:start w:val="1"/>
      <w:numFmt w:val="decimal"/>
      <w:lvlText w:val="%7."/>
      <w:lvlJc w:val="left"/>
      <w:pPr>
        <w:ind w:left="7200" w:hanging="360"/>
      </w:pPr>
    </w:lvl>
    <w:lvl w:ilvl="7" w:tplc="0C070019" w:tentative="1">
      <w:start w:val="1"/>
      <w:numFmt w:val="lowerLetter"/>
      <w:lvlText w:val="%8."/>
      <w:lvlJc w:val="left"/>
      <w:pPr>
        <w:ind w:left="7920" w:hanging="360"/>
      </w:pPr>
    </w:lvl>
    <w:lvl w:ilvl="8" w:tplc="0C07001B" w:tentative="1">
      <w:start w:val="1"/>
      <w:numFmt w:val="lowerRoman"/>
      <w:lvlText w:val="%9."/>
      <w:lvlJc w:val="right"/>
      <w:pPr>
        <w:ind w:left="8640" w:hanging="180"/>
      </w:pPr>
    </w:lvl>
  </w:abstractNum>
  <w:abstractNum w:abstractNumId="59" w15:restartNumberingAfterBreak="0">
    <w:nsid w:val="40EA1ECD"/>
    <w:multiLevelType w:val="hybridMultilevel"/>
    <w:tmpl w:val="CBE21AF4"/>
    <w:lvl w:ilvl="0" w:tplc="EFF8A498">
      <w:start w:val="1"/>
      <w:numFmt w:val="lowerLetter"/>
      <w:lvlText w:val="(%1)"/>
      <w:lvlJc w:val="left"/>
      <w:pPr>
        <w:ind w:left="360" w:hanging="360"/>
      </w:pPr>
      <w:rPr>
        <w:rFonts w:asciiTheme="minorHAnsi" w:hAnsiTheme="minorHAnsi" w:cstheme="minorHAnsi" w:hint="default"/>
        <w:b w:val="0"/>
        <w:bCs w:val="0"/>
        <w:i w:val="0"/>
        <w:iCs w:val="0"/>
        <w:sz w:val="22"/>
        <w:szCs w:val="20"/>
      </w:rPr>
    </w:lvl>
    <w:lvl w:ilvl="1" w:tplc="0C070019">
      <w:start w:val="1"/>
      <w:numFmt w:val="lowerLetter"/>
      <w:lvlText w:val="%2."/>
      <w:lvlJc w:val="left"/>
      <w:pPr>
        <w:ind w:left="1080" w:hanging="360"/>
      </w:pPr>
    </w:lvl>
    <w:lvl w:ilvl="2" w:tplc="0C07001B">
      <w:start w:val="1"/>
      <w:numFmt w:val="lowerRoman"/>
      <w:lvlText w:val="%3."/>
      <w:lvlJc w:val="right"/>
      <w:pPr>
        <w:ind w:left="1800" w:hanging="180"/>
      </w:pPr>
    </w:lvl>
    <w:lvl w:ilvl="3" w:tplc="0C07000F">
      <w:start w:val="1"/>
      <w:numFmt w:val="decimal"/>
      <w:lvlText w:val="%4."/>
      <w:lvlJc w:val="left"/>
      <w:pPr>
        <w:ind w:left="2520" w:hanging="360"/>
      </w:pPr>
    </w:lvl>
    <w:lvl w:ilvl="4" w:tplc="0C070019">
      <w:start w:val="1"/>
      <w:numFmt w:val="lowerLetter"/>
      <w:lvlText w:val="%5."/>
      <w:lvlJc w:val="left"/>
      <w:pPr>
        <w:ind w:left="3240" w:hanging="360"/>
      </w:pPr>
    </w:lvl>
    <w:lvl w:ilvl="5" w:tplc="0C07001B">
      <w:start w:val="1"/>
      <w:numFmt w:val="lowerRoman"/>
      <w:lvlText w:val="%6."/>
      <w:lvlJc w:val="right"/>
      <w:pPr>
        <w:ind w:left="3960" w:hanging="180"/>
      </w:pPr>
    </w:lvl>
    <w:lvl w:ilvl="6" w:tplc="0C07000F" w:tentative="1">
      <w:start w:val="1"/>
      <w:numFmt w:val="decimal"/>
      <w:lvlText w:val="%7."/>
      <w:lvlJc w:val="left"/>
      <w:pPr>
        <w:ind w:left="4680" w:hanging="360"/>
      </w:pPr>
    </w:lvl>
    <w:lvl w:ilvl="7" w:tplc="0C070019" w:tentative="1">
      <w:start w:val="1"/>
      <w:numFmt w:val="lowerLetter"/>
      <w:lvlText w:val="%8."/>
      <w:lvlJc w:val="left"/>
      <w:pPr>
        <w:ind w:left="5400" w:hanging="360"/>
      </w:pPr>
    </w:lvl>
    <w:lvl w:ilvl="8" w:tplc="0C07001B" w:tentative="1">
      <w:start w:val="1"/>
      <w:numFmt w:val="lowerRoman"/>
      <w:lvlText w:val="%9."/>
      <w:lvlJc w:val="right"/>
      <w:pPr>
        <w:ind w:left="6120" w:hanging="180"/>
      </w:pPr>
    </w:lvl>
  </w:abstractNum>
  <w:abstractNum w:abstractNumId="60" w15:restartNumberingAfterBreak="0">
    <w:nsid w:val="41E12508"/>
    <w:multiLevelType w:val="hybridMultilevel"/>
    <w:tmpl w:val="EFFC44D6"/>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61" w15:restartNumberingAfterBreak="0">
    <w:nsid w:val="437B0B48"/>
    <w:multiLevelType w:val="hybridMultilevel"/>
    <w:tmpl w:val="EAF07F78"/>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62" w15:restartNumberingAfterBreak="0">
    <w:nsid w:val="452023CF"/>
    <w:multiLevelType w:val="hybridMultilevel"/>
    <w:tmpl w:val="51049530"/>
    <w:lvl w:ilvl="0" w:tplc="FFFFFFFF">
      <w:start w:val="1"/>
      <w:numFmt w:val="lowerLetter"/>
      <w:lvlText w:val="(%1)"/>
      <w:lvlJc w:val="left"/>
      <w:pPr>
        <w:ind w:left="720" w:hanging="360"/>
      </w:pPr>
      <w:rPr>
        <w:rFonts w:hint="default"/>
        <w:b w:val="0"/>
        <w:bCs w:val="0"/>
        <w:i w:val="0"/>
        <w:iCs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3" w15:restartNumberingAfterBreak="0">
    <w:nsid w:val="46963255"/>
    <w:multiLevelType w:val="hybridMultilevel"/>
    <w:tmpl w:val="3E546B98"/>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64" w15:restartNumberingAfterBreak="0">
    <w:nsid w:val="49614CF7"/>
    <w:multiLevelType w:val="hybridMultilevel"/>
    <w:tmpl w:val="B07AA9AA"/>
    <w:lvl w:ilvl="0" w:tplc="C9625850">
      <w:start w:val="1"/>
      <w:numFmt w:val="bullet"/>
      <w:lvlText w:val=""/>
      <w:lvlJc w:val="left"/>
      <w:pPr>
        <w:ind w:left="720" w:hanging="360"/>
      </w:pPr>
      <w:rPr>
        <w:rFonts w:ascii="Wingdings" w:hAnsi="Wingdings" w:hint="default"/>
      </w:rPr>
    </w:lvl>
    <w:lvl w:ilvl="1" w:tplc="0C070003">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65" w15:restartNumberingAfterBreak="0">
    <w:nsid w:val="4AC9406D"/>
    <w:multiLevelType w:val="hybridMultilevel"/>
    <w:tmpl w:val="CD9A29B2"/>
    <w:lvl w:ilvl="0" w:tplc="0C07001B">
      <w:start w:val="1"/>
      <w:numFmt w:val="lowerRoman"/>
      <w:lvlText w:val="%1."/>
      <w:lvlJc w:val="righ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66" w15:restartNumberingAfterBreak="0">
    <w:nsid w:val="4C7B519B"/>
    <w:multiLevelType w:val="hybridMultilevel"/>
    <w:tmpl w:val="3BBE4D2A"/>
    <w:lvl w:ilvl="0" w:tplc="2E54CFB2">
      <w:start w:val="2"/>
      <w:numFmt w:val="lowerLetter"/>
      <w:lvlText w:val="(%1)"/>
      <w:lvlJc w:val="left"/>
      <w:pPr>
        <w:ind w:left="720" w:hanging="360"/>
      </w:pPr>
      <w:rPr>
        <w:rFonts w:hint="default"/>
        <w:b w:val="0"/>
        <w:bCs w:val="0"/>
        <w:i w:val="0"/>
        <w:iCs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7" w15:restartNumberingAfterBreak="0">
    <w:nsid w:val="4D673D12"/>
    <w:multiLevelType w:val="hybridMultilevel"/>
    <w:tmpl w:val="EFFC44D6"/>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68" w15:restartNumberingAfterBreak="0">
    <w:nsid w:val="4DA57639"/>
    <w:multiLevelType w:val="hybridMultilevel"/>
    <w:tmpl w:val="EFFC44D6"/>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69" w15:restartNumberingAfterBreak="0">
    <w:nsid w:val="4DE50062"/>
    <w:multiLevelType w:val="hybridMultilevel"/>
    <w:tmpl w:val="75723ABE"/>
    <w:lvl w:ilvl="0" w:tplc="FFFFFFFF">
      <w:start w:val="1"/>
      <w:numFmt w:val="lowerLetter"/>
      <w:lvlText w:val="(%1)"/>
      <w:lvlJc w:val="left"/>
      <w:pPr>
        <w:ind w:left="610" w:hanging="360"/>
      </w:pPr>
      <w:rPr>
        <w:rFonts w:hint="default"/>
      </w:rPr>
    </w:lvl>
    <w:lvl w:ilvl="1" w:tplc="FFFFFFFF" w:tentative="1">
      <w:start w:val="1"/>
      <w:numFmt w:val="lowerLetter"/>
      <w:lvlText w:val="%2."/>
      <w:lvlJc w:val="left"/>
      <w:pPr>
        <w:ind w:left="2290" w:hanging="360"/>
      </w:pPr>
    </w:lvl>
    <w:lvl w:ilvl="2" w:tplc="FFFFFFFF" w:tentative="1">
      <w:start w:val="1"/>
      <w:numFmt w:val="lowerRoman"/>
      <w:lvlText w:val="%3."/>
      <w:lvlJc w:val="right"/>
      <w:pPr>
        <w:ind w:left="3010" w:hanging="180"/>
      </w:pPr>
    </w:lvl>
    <w:lvl w:ilvl="3" w:tplc="FFFFFFFF" w:tentative="1">
      <w:start w:val="1"/>
      <w:numFmt w:val="decimal"/>
      <w:lvlText w:val="%4."/>
      <w:lvlJc w:val="left"/>
      <w:pPr>
        <w:ind w:left="3730" w:hanging="360"/>
      </w:pPr>
    </w:lvl>
    <w:lvl w:ilvl="4" w:tplc="FFFFFFFF" w:tentative="1">
      <w:start w:val="1"/>
      <w:numFmt w:val="lowerLetter"/>
      <w:lvlText w:val="%5."/>
      <w:lvlJc w:val="left"/>
      <w:pPr>
        <w:ind w:left="4450" w:hanging="360"/>
      </w:pPr>
    </w:lvl>
    <w:lvl w:ilvl="5" w:tplc="FFFFFFFF" w:tentative="1">
      <w:start w:val="1"/>
      <w:numFmt w:val="lowerRoman"/>
      <w:lvlText w:val="%6."/>
      <w:lvlJc w:val="right"/>
      <w:pPr>
        <w:ind w:left="5170" w:hanging="180"/>
      </w:pPr>
    </w:lvl>
    <w:lvl w:ilvl="6" w:tplc="FFFFFFFF" w:tentative="1">
      <w:start w:val="1"/>
      <w:numFmt w:val="decimal"/>
      <w:lvlText w:val="%7."/>
      <w:lvlJc w:val="left"/>
      <w:pPr>
        <w:ind w:left="5890" w:hanging="360"/>
      </w:pPr>
    </w:lvl>
    <w:lvl w:ilvl="7" w:tplc="FFFFFFFF" w:tentative="1">
      <w:start w:val="1"/>
      <w:numFmt w:val="lowerLetter"/>
      <w:lvlText w:val="%8."/>
      <w:lvlJc w:val="left"/>
      <w:pPr>
        <w:ind w:left="6610" w:hanging="360"/>
      </w:pPr>
    </w:lvl>
    <w:lvl w:ilvl="8" w:tplc="FFFFFFFF" w:tentative="1">
      <w:start w:val="1"/>
      <w:numFmt w:val="lowerRoman"/>
      <w:lvlText w:val="%9."/>
      <w:lvlJc w:val="right"/>
      <w:pPr>
        <w:ind w:left="7330" w:hanging="180"/>
      </w:pPr>
    </w:lvl>
  </w:abstractNum>
  <w:abstractNum w:abstractNumId="70" w15:restartNumberingAfterBreak="0">
    <w:nsid w:val="4EC80DC8"/>
    <w:multiLevelType w:val="hybridMultilevel"/>
    <w:tmpl w:val="55086642"/>
    <w:lvl w:ilvl="0" w:tplc="FFFFFFFF">
      <w:start w:val="1"/>
      <w:numFmt w:val="lowerLetter"/>
      <w:lvlText w:val="(%1)"/>
      <w:lvlJc w:val="left"/>
      <w:pPr>
        <w:ind w:left="1570" w:hanging="360"/>
      </w:pPr>
      <w:rPr>
        <w:rFonts w:hint="default"/>
        <w:b w:val="0"/>
        <w:bCs w:val="0"/>
        <w:i w:val="0"/>
        <w:iCs w:val="0"/>
      </w:rPr>
    </w:lvl>
    <w:lvl w:ilvl="1" w:tplc="FFFFFFFF" w:tentative="1">
      <w:start w:val="1"/>
      <w:numFmt w:val="lowerLetter"/>
      <w:lvlText w:val="%2."/>
      <w:lvlJc w:val="left"/>
      <w:pPr>
        <w:ind w:left="2290" w:hanging="360"/>
      </w:pPr>
    </w:lvl>
    <w:lvl w:ilvl="2" w:tplc="FFFFFFFF" w:tentative="1">
      <w:start w:val="1"/>
      <w:numFmt w:val="lowerRoman"/>
      <w:lvlText w:val="%3."/>
      <w:lvlJc w:val="right"/>
      <w:pPr>
        <w:ind w:left="3010" w:hanging="180"/>
      </w:pPr>
    </w:lvl>
    <w:lvl w:ilvl="3" w:tplc="6AAA6808">
      <w:start w:val="1"/>
      <w:numFmt w:val="lowerLetter"/>
      <w:lvlText w:val="(%4)"/>
      <w:lvlJc w:val="left"/>
      <w:pPr>
        <w:ind w:left="720" w:hanging="360"/>
      </w:pPr>
      <w:rPr>
        <w:rFonts w:hint="default"/>
        <w:b w:val="0"/>
        <w:bCs w:val="0"/>
        <w:i w:val="0"/>
        <w:iCs w:val="0"/>
      </w:rPr>
    </w:lvl>
    <w:lvl w:ilvl="4" w:tplc="FFFFFFFF" w:tentative="1">
      <w:start w:val="1"/>
      <w:numFmt w:val="lowerLetter"/>
      <w:lvlText w:val="%5."/>
      <w:lvlJc w:val="left"/>
      <w:pPr>
        <w:ind w:left="4450" w:hanging="360"/>
      </w:pPr>
    </w:lvl>
    <w:lvl w:ilvl="5" w:tplc="FFFFFFFF" w:tentative="1">
      <w:start w:val="1"/>
      <w:numFmt w:val="lowerRoman"/>
      <w:lvlText w:val="%6."/>
      <w:lvlJc w:val="right"/>
      <w:pPr>
        <w:ind w:left="5170" w:hanging="180"/>
      </w:pPr>
    </w:lvl>
    <w:lvl w:ilvl="6" w:tplc="FFFFFFFF" w:tentative="1">
      <w:start w:val="1"/>
      <w:numFmt w:val="decimal"/>
      <w:lvlText w:val="%7."/>
      <w:lvlJc w:val="left"/>
      <w:pPr>
        <w:ind w:left="5890" w:hanging="360"/>
      </w:pPr>
    </w:lvl>
    <w:lvl w:ilvl="7" w:tplc="FFFFFFFF" w:tentative="1">
      <w:start w:val="1"/>
      <w:numFmt w:val="lowerLetter"/>
      <w:lvlText w:val="%8."/>
      <w:lvlJc w:val="left"/>
      <w:pPr>
        <w:ind w:left="6610" w:hanging="360"/>
      </w:pPr>
    </w:lvl>
    <w:lvl w:ilvl="8" w:tplc="FFFFFFFF" w:tentative="1">
      <w:start w:val="1"/>
      <w:numFmt w:val="lowerRoman"/>
      <w:lvlText w:val="%9."/>
      <w:lvlJc w:val="right"/>
      <w:pPr>
        <w:ind w:left="7330" w:hanging="180"/>
      </w:pPr>
    </w:lvl>
  </w:abstractNum>
  <w:abstractNum w:abstractNumId="71" w15:restartNumberingAfterBreak="0">
    <w:nsid w:val="50261A9C"/>
    <w:multiLevelType w:val="hybridMultilevel"/>
    <w:tmpl w:val="30581BB8"/>
    <w:lvl w:ilvl="0" w:tplc="EFF8A498">
      <w:start w:val="1"/>
      <w:numFmt w:val="lowerLetter"/>
      <w:lvlText w:val="(%1)"/>
      <w:lvlJc w:val="left"/>
      <w:pPr>
        <w:ind w:left="720" w:hanging="360"/>
      </w:pPr>
      <w:rPr>
        <w:rFonts w:asciiTheme="minorHAnsi" w:hAnsiTheme="minorHAnsi" w:cstheme="minorHAnsi" w:hint="default"/>
        <w:b w:val="0"/>
        <w:bCs w:val="0"/>
        <w:i w:val="0"/>
        <w:iCs w:val="0"/>
        <w:sz w:val="22"/>
        <w:szCs w:val="20"/>
      </w:rPr>
    </w:lvl>
    <w:lvl w:ilvl="1" w:tplc="0C070019">
      <w:start w:val="1"/>
      <w:numFmt w:val="lowerLetter"/>
      <w:lvlText w:val="%2."/>
      <w:lvlJc w:val="left"/>
      <w:pPr>
        <w:ind w:left="1440" w:hanging="360"/>
      </w:pPr>
    </w:lvl>
    <w:lvl w:ilvl="2" w:tplc="0C07001B">
      <w:start w:val="1"/>
      <w:numFmt w:val="lowerRoman"/>
      <w:lvlText w:val="%3."/>
      <w:lvlJc w:val="right"/>
      <w:pPr>
        <w:ind w:left="2160" w:hanging="180"/>
      </w:pPr>
    </w:lvl>
    <w:lvl w:ilvl="3" w:tplc="0C07000F">
      <w:start w:val="1"/>
      <w:numFmt w:val="decimal"/>
      <w:lvlText w:val="%4."/>
      <w:lvlJc w:val="left"/>
      <w:pPr>
        <w:ind w:left="2880" w:hanging="360"/>
      </w:pPr>
    </w:lvl>
    <w:lvl w:ilvl="4" w:tplc="0C070019">
      <w:start w:val="1"/>
      <w:numFmt w:val="lowerLetter"/>
      <w:lvlText w:val="%5."/>
      <w:lvlJc w:val="left"/>
      <w:pPr>
        <w:ind w:left="3600" w:hanging="360"/>
      </w:pPr>
    </w:lvl>
    <w:lvl w:ilvl="5" w:tplc="0C07001B">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72" w15:restartNumberingAfterBreak="0">
    <w:nsid w:val="519879E6"/>
    <w:multiLevelType w:val="hybridMultilevel"/>
    <w:tmpl w:val="5C7A510C"/>
    <w:lvl w:ilvl="0" w:tplc="EFF8A498">
      <w:start w:val="1"/>
      <w:numFmt w:val="lowerLetter"/>
      <w:lvlText w:val="(%1)"/>
      <w:lvlJc w:val="left"/>
      <w:pPr>
        <w:ind w:left="360" w:hanging="360"/>
      </w:pPr>
      <w:rPr>
        <w:rFonts w:asciiTheme="minorHAnsi" w:hAnsiTheme="minorHAnsi" w:cstheme="minorHAnsi" w:hint="default"/>
        <w:b w:val="0"/>
        <w:bCs w:val="0"/>
        <w:i w:val="0"/>
        <w:iCs w:val="0"/>
        <w:sz w:val="22"/>
        <w:szCs w:val="20"/>
      </w:rPr>
    </w:lvl>
    <w:lvl w:ilvl="1" w:tplc="0C070019">
      <w:start w:val="1"/>
      <w:numFmt w:val="lowerLetter"/>
      <w:lvlText w:val="%2."/>
      <w:lvlJc w:val="left"/>
      <w:pPr>
        <w:ind w:left="1080" w:hanging="360"/>
      </w:pPr>
    </w:lvl>
    <w:lvl w:ilvl="2" w:tplc="0C07001B">
      <w:start w:val="1"/>
      <w:numFmt w:val="lowerRoman"/>
      <w:lvlText w:val="%3."/>
      <w:lvlJc w:val="right"/>
      <w:pPr>
        <w:ind w:left="1800" w:hanging="180"/>
      </w:pPr>
    </w:lvl>
    <w:lvl w:ilvl="3" w:tplc="0C07000F">
      <w:start w:val="1"/>
      <w:numFmt w:val="decimal"/>
      <w:lvlText w:val="%4."/>
      <w:lvlJc w:val="left"/>
      <w:pPr>
        <w:ind w:left="2520" w:hanging="360"/>
      </w:pPr>
    </w:lvl>
    <w:lvl w:ilvl="4" w:tplc="0C070019">
      <w:start w:val="1"/>
      <w:numFmt w:val="lowerLetter"/>
      <w:lvlText w:val="%5."/>
      <w:lvlJc w:val="left"/>
      <w:pPr>
        <w:ind w:left="3240" w:hanging="360"/>
      </w:pPr>
    </w:lvl>
    <w:lvl w:ilvl="5" w:tplc="0C07001B">
      <w:start w:val="1"/>
      <w:numFmt w:val="lowerRoman"/>
      <w:lvlText w:val="%6."/>
      <w:lvlJc w:val="right"/>
      <w:pPr>
        <w:ind w:left="3960" w:hanging="180"/>
      </w:pPr>
    </w:lvl>
    <w:lvl w:ilvl="6" w:tplc="0C07000F" w:tentative="1">
      <w:start w:val="1"/>
      <w:numFmt w:val="decimal"/>
      <w:lvlText w:val="%7."/>
      <w:lvlJc w:val="left"/>
      <w:pPr>
        <w:ind w:left="4680" w:hanging="360"/>
      </w:pPr>
    </w:lvl>
    <w:lvl w:ilvl="7" w:tplc="0C070019" w:tentative="1">
      <w:start w:val="1"/>
      <w:numFmt w:val="lowerLetter"/>
      <w:lvlText w:val="%8."/>
      <w:lvlJc w:val="left"/>
      <w:pPr>
        <w:ind w:left="5400" w:hanging="360"/>
      </w:pPr>
    </w:lvl>
    <w:lvl w:ilvl="8" w:tplc="0C07001B" w:tentative="1">
      <w:start w:val="1"/>
      <w:numFmt w:val="lowerRoman"/>
      <w:lvlText w:val="%9."/>
      <w:lvlJc w:val="right"/>
      <w:pPr>
        <w:ind w:left="6120" w:hanging="180"/>
      </w:pPr>
    </w:lvl>
  </w:abstractNum>
  <w:abstractNum w:abstractNumId="73" w15:restartNumberingAfterBreak="0">
    <w:nsid w:val="53466668"/>
    <w:multiLevelType w:val="hybridMultilevel"/>
    <w:tmpl w:val="D46A9608"/>
    <w:lvl w:ilvl="0" w:tplc="EFF8A498">
      <w:start w:val="1"/>
      <w:numFmt w:val="lowerLetter"/>
      <w:lvlText w:val="(%1)"/>
      <w:lvlJc w:val="left"/>
      <w:pPr>
        <w:ind w:left="754" w:hanging="360"/>
      </w:pPr>
      <w:rPr>
        <w:rFonts w:asciiTheme="minorHAnsi" w:hAnsiTheme="minorHAnsi" w:cstheme="minorHAnsi" w:hint="default"/>
        <w:b w:val="0"/>
        <w:bCs w:val="0"/>
        <w:i w:val="0"/>
        <w:iCs w:val="0"/>
        <w:sz w:val="22"/>
        <w:szCs w:val="20"/>
      </w:rPr>
    </w:lvl>
    <w:lvl w:ilvl="1" w:tplc="0C070019">
      <w:start w:val="1"/>
      <w:numFmt w:val="lowerLetter"/>
      <w:lvlText w:val="%2."/>
      <w:lvlJc w:val="left"/>
      <w:pPr>
        <w:ind w:left="1474" w:hanging="360"/>
      </w:pPr>
    </w:lvl>
    <w:lvl w:ilvl="2" w:tplc="0C07001B">
      <w:start w:val="1"/>
      <w:numFmt w:val="lowerRoman"/>
      <w:lvlText w:val="%3."/>
      <w:lvlJc w:val="right"/>
      <w:pPr>
        <w:ind w:left="2194" w:hanging="180"/>
      </w:pPr>
    </w:lvl>
    <w:lvl w:ilvl="3" w:tplc="0C07000F">
      <w:start w:val="1"/>
      <w:numFmt w:val="decimal"/>
      <w:lvlText w:val="%4."/>
      <w:lvlJc w:val="left"/>
      <w:pPr>
        <w:ind w:left="2914" w:hanging="360"/>
      </w:pPr>
    </w:lvl>
    <w:lvl w:ilvl="4" w:tplc="0C070019">
      <w:start w:val="1"/>
      <w:numFmt w:val="lowerLetter"/>
      <w:lvlText w:val="%5."/>
      <w:lvlJc w:val="left"/>
      <w:pPr>
        <w:ind w:left="3634" w:hanging="360"/>
      </w:pPr>
    </w:lvl>
    <w:lvl w:ilvl="5" w:tplc="0C07001B">
      <w:start w:val="1"/>
      <w:numFmt w:val="lowerRoman"/>
      <w:lvlText w:val="%6."/>
      <w:lvlJc w:val="right"/>
      <w:pPr>
        <w:ind w:left="4354" w:hanging="180"/>
      </w:pPr>
    </w:lvl>
    <w:lvl w:ilvl="6" w:tplc="0C07000F" w:tentative="1">
      <w:start w:val="1"/>
      <w:numFmt w:val="decimal"/>
      <w:lvlText w:val="%7."/>
      <w:lvlJc w:val="left"/>
      <w:pPr>
        <w:ind w:left="5074" w:hanging="360"/>
      </w:pPr>
    </w:lvl>
    <w:lvl w:ilvl="7" w:tplc="0C070019" w:tentative="1">
      <w:start w:val="1"/>
      <w:numFmt w:val="lowerLetter"/>
      <w:lvlText w:val="%8."/>
      <w:lvlJc w:val="left"/>
      <w:pPr>
        <w:ind w:left="5794" w:hanging="360"/>
      </w:pPr>
    </w:lvl>
    <w:lvl w:ilvl="8" w:tplc="0C07001B" w:tentative="1">
      <w:start w:val="1"/>
      <w:numFmt w:val="lowerRoman"/>
      <w:lvlText w:val="%9."/>
      <w:lvlJc w:val="right"/>
      <w:pPr>
        <w:ind w:left="6514" w:hanging="180"/>
      </w:pPr>
    </w:lvl>
  </w:abstractNum>
  <w:abstractNum w:abstractNumId="74" w15:restartNumberingAfterBreak="0">
    <w:nsid w:val="563E4B05"/>
    <w:multiLevelType w:val="hybridMultilevel"/>
    <w:tmpl w:val="9B22F2FA"/>
    <w:lvl w:ilvl="0" w:tplc="6AAA6808">
      <w:start w:val="1"/>
      <w:numFmt w:val="lowerLetter"/>
      <w:lvlText w:val="(%1)"/>
      <w:lvlJc w:val="left"/>
      <w:pPr>
        <w:ind w:left="720" w:hanging="360"/>
      </w:pPr>
      <w:rPr>
        <w:rFonts w:hint="default"/>
        <w:b w:val="0"/>
        <w:bCs w:val="0"/>
        <w:i w:val="0"/>
        <w:iCs w:val="0"/>
      </w:rPr>
    </w:lvl>
    <w:lvl w:ilvl="1" w:tplc="0C070019">
      <w:start w:val="1"/>
      <w:numFmt w:val="lowerLetter"/>
      <w:lvlText w:val="%2."/>
      <w:lvlJc w:val="left"/>
      <w:pPr>
        <w:ind w:left="1440" w:hanging="360"/>
      </w:pPr>
    </w:lvl>
    <w:lvl w:ilvl="2" w:tplc="6AAA6808">
      <w:start w:val="1"/>
      <w:numFmt w:val="lowerLetter"/>
      <w:lvlText w:val="(%3)"/>
      <w:lvlJc w:val="left"/>
      <w:pPr>
        <w:ind w:left="720" w:hanging="360"/>
      </w:pPr>
      <w:rPr>
        <w:rFonts w:hint="default"/>
        <w:b w:val="0"/>
        <w:bCs w:val="0"/>
        <w:i w:val="0"/>
        <w:iCs w:val="0"/>
      </w:rPr>
    </w:lvl>
    <w:lvl w:ilvl="3" w:tplc="0C07000F">
      <w:start w:val="1"/>
      <w:numFmt w:val="decimal"/>
      <w:lvlText w:val="%4."/>
      <w:lvlJc w:val="left"/>
      <w:pPr>
        <w:ind w:left="2880" w:hanging="360"/>
      </w:pPr>
    </w:lvl>
    <w:lvl w:ilvl="4" w:tplc="6AAA6808">
      <w:start w:val="1"/>
      <w:numFmt w:val="lowerLetter"/>
      <w:lvlText w:val="(%5)"/>
      <w:lvlJc w:val="left"/>
      <w:pPr>
        <w:ind w:left="720" w:hanging="360"/>
      </w:pPr>
      <w:rPr>
        <w:rFonts w:hint="default"/>
        <w:b w:val="0"/>
        <w:bCs w:val="0"/>
        <w:i w:val="0"/>
        <w:iCs w:val="0"/>
      </w:rPr>
    </w:lvl>
    <w:lvl w:ilvl="5" w:tplc="0C07001B">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75" w15:restartNumberingAfterBreak="0">
    <w:nsid w:val="56762EFF"/>
    <w:multiLevelType w:val="hybridMultilevel"/>
    <w:tmpl w:val="B372966E"/>
    <w:lvl w:ilvl="0" w:tplc="0C07001B">
      <w:start w:val="1"/>
      <w:numFmt w:val="lowerRoman"/>
      <w:lvlText w:val="%1."/>
      <w:lvlJc w:val="right"/>
      <w:pPr>
        <w:ind w:left="720" w:hanging="360"/>
      </w:pPr>
      <w:rPr>
        <w:rFonts w:hint="default"/>
      </w:rPr>
    </w:lvl>
    <w:lvl w:ilvl="1" w:tplc="FFFFFFFF">
      <w:start w:val="1"/>
      <w:numFmt w:val="lowerRoman"/>
      <w:lvlText w:val="(%2)"/>
      <w:lvlJc w:val="left"/>
      <w:pPr>
        <w:ind w:left="1800" w:hanging="720"/>
      </w:pPr>
      <w:rPr>
        <w:rFonts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6" w15:restartNumberingAfterBreak="0">
    <w:nsid w:val="56D32AF3"/>
    <w:multiLevelType w:val="hybridMultilevel"/>
    <w:tmpl w:val="EFFC44D6"/>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77" w15:restartNumberingAfterBreak="0">
    <w:nsid w:val="57D60604"/>
    <w:multiLevelType w:val="hybridMultilevel"/>
    <w:tmpl w:val="FDA09C64"/>
    <w:lvl w:ilvl="0" w:tplc="04070005">
      <w:start w:val="1"/>
      <w:numFmt w:val="bullet"/>
      <w:lvlText w:val=""/>
      <w:lvlJc w:val="left"/>
      <w:pPr>
        <w:ind w:left="1174" w:hanging="360"/>
      </w:pPr>
      <w:rPr>
        <w:rFonts w:ascii="Wingdings" w:hAnsi="Wingdings" w:hint="default"/>
      </w:rPr>
    </w:lvl>
    <w:lvl w:ilvl="1" w:tplc="0C070003" w:tentative="1">
      <w:start w:val="1"/>
      <w:numFmt w:val="bullet"/>
      <w:lvlText w:val="o"/>
      <w:lvlJc w:val="left"/>
      <w:pPr>
        <w:ind w:left="1894" w:hanging="360"/>
      </w:pPr>
      <w:rPr>
        <w:rFonts w:ascii="Courier New" w:hAnsi="Courier New" w:cs="Courier New" w:hint="default"/>
      </w:rPr>
    </w:lvl>
    <w:lvl w:ilvl="2" w:tplc="0C070005" w:tentative="1">
      <w:start w:val="1"/>
      <w:numFmt w:val="bullet"/>
      <w:lvlText w:val=""/>
      <w:lvlJc w:val="left"/>
      <w:pPr>
        <w:ind w:left="2614" w:hanging="360"/>
      </w:pPr>
      <w:rPr>
        <w:rFonts w:ascii="Wingdings" w:hAnsi="Wingdings" w:hint="default"/>
      </w:rPr>
    </w:lvl>
    <w:lvl w:ilvl="3" w:tplc="0C070001" w:tentative="1">
      <w:start w:val="1"/>
      <w:numFmt w:val="bullet"/>
      <w:lvlText w:val=""/>
      <w:lvlJc w:val="left"/>
      <w:pPr>
        <w:ind w:left="3334" w:hanging="360"/>
      </w:pPr>
      <w:rPr>
        <w:rFonts w:ascii="Symbol" w:hAnsi="Symbol" w:hint="default"/>
      </w:rPr>
    </w:lvl>
    <w:lvl w:ilvl="4" w:tplc="0C070003" w:tentative="1">
      <w:start w:val="1"/>
      <w:numFmt w:val="bullet"/>
      <w:lvlText w:val="o"/>
      <w:lvlJc w:val="left"/>
      <w:pPr>
        <w:ind w:left="4054" w:hanging="360"/>
      </w:pPr>
      <w:rPr>
        <w:rFonts w:ascii="Courier New" w:hAnsi="Courier New" w:cs="Courier New" w:hint="default"/>
      </w:rPr>
    </w:lvl>
    <w:lvl w:ilvl="5" w:tplc="0C070005" w:tentative="1">
      <w:start w:val="1"/>
      <w:numFmt w:val="bullet"/>
      <w:lvlText w:val=""/>
      <w:lvlJc w:val="left"/>
      <w:pPr>
        <w:ind w:left="4774" w:hanging="360"/>
      </w:pPr>
      <w:rPr>
        <w:rFonts w:ascii="Wingdings" w:hAnsi="Wingdings" w:hint="default"/>
      </w:rPr>
    </w:lvl>
    <w:lvl w:ilvl="6" w:tplc="0C070001" w:tentative="1">
      <w:start w:val="1"/>
      <w:numFmt w:val="bullet"/>
      <w:lvlText w:val=""/>
      <w:lvlJc w:val="left"/>
      <w:pPr>
        <w:ind w:left="5494" w:hanging="360"/>
      </w:pPr>
      <w:rPr>
        <w:rFonts w:ascii="Symbol" w:hAnsi="Symbol" w:hint="default"/>
      </w:rPr>
    </w:lvl>
    <w:lvl w:ilvl="7" w:tplc="0C070003" w:tentative="1">
      <w:start w:val="1"/>
      <w:numFmt w:val="bullet"/>
      <w:lvlText w:val="o"/>
      <w:lvlJc w:val="left"/>
      <w:pPr>
        <w:ind w:left="6214" w:hanging="360"/>
      </w:pPr>
      <w:rPr>
        <w:rFonts w:ascii="Courier New" w:hAnsi="Courier New" w:cs="Courier New" w:hint="default"/>
      </w:rPr>
    </w:lvl>
    <w:lvl w:ilvl="8" w:tplc="0C070005" w:tentative="1">
      <w:start w:val="1"/>
      <w:numFmt w:val="bullet"/>
      <w:lvlText w:val=""/>
      <w:lvlJc w:val="left"/>
      <w:pPr>
        <w:ind w:left="6934" w:hanging="360"/>
      </w:pPr>
      <w:rPr>
        <w:rFonts w:ascii="Wingdings" w:hAnsi="Wingdings" w:hint="default"/>
      </w:rPr>
    </w:lvl>
  </w:abstractNum>
  <w:abstractNum w:abstractNumId="78" w15:restartNumberingAfterBreak="0">
    <w:nsid w:val="5AF11595"/>
    <w:multiLevelType w:val="hybridMultilevel"/>
    <w:tmpl w:val="45D8D46A"/>
    <w:lvl w:ilvl="0" w:tplc="0C070001">
      <w:start w:val="1"/>
      <w:numFmt w:val="bullet"/>
      <w:lvlText w:val=""/>
      <w:lvlJc w:val="left"/>
      <w:pPr>
        <w:ind w:left="720" w:hanging="360"/>
      </w:pPr>
      <w:rPr>
        <w:rFonts w:ascii="Symbol" w:hAnsi="Symbol" w:hint="default"/>
      </w:rPr>
    </w:lvl>
    <w:lvl w:ilvl="1" w:tplc="0C070003">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79" w15:restartNumberingAfterBreak="0">
    <w:nsid w:val="5C223C75"/>
    <w:multiLevelType w:val="hybridMultilevel"/>
    <w:tmpl w:val="3BBE4D2A"/>
    <w:lvl w:ilvl="0" w:tplc="FFFFFFFF">
      <w:start w:val="2"/>
      <w:numFmt w:val="lowerLetter"/>
      <w:lvlText w:val="(%1)"/>
      <w:lvlJc w:val="left"/>
      <w:pPr>
        <w:ind w:left="720" w:hanging="360"/>
      </w:pPr>
      <w:rPr>
        <w:rFonts w:hint="default"/>
        <w:b w:val="0"/>
        <w:bCs w:val="0"/>
        <w:i w:val="0"/>
        <w:iCs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0" w15:restartNumberingAfterBreak="0">
    <w:nsid w:val="5DC21E1F"/>
    <w:multiLevelType w:val="hybridMultilevel"/>
    <w:tmpl w:val="B8C01110"/>
    <w:lvl w:ilvl="0" w:tplc="0C070015">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81" w15:restartNumberingAfterBreak="0">
    <w:nsid w:val="5F424419"/>
    <w:multiLevelType w:val="hybridMultilevel"/>
    <w:tmpl w:val="EFFC44D6"/>
    <w:lvl w:ilvl="0" w:tplc="0C070015">
      <w:start w:val="1"/>
      <w:numFmt w:val="decimal"/>
      <w:lvlText w:val="(%1)"/>
      <w:lvlJc w:val="left"/>
      <w:pPr>
        <w:ind w:left="360" w:hanging="360"/>
      </w:pPr>
      <w:rPr>
        <w:rFonts w:hint="default"/>
      </w:rPr>
    </w:lvl>
    <w:lvl w:ilvl="1" w:tplc="0C070019" w:tentative="1">
      <w:start w:val="1"/>
      <w:numFmt w:val="lowerLetter"/>
      <w:lvlText w:val="%2."/>
      <w:lvlJc w:val="left"/>
      <w:pPr>
        <w:ind w:left="1080" w:hanging="360"/>
      </w:pPr>
    </w:lvl>
    <w:lvl w:ilvl="2" w:tplc="0C07001B" w:tentative="1">
      <w:start w:val="1"/>
      <w:numFmt w:val="lowerRoman"/>
      <w:lvlText w:val="%3."/>
      <w:lvlJc w:val="right"/>
      <w:pPr>
        <w:ind w:left="1800" w:hanging="180"/>
      </w:pPr>
    </w:lvl>
    <w:lvl w:ilvl="3" w:tplc="0C07000F" w:tentative="1">
      <w:start w:val="1"/>
      <w:numFmt w:val="decimal"/>
      <w:lvlText w:val="%4."/>
      <w:lvlJc w:val="left"/>
      <w:pPr>
        <w:ind w:left="2520" w:hanging="360"/>
      </w:pPr>
    </w:lvl>
    <w:lvl w:ilvl="4" w:tplc="0C070019" w:tentative="1">
      <w:start w:val="1"/>
      <w:numFmt w:val="lowerLetter"/>
      <w:lvlText w:val="%5."/>
      <w:lvlJc w:val="left"/>
      <w:pPr>
        <w:ind w:left="3240" w:hanging="360"/>
      </w:pPr>
    </w:lvl>
    <w:lvl w:ilvl="5" w:tplc="0C07001B" w:tentative="1">
      <w:start w:val="1"/>
      <w:numFmt w:val="lowerRoman"/>
      <w:lvlText w:val="%6."/>
      <w:lvlJc w:val="right"/>
      <w:pPr>
        <w:ind w:left="3960" w:hanging="180"/>
      </w:pPr>
    </w:lvl>
    <w:lvl w:ilvl="6" w:tplc="0C07000F" w:tentative="1">
      <w:start w:val="1"/>
      <w:numFmt w:val="decimal"/>
      <w:lvlText w:val="%7."/>
      <w:lvlJc w:val="left"/>
      <w:pPr>
        <w:ind w:left="4680" w:hanging="360"/>
      </w:pPr>
    </w:lvl>
    <w:lvl w:ilvl="7" w:tplc="0C070019" w:tentative="1">
      <w:start w:val="1"/>
      <w:numFmt w:val="lowerLetter"/>
      <w:lvlText w:val="%8."/>
      <w:lvlJc w:val="left"/>
      <w:pPr>
        <w:ind w:left="5400" w:hanging="360"/>
      </w:pPr>
    </w:lvl>
    <w:lvl w:ilvl="8" w:tplc="0C07001B" w:tentative="1">
      <w:start w:val="1"/>
      <w:numFmt w:val="lowerRoman"/>
      <w:lvlText w:val="%9."/>
      <w:lvlJc w:val="right"/>
      <w:pPr>
        <w:ind w:left="6120" w:hanging="180"/>
      </w:pPr>
    </w:lvl>
  </w:abstractNum>
  <w:abstractNum w:abstractNumId="82" w15:restartNumberingAfterBreak="0">
    <w:nsid w:val="5F894994"/>
    <w:multiLevelType w:val="hybridMultilevel"/>
    <w:tmpl w:val="3A182A92"/>
    <w:lvl w:ilvl="0" w:tplc="71D21486">
      <w:start w:val="1"/>
      <w:numFmt w:val="lowerLetter"/>
      <w:lvlText w:val="(%1)"/>
      <w:lvlJc w:val="left"/>
      <w:pPr>
        <w:ind w:left="1570" w:hanging="360"/>
      </w:pPr>
      <w:rPr>
        <w:rFonts w:hint="default"/>
        <w:b w:val="0"/>
        <w:bCs w:val="0"/>
      </w:rPr>
    </w:lvl>
    <w:lvl w:ilvl="1" w:tplc="0C070019" w:tentative="1">
      <w:start w:val="1"/>
      <w:numFmt w:val="lowerLetter"/>
      <w:lvlText w:val="%2."/>
      <w:lvlJc w:val="left"/>
      <w:pPr>
        <w:ind w:left="2290" w:hanging="360"/>
      </w:pPr>
    </w:lvl>
    <w:lvl w:ilvl="2" w:tplc="0C07001B" w:tentative="1">
      <w:start w:val="1"/>
      <w:numFmt w:val="lowerRoman"/>
      <w:lvlText w:val="%3."/>
      <w:lvlJc w:val="right"/>
      <w:pPr>
        <w:ind w:left="3010" w:hanging="180"/>
      </w:pPr>
    </w:lvl>
    <w:lvl w:ilvl="3" w:tplc="0C07000F" w:tentative="1">
      <w:start w:val="1"/>
      <w:numFmt w:val="decimal"/>
      <w:lvlText w:val="%4."/>
      <w:lvlJc w:val="left"/>
      <w:pPr>
        <w:ind w:left="3730" w:hanging="360"/>
      </w:pPr>
    </w:lvl>
    <w:lvl w:ilvl="4" w:tplc="0C070019" w:tentative="1">
      <w:start w:val="1"/>
      <w:numFmt w:val="lowerLetter"/>
      <w:lvlText w:val="%5."/>
      <w:lvlJc w:val="left"/>
      <w:pPr>
        <w:ind w:left="4450" w:hanging="360"/>
      </w:pPr>
    </w:lvl>
    <w:lvl w:ilvl="5" w:tplc="0C07001B" w:tentative="1">
      <w:start w:val="1"/>
      <w:numFmt w:val="lowerRoman"/>
      <w:lvlText w:val="%6."/>
      <w:lvlJc w:val="right"/>
      <w:pPr>
        <w:ind w:left="5170" w:hanging="180"/>
      </w:pPr>
    </w:lvl>
    <w:lvl w:ilvl="6" w:tplc="0C07000F" w:tentative="1">
      <w:start w:val="1"/>
      <w:numFmt w:val="decimal"/>
      <w:lvlText w:val="%7."/>
      <w:lvlJc w:val="left"/>
      <w:pPr>
        <w:ind w:left="5890" w:hanging="360"/>
      </w:pPr>
    </w:lvl>
    <w:lvl w:ilvl="7" w:tplc="0C070019" w:tentative="1">
      <w:start w:val="1"/>
      <w:numFmt w:val="lowerLetter"/>
      <w:lvlText w:val="%8."/>
      <w:lvlJc w:val="left"/>
      <w:pPr>
        <w:ind w:left="6610" w:hanging="360"/>
      </w:pPr>
    </w:lvl>
    <w:lvl w:ilvl="8" w:tplc="0C07001B" w:tentative="1">
      <w:start w:val="1"/>
      <w:numFmt w:val="lowerRoman"/>
      <w:lvlText w:val="%9."/>
      <w:lvlJc w:val="right"/>
      <w:pPr>
        <w:ind w:left="7330" w:hanging="180"/>
      </w:pPr>
    </w:lvl>
  </w:abstractNum>
  <w:abstractNum w:abstractNumId="83" w15:restartNumberingAfterBreak="0">
    <w:nsid w:val="602548F0"/>
    <w:multiLevelType w:val="hybridMultilevel"/>
    <w:tmpl w:val="D46A9608"/>
    <w:lvl w:ilvl="0" w:tplc="FFFFFFFF">
      <w:start w:val="1"/>
      <w:numFmt w:val="lowerLetter"/>
      <w:lvlText w:val="(%1)"/>
      <w:lvlJc w:val="left"/>
      <w:pPr>
        <w:ind w:left="754" w:hanging="360"/>
      </w:pPr>
      <w:rPr>
        <w:rFonts w:asciiTheme="minorHAnsi" w:hAnsiTheme="minorHAnsi" w:cstheme="minorHAnsi" w:hint="default"/>
        <w:b w:val="0"/>
        <w:bCs w:val="0"/>
        <w:i w:val="0"/>
        <w:iCs w:val="0"/>
        <w:sz w:val="22"/>
        <w:szCs w:val="20"/>
      </w:rPr>
    </w:lvl>
    <w:lvl w:ilvl="1" w:tplc="FFFFFFFF">
      <w:start w:val="1"/>
      <w:numFmt w:val="lowerLetter"/>
      <w:lvlText w:val="%2."/>
      <w:lvlJc w:val="left"/>
      <w:pPr>
        <w:ind w:left="1474" w:hanging="360"/>
      </w:pPr>
    </w:lvl>
    <w:lvl w:ilvl="2" w:tplc="FFFFFFFF">
      <w:start w:val="1"/>
      <w:numFmt w:val="lowerRoman"/>
      <w:lvlText w:val="%3."/>
      <w:lvlJc w:val="right"/>
      <w:pPr>
        <w:ind w:left="2194" w:hanging="180"/>
      </w:pPr>
    </w:lvl>
    <w:lvl w:ilvl="3" w:tplc="FFFFFFFF">
      <w:start w:val="1"/>
      <w:numFmt w:val="decimal"/>
      <w:lvlText w:val="%4."/>
      <w:lvlJc w:val="left"/>
      <w:pPr>
        <w:ind w:left="2914" w:hanging="360"/>
      </w:pPr>
    </w:lvl>
    <w:lvl w:ilvl="4" w:tplc="FFFFFFFF">
      <w:start w:val="1"/>
      <w:numFmt w:val="lowerLetter"/>
      <w:lvlText w:val="%5."/>
      <w:lvlJc w:val="left"/>
      <w:pPr>
        <w:ind w:left="3634" w:hanging="360"/>
      </w:pPr>
    </w:lvl>
    <w:lvl w:ilvl="5" w:tplc="FFFFFFFF">
      <w:start w:val="1"/>
      <w:numFmt w:val="lowerRoman"/>
      <w:lvlText w:val="%6."/>
      <w:lvlJc w:val="right"/>
      <w:pPr>
        <w:ind w:left="4354" w:hanging="180"/>
      </w:pPr>
    </w:lvl>
    <w:lvl w:ilvl="6" w:tplc="FFFFFFFF" w:tentative="1">
      <w:start w:val="1"/>
      <w:numFmt w:val="decimal"/>
      <w:lvlText w:val="%7."/>
      <w:lvlJc w:val="left"/>
      <w:pPr>
        <w:ind w:left="5074" w:hanging="360"/>
      </w:pPr>
    </w:lvl>
    <w:lvl w:ilvl="7" w:tplc="FFFFFFFF" w:tentative="1">
      <w:start w:val="1"/>
      <w:numFmt w:val="lowerLetter"/>
      <w:lvlText w:val="%8."/>
      <w:lvlJc w:val="left"/>
      <w:pPr>
        <w:ind w:left="5794" w:hanging="360"/>
      </w:pPr>
    </w:lvl>
    <w:lvl w:ilvl="8" w:tplc="FFFFFFFF" w:tentative="1">
      <w:start w:val="1"/>
      <w:numFmt w:val="lowerRoman"/>
      <w:lvlText w:val="%9."/>
      <w:lvlJc w:val="right"/>
      <w:pPr>
        <w:ind w:left="6514" w:hanging="180"/>
      </w:pPr>
    </w:lvl>
  </w:abstractNum>
  <w:abstractNum w:abstractNumId="84" w15:restartNumberingAfterBreak="0">
    <w:nsid w:val="639F0DCA"/>
    <w:multiLevelType w:val="hybridMultilevel"/>
    <w:tmpl w:val="89C0FB84"/>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85" w15:restartNumberingAfterBreak="0">
    <w:nsid w:val="6406103B"/>
    <w:multiLevelType w:val="hybridMultilevel"/>
    <w:tmpl w:val="062E917A"/>
    <w:lvl w:ilvl="0" w:tplc="FFFFFFFF">
      <w:start w:val="1"/>
      <w:numFmt w:val="lowerLetter"/>
      <w:lvlText w:val="(%1)"/>
      <w:lvlJc w:val="left"/>
      <w:pPr>
        <w:ind w:left="720" w:hanging="360"/>
      </w:pPr>
      <w:rPr>
        <w:rFonts w:asciiTheme="minorHAnsi" w:hAnsiTheme="minorHAnsi" w:cstheme="minorHAnsi" w:hint="default"/>
        <w:b w:val="0"/>
        <w:bCs w:val="0"/>
        <w:i w:val="0"/>
        <w:iCs w:val="0"/>
        <w:sz w:val="22"/>
        <w:szCs w:val="2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6" w15:restartNumberingAfterBreak="0">
    <w:nsid w:val="645B4D30"/>
    <w:multiLevelType w:val="hybridMultilevel"/>
    <w:tmpl w:val="D4AC4648"/>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87" w15:restartNumberingAfterBreak="0">
    <w:nsid w:val="64BA0BF8"/>
    <w:multiLevelType w:val="hybridMultilevel"/>
    <w:tmpl w:val="DE5ABB40"/>
    <w:lvl w:ilvl="0" w:tplc="04070005">
      <w:start w:val="1"/>
      <w:numFmt w:val="bullet"/>
      <w:lvlText w:val=""/>
      <w:lvlJc w:val="left"/>
      <w:pPr>
        <w:ind w:left="720" w:hanging="360"/>
      </w:pPr>
      <w:rPr>
        <w:rFonts w:ascii="Wingdings" w:hAnsi="Wingdings" w:hint="default"/>
      </w:rPr>
    </w:lvl>
    <w:lvl w:ilvl="1" w:tplc="0C070003">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88" w15:restartNumberingAfterBreak="0">
    <w:nsid w:val="66674437"/>
    <w:multiLevelType w:val="hybridMultilevel"/>
    <w:tmpl w:val="EFFC44D6"/>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9" w15:restartNumberingAfterBreak="0">
    <w:nsid w:val="678D5E7E"/>
    <w:multiLevelType w:val="hybridMultilevel"/>
    <w:tmpl w:val="6772E33E"/>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90" w15:restartNumberingAfterBreak="0">
    <w:nsid w:val="68137841"/>
    <w:multiLevelType w:val="hybridMultilevel"/>
    <w:tmpl w:val="7146FEAA"/>
    <w:lvl w:ilvl="0" w:tplc="9DE4A2A4">
      <w:start w:val="1"/>
      <w:numFmt w:val="lowerRoman"/>
      <w:lvlText w:val="(%1)"/>
      <w:lvlJc w:val="left"/>
      <w:pPr>
        <w:ind w:left="1352" w:hanging="360"/>
      </w:pPr>
      <w:rPr>
        <w:rFonts w:hint="default"/>
      </w:rPr>
    </w:lvl>
    <w:lvl w:ilvl="1" w:tplc="0C070019" w:tentative="1">
      <w:start w:val="1"/>
      <w:numFmt w:val="lowerLetter"/>
      <w:lvlText w:val="%2."/>
      <w:lvlJc w:val="left"/>
      <w:pPr>
        <w:ind w:left="2072" w:hanging="360"/>
      </w:pPr>
    </w:lvl>
    <w:lvl w:ilvl="2" w:tplc="0C07001B" w:tentative="1">
      <w:start w:val="1"/>
      <w:numFmt w:val="lowerRoman"/>
      <w:lvlText w:val="%3."/>
      <w:lvlJc w:val="right"/>
      <w:pPr>
        <w:ind w:left="2792" w:hanging="180"/>
      </w:pPr>
    </w:lvl>
    <w:lvl w:ilvl="3" w:tplc="0C07000F" w:tentative="1">
      <w:start w:val="1"/>
      <w:numFmt w:val="decimal"/>
      <w:lvlText w:val="%4."/>
      <w:lvlJc w:val="left"/>
      <w:pPr>
        <w:ind w:left="3512" w:hanging="360"/>
      </w:pPr>
    </w:lvl>
    <w:lvl w:ilvl="4" w:tplc="0C070019" w:tentative="1">
      <w:start w:val="1"/>
      <w:numFmt w:val="lowerLetter"/>
      <w:lvlText w:val="%5."/>
      <w:lvlJc w:val="left"/>
      <w:pPr>
        <w:ind w:left="4232" w:hanging="360"/>
      </w:pPr>
    </w:lvl>
    <w:lvl w:ilvl="5" w:tplc="0C07001B" w:tentative="1">
      <w:start w:val="1"/>
      <w:numFmt w:val="lowerRoman"/>
      <w:lvlText w:val="%6."/>
      <w:lvlJc w:val="right"/>
      <w:pPr>
        <w:ind w:left="4952" w:hanging="180"/>
      </w:pPr>
    </w:lvl>
    <w:lvl w:ilvl="6" w:tplc="0C07000F" w:tentative="1">
      <w:start w:val="1"/>
      <w:numFmt w:val="decimal"/>
      <w:lvlText w:val="%7."/>
      <w:lvlJc w:val="left"/>
      <w:pPr>
        <w:ind w:left="5672" w:hanging="360"/>
      </w:pPr>
    </w:lvl>
    <w:lvl w:ilvl="7" w:tplc="0C070019" w:tentative="1">
      <w:start w:val="1"/>
      <w:numFmt w:val="lowerLetter"/>
      <w:lvlText w:val="%8."/>
      <w:lvlJc w:val="left"/>
      <w:pPr>
        <w:ind w:left="6392" w:hanging="360"/>
      </w:pPr>
    </w:lvl>
    <w:lvl w:ilvl="8" w:tplc="0C07001B" w:tentative="1">
      <w:start w:val="1"/>
      <w:numFmt w:val="lowerRoman"/>
      <w:lvlText w:val="%9."/>
      <w:lvlJc w:val="right"/>
      <w:pPr>
        <w:ind w:left="7112" w:hanging="180"/>
      </w:pPr>
    </w:lvl>
  </w:abstractNum>
  <w:abstractNum w:abstractNumId="91" w15:restartNumberingAfterBreak="0">
    <w:nsid w:val="6ACF5372"/>
    <w:multiLevelType w:val="hybridMultilevel"/>
    <w:tmpl w:val="767E32E6"/>
    <w:lvl w:ilvl="0" w:tplc="9DE4A2A4">
      <w:start w:val="1"/>
      <w:numFmt w:val="lowerRoman"/>
      <w:lvlText w:val="(%1)"/>
      <w:lvlJc w:val="left"/>
      <w:pPr>
        <w:ind w:left="720" w:hanging="360"/>
      </w:pPr>
      <w:rPr>
        <w:rFonts w:hint="default"/>
      </w:rPr>
    </w:lvl>
    <w:lvl w:ilvl="1" w:tplc="121E55E2">
      <w:start w:val="1"/>
      <w:numFmt w:val="lowerLetter"/>
      <w:lvlText w:val="%2)"/>
      <w:lvlJc w:val="left"/>
      <w:pPr>
        <w:ind w:left="1440" w:hanging="360"/>
      </w:pPr>
      <w:rPr>
        <w:rFonts w:hint="default"/>
      </w:r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92" w15:restartNumberingAfterBreak="0">
    <w:nsid w:val="6BAC736C"/>
    <w:multiLevelType w:val="hybridMultilevel"/>
    <w:tmpl w:val="7F823C5E"/>
    <w:lvl w:ilvl="0" w:tplc="6AAA6808">
      <w:start w:val="1"/>
      <w:numFmt w:val="lowerLetter"/>
      <w:lvlText w:val="(%1)"/>
      <w:lvlJc w:val="left"/>
      <w:pPr>
        <w:ind w:left="720" w:hanging="360"/>
      </w:pPr>
      <w:rPr>
        <w:rFonts w:hint="default"/>
        <w:b w:val="0"/>
        <w:bCs w:val="0"/>
        <w:i w:val="0"/>
        <w:iCs w:val="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93" w15:restartNumberingAfterBreak="0">
    <w:nsid w:val="6BC365A6"/>
    <w:multiLevelType w:val="hybridMultilevel"/>
    <w:tmpl w:val="AEB4DFE2"/>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94" w15:restartNumberingAfterBreak="0">
    <w:nsid w:val="6D0B11D5"/>
    <w:multiLevelType w:val="hybridMultilevel"/>
    <w:tmpl w:val="EFFC44D6"/>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95" w15:restartNumberingAfterBreak="0">
    <w:nsid w:val="6F776CAD"/>
    <w:multiLevelType w:val="hybridMultilevel"/>
    <w:tmpl w:val="849AA7D8"/>
    <w:lvl w:ilvl="0" w:tplc="FFFFFFFF">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96" w15:restartNumberingAfterBreak="0">
    <w:nsid w:val="721F4EA4"/>
    <w:multiLevelType w:val="hybridMultilevel"/>
    <w:tmpl w:val="3974921C"/>
    <w:lvl w:ilvl="0" w:tplc="6AAA6808">
      <w:start w:val="1"/>
      <w:numFmt w:val="lowerLetter"/>
      <w:lvlText w:val="(%1)"/>
      <w:lvlJc w:val="left"/>
      <w:pPr>
        <w:ind w:left="677" w:hanging="360"/>
      </w:pPr>
      <w:rPr>
        <w:rFonts w:hint="default"/>
        <w:b w:val="0"/>
        <w:bCs w:val="0"/>
        <w:i w:val="0"/>
        <w:iCs w:val="0"/>
      </w:rPr>
    </w:lvl>
    <w:lvl w:ilvl="1" w:tplc="0C070019" w:tentative="1">
      <w:start w:val="1"/>
      <w:numFmt w:val="lowerLetter"/>
      <w:lvlText w:val="%2."/>
      <w:lvlJc w:val="left"/>
      <w:pPr>
        <w:ind w:left="1397" w:hanging="360"/>
      </w:pPr>
    </w:lvl>
    <w:lvl w:ilvl="2" w:tplc="0C07001B" w:tentative="1">
      <w:start w:val="1"/>
      <w:numFmt w:val="lowerRoman"/>
      <w:lvlText w:val="%3."/>
      <w:lvlJc w:val="right"/>
      <w:pPr>
        <w:ind w:left="2117" w:hanging="180"/>
      </w:pPr>
    </w:lvl>
    <w:lvl w:ilvl="3" w:tplc="0C07000F" w:tentative="1">
      <w:start w:val="1"/>
      <w:numFmt w:val="decimal"/>
      <w:lvlText w:val="%4."/>
      <w:lvlJc w:val="left"/>
      <w:pPr>
        <w:ind w:left="2837" w:hanging="360"/>
      </w:pPr>
    </w:lvl>
    <w:lvl w:ilvl="4" w:tplc="0C070019" w:tentative="1">
      <w:start w:val="1"/>
      <w:numFmt w:val="lowerLetter"/>
      <w:lvlText w:val="%5."/>
      <w:lvlJc w:val="left"/>
      <w:pPr>
        <w:ind w:left="3557" w:hanging="360"/>
      </w:pPr>
    </w:lvl>
    <w:lvl w:ilvl="5" w:tplc="0C07001B" w:tentative="1">
      <w:start w:val="1"/>
      <w:numFmt w:val="lowerRoman"/>
      <w:lvlText w:val="%6."/>
      <w:lvlJc w:val="right"/>
      <w:pPr>
        <w:ind w:left="4277" w:hanging="180"/>
      </w:pPr>
    </w:lvl>
    <w:lvl w:ilvl="6" w:tplc="0C07000F" w:tentative="1">
      <w:start w:val="1"/>
      <w:numFmt w:val="decimal"/>
      <w:lvlText w:val="%7."/>
      <w:lvlJc w:val="left"/>
      <w:pPr>
        <w:ind w:left="4997" w:hanging="360"/>
      </w:pPr>
    </w:lvl>
    <w:lvl w:ilvl="7" w:tplc="0C070019" w:tentative="1">
      <w:start w:val="1"/>
      <w:numFmt w:val="lowerLetter"/>
      <w:lvlText w:val="%8."/>
      <w:lvlJc w:val="left"/>
      <w:pPr>
        <w:ind w:left="5717" w:hanging="360"/>
      </w:pPr>
    </w:lvl>
    <w:lvl w:ilvl="8" w:tplc="0C07001B" w:tentative="1">
      <w:start w:val="1"/>
      <w:numFmt w:val="lowerRoman"/>
      <w:lvlText w:val="%9."/>
      <w:lvlJc w:val="right"/>
      <w:pPr>
        <w:ind w:left="6437" w:hanging="180"/>
      </w:pPr>
    </w:lvl>
  </w:abstractNum>
  <w:abstractNum w:abstractNumId="97" w15:restartNumberingAfterBreak="0">
    <w:nsid w:val="73194472"/>
    <w:multiLevelType w:val="hybridMultilevel"/>
    <w:tmpl w:val="1BA4E0D0"/>
    <w:lvl w:ilvl="0" w:tplc="6AAA6808">
      <w:start w:val="1"/>
      <w:numFmt w:val="lowerLetter"/>
      <w:lvlText w:val="(%1)"/>
      <w:lvlJc w:val="left"/>
      <w:pPr>
        <w:ind w:left="720" w:hanging="360"/>
      </w:pPr>
      <w:rPr>
        <w:rFonts w:hint="default"/>
        <w:b w:val="0"/>
        <w:bCs w:val="0"/>
        <w:i w:val="0"/>
        <w:iCs w:val="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6AAA6808">
      <w:start w:val="1"/>
      <w:numFmt w:val="lowerLetter"/>
      <w:lvlText w:val="(%5)"/>
      <w:lvlJc w:val="left"/>
      <w:pPr>
        <w:ind w:left="720" w:hanging="360"/>
      </w:pPr>
      <w:rPr>
        <w:rFonts w:hint="default"/>
        <w:b w:val="0"/>
        <w:bCs w:val="0"/>
        <w:i w:val="0"/>
        <w:iCs w:val="0"/>
      </w:r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98" w15:restartNumberingAfterBreak="0">
    <w:nsid w:val="74CD3928"/>
    <w:multiLevelType w:val="hybridMultilevel"/>
    <w:tmpl w:val="B588D436"/>
    <w:lvl w:ilvl="0" w:tplc="CDDE5FEE">
      <w:start w:val="1"/>
      <w:numFmt w:val="lowerLetter"/>
      <w:lvlText w:val="(%1)"/>
      <w:lvlJc w:val="left"/>
      <w:pPr>
        <w:ind w:left="720" w:hanging="360"/>
      </w:pPr>
      <w:rPr>
        <w:rFonts w:asciiTheme="minorHAnsi" w:hAnsiTheme="minorHAnsi" w:cstheme="minorHAnsi" w:hint="default"/>
        <w:b w:val="0"/>
        <w:bCs w:val="0"/>
        <w:i w:val="0"/>
        <w:iCs w:val="0"/>
        <w:sz w:val="22"/>
        <w:szCs w:val="22"/>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99" w15:restartNumberingAfterBreak="0">
    <w:nsid w:val="74F773A9"/>
    <w:multiLevelType w:val="hybridMultilevel"/>
    <w:tmpl w:val="41BA0DD2"/>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00" w15:restartNumberingAfterBreak="0">
    <w:nsid w:val="7649193C"/>
    <w:multiLevelType w:val="hybridMultilevel"/>
    <w:tmpl w:val="88C4372E"/>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01" w15:restartNumberingAfterBreak="0">
    <w:nsid w:val="76A1628F"/>
    <w:multiLevelType w:val="hybridMultilevel"/>
    <w:tmpl w:val="65FCE048"/>
    <w:lvl w:ilvl="0" w:tplc="D77A0A6E">
      <w:start w:val="1"/>
      <w:numFmt w:val="lowerLetter"/>
      <w:lvlText w:val="(%1)"/>
      <w:lvlJc w:val="left"/>
      <w:pPr>
        <w:ind w:left="720" w:hanging="360"/>
      </w:pPr>
      <w:rPr>
        <w:rFonts w:asciiTheme="minorHAnsi" w:hAnsiTheme="minorHAnsi" w:cstheme="minorHAnsi" w:hint="default"/>
        <w:b/>
        <w:bCs/>
        <w:i w:val="0"/>
        <w:iCs w:val="0"/>
        <w:sz w:val="22"/>
        <w:szCs w:val="20"/>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02" w15:restartNumberingAfterBreak="0">
    <w:nsid w:val="77554A86"/>
    <w:multiLevelType w:val="hybridMultilevel"/>
    <w:tmpl w:val="92844B2A"/>
    <w:lvl w:ilvl="0" w:tplc="1330A0FC">
      <w:start w:val="1"/>
      <w:numFmt w:val="decimal"/>
      <w:lvlText w:val="%1."/>
      <w:lvlJc w:val="left"/>
      <w:pPr>
        <w:ind w:left="720" w:hanging="360"/>
      </w:pPr>
    </w:lvl>
    <w:lvl w:ilvl="1" w:tplc="8D2A040E">
      <w:start w:val="1"/>
      <w:numFmt w:val="decimal"/>
      <w:lvlText w:val="%2."/>
      <w:lvlJc w:val="left"/>
      <w:pPr>
        <w:ind w:left="720" w:hanging="360"/>
      </w:pPr>
    </w:lvl>
    <w:lvl w:ilvl="2" w:tplc="07549BFA">
      <w:start w:val="1"/>
      <w:numFmt w:val="decimal"/>
      <w:lvlText w:val="%3."/>
      <w:lvlJc w:val="left"/>
      <w:pPr>
        <w:ind w:left="720" w:hanging="360"/>
      </w:pPr>
    </w:lvl>
    <w:lvl w:ilvl="3" w:tplc="57829D84">
      <w:start w:val="1"/>
      <w:numFmt w:val="decimal"/>
      <w:lvlText w:val="%4."/>
      <w:lvlJc w:val="left"/>
      <w:pPr>
        <w:ind w:left="720" w:hanging="360"/>
      </w:pPr>
    </w:lvl>
    <w:lvl w:ilvl="4" w:tplc="63CAD118">
      <w:start w:val="1"/>
      <w:numFmt w:val="decimal"/>
      <w:lvlText w:val="%5."/>
      <w:lvlJc w:val="left"/>
      <w:pPr>
        <w:ind w:left="720" w:hanging="360"/>
      </w:pPr>
    </w:lvl>
    <w:lvl w:ilvl="5" w:tplc="4588DF1A">
      <w:start w:val="1"/>
      <w:numFmt w:val="decimal"/>
      <w:lvlText w:val="%6."/>
      <w:lvlJc w:val="left"/>
      <w:pPr>
        <w:ind w:left="720" w:hanging="360"/>
      </w:pPr>
    </w:lvl>
    <w:lvl w:ilvl="6" w:tplc="62D85A62">
      <w:start w:val="1"/>
      <w:numFmt w:val="decimal"/>
      <w:lvlText w:val="%7."/>
      <w:lvlJc w:val="left"/>
      <w:pPr>
        <w:ind w:left="720" w:hanging="360"/>
      </w:pPr>
    </w:lvl>
    <w:lvl w:ilvl="7" w:tplc="FF5AC126">
      <w:start w:val="1"/>
      <w:numFmt w:val="decimal"/>
      <w:lvlText w:val="%8."/>
      <w:lvlJc w:val="left"/>
      <w:pPr>
        <w:ind w:left="720" w:hanging="360"/>
      </w:pPr>
    </w:lvl>
    <w:lvl w:ilvl="8" w:tplc="7B46C628">
      <w:start w:val="1"/>
      <w:numFmt w:val="decimal"/>
      <w:lvlText w:val="%9."/>
      <w:lvlJc w:val="left"/>
      <w:pPr>
        <w:ind w:left="720" w:hanging="360"/>
      </w:pPr>
    </w:lvl>
  </w:abstractNum>
  <w:abstractNum w:abstractNumId="103" w15:restartNumberingAfterBreak="0">
    <w:nsid w:val="78011123"/>
    <w:multiLevelType w:val="hybridMultilevel"/>
    <w:tmpl w:val="B9FEC71C"/>
    <w:lvl w:ilvl="0" w:tplc="FFFFFFFF">
      <w:start w:val="1"/>
      <w:numFmt w:val="bullet"/>
      <w:lvlText w:val=""/>
      <w:lvlJc w:val="left"/>
      <w:pPr>
        <w:ind w:left="720" w:hanging="360"/>
      </w:pPr>
      <w:rPr>
        <w:rFonts w:ascii="Wingdings" w:hAnsi="Wingdings" w:hint="default"/>
      </w:rPr>
    </w:lvl>
    <w:lvl w:ilvl="1" w:tplc="8D3E179E">
      <w:start w:val="1"/>
      <w:numFmt w:val="bullet"/>
      <w:lvlText w:val="-"/>
      <w:lvlJc w:val="left"/>
      <w:pPr>
        <w:ind w:left="1440" w:hanging="360"/>
      </w:pPr>
      <w:rPr>
        <w:rFonts w:ascii="Courier New" w:hAnsi="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4" w15:restartNumberingAfterBreak="0">
    <w:nsid w:val="78CB4AC8"/>
    <w:multiLevelType w:val="hybridMultilevel"/>
    <w:tmpl w:val="33C214E8"/>
    <w:lvl w:ilvl="0" w:tplc="0C070019">
      <w:start w:val="1"/>
      <w:numFmt w:val="lowerLetter"/>
      <w:lvlText w:val="%1."/>
      <w:lvlJc w:val="left"/>
      <w:pPr>
        <w:ind w:left="1310" w:hanging="360"/>
      </w:pPr>
    </w:lvl>
    <w:lvl w:ilvl="1" w:tplc="0C070019" w:tentative="1">
      <w:start w:val="1"/>
      <w:numFmt w:val="lowerLetter"/>
      <w:lvlText w:val="%2."/>
      <w:lvlJc w:val="left"/>
      <w:pPr>
        <w:ind w:left="2030" w:hanging="360"/>
      </w:pPr>
    </w:lvl>
    <w:lvl w:ilvl="2" w:tplc="0C07001B" w:tentative="1">
      <w:start w:val="1"/>
      <w:numFmt w:val="lowerRoman"/>
      <w:lvlText w:val="%3."/>
      <w:lvlJc w:val="right"/>
      <w:pPr>
        <w:ind w:left="2750" w:hanging="180"/>
      </w:pPr>
    </w:lvl>
    <w:lvl w:ilvl="3" w:tplc="0C07000F" w:tentative="1">
      <w:start w:val="1"/>
      <w:numFmt w:val="decimal"/>
      <w:lvlText w:val="%4."/>
      <w:lvlJc w:val="left"/>
      <w:pPr>
        <w:ind w:left="3470" w:hanging="360"/>
      </w:pPr>
    </w:lvl>
    <w:lvl w:ilvl="4" w:tplc="0C070019" w:tentative="1">
      <w:start w:val="1"/>
      <w:numFmt w:val="lowerLetter"/>
      <w:lvlText w:val="%5."/>
      <w:lvlJc w:val="left"/>
      <w:pPr>
        <w:ind w:left="4190" w:hanging="360"/>
      </w:pPr>
    </w:lvl>
    <w:lvl w:ilvl="5" w:tplc="0C07001B" w:tentative="1">
      <w:start w:val="1"/>
      <w:numFmt w:val="lowerRoman"/>
      <w:lvlText w:val="%6."/>
      <w:lvlJc w:val="right"/>
      <w:pPr>
        <w:ind w:left="4910" w:hanging="180"/>
      </w:pPr>
    </w:lvl>
    <w:lvl w:ilvl="6" w:tplc="0C07000F" w:tentative="1">
      <w:start w:val="1"/>
      <w:numFmt w:val="decimal"/>
      <w:lvlText w:val="%7."/>
      <w:lvlJc w:val="left"/>
      <w:pPr>
        <w:ind w:left="5630" w:hanging="360"/>
      </w:pPr>
    </w:lvl>
    <w:lvl w:ilvl="7" w:tplc="0C070019" w:tentative="1">
      <w:start w:val="1"/>
      <w:numFmt w:val="lowerLetter"/>
      <w:lvlText w:val="%8."/>
      <w:lvlJc w:val="left"/>
      <w:pPr>
        <w:ind w:left="6350" w:hanging="360"/>
      </w:pPr>
    </w:lvl>
    <w:lvl w:ilvl="8" w:tplc="0C07001B" w:tentative="1">
      <w:start w:val="1"/>
      <w:numFmt w:val="lowerRoman"/>
      <w:lvlText w:val="%9."/>
      <w:lvlJc w:val="right"/>
      <w:pPr>
        <w:ind w:left="7070" w:hanging="180"/>
      </w:pPr>
    </w:lvl>
  </w:abstractNum>
  <w:abstractNum w:abstractNumId="105" w15:restartNumberingAfterBreak="0">
    <w:nsid w:val="78DB3CDC"/>
    <w:multiLevelType w:val="hybridMultilevel"/>
    <w:tmpl w:val="129C3698"/>
    <w:lvl w:ilvl="0" w:tplc="FFFFFFFF">
      <w:start w:val="1"/>
      <w:numFmt w:val="lowerRoman"/>
      <w:lvlText w:val="(%1)"/>
      <w:lvlJc w:val="left"/>
      <w:pPr>
        <w:ind w:left="720" w:hanging="360"/>
      </w:pPr>
      <w:rPr>
        <w:rFonts w:hint="default"/>
      </w:rPr>
    </w:lvl>
    <w:lvl w:ilvl="1" w:tplc="9DE4A2A4">
      <w:start w:val="1"/>
      <w:numFmt w:val="lowerRoman"/>
      <w:lvlText w:val="(%2)"/>
      <w:lvlJc w:val="left"/>
      <w:pPr>
        <w:ind w:left="1352" w:hanging="360"/>
      </w:pPr>
      <w:rPr>
        <w:rFonts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06" w15:restartNumberingAfterBreak="0">
    <w:nsid w:val="7A457CA4"/>
    <w:multiLevelType w:val="hybridMultilevel"/>
    <w:tmpl w:val="888834FE"/>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7" w15:restartNumberingAfterBreak="0">
    <w:nsid w:val="7F0B0A38"/>
    <w:multiLevelType w:val="hybridMultilevel"/>
    <w:tmpl w:val="520E66EE"/>
    <w:lvl w:ilvl="0" w:tplc="C9625850">
      <w:start w:val="1"/>
      <w:numFmt w:val="bullet"/>
      <w:lvlText w:val=""/>
      <w:lvlJc w:val="left"/>
      <w:pPr>
        <w:ind w:left="720" w:hanging="360"/>
      </w:pPr>
      <w:rPr>
        <w:rFonts w:ascii="Wingdings" w:hAnsi="Wingdings"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num w:numId="1" w16cid:durableId="419912783">
    <w:abstractNumId w:val="106"/>
  </w:num>
  <w:num w:numId="2" w16cid:durableId="1899197721">
    <w:abstractNumId w:val="15"/>
  </w:num>
  <w:num w:numId="3" w16cid:durableId="894705366">
    <w:abstractNumId w:val="34"/>
  </w:num>
  <w:num w:numId="4" w16cid:durableId="1205601371">
    <w:abstractNumId w:val="57"/>
  </w:num>
  <w:num w:numId="5" w16cid:durableId="1989705361">
    <w:abstractNumId w:val="65"/>
  </w:num>
  <w:num w:numId="6" w16cid:durableId="1570387277">
    <w:abstractNumId w:val="12"/>
  </w:num>
  <w:num w:numId="7" w16cid:durableId="491263090">
    <w:abstractNumId w:val="8"/>
  </w:num>
  <w:num w:numId="8" w16cid:durableId="929124008">
    <w:abstractNumId w:val="75"/>
  </w:num>
  <w:num w:numId="9" w16cid:durableId="1275094083">
    <w:abstractNumId w:val="35"/>
  </w:num>
  <w:num w:numId="10" w16cid:durableId="404227202">
    <w:abstractNumId w:val="41"/>
  </w:num>
  <w:num w:numId="11" w16cid:durableId="1996950464">
    <w:abstractNumId w:val="105"/>
  </w:num>
  <w:num w:numId="12" w16cid:durableId="1056972617">
    <w:abstractNumId w:val="90"/>
  </w:num>
  <w:num w:numId="13" w16cid:durableId="958534554">
    <w:abstractNumId w:val="38"/>
  </w:num>
  <w:num w:numId="14" w16cid:durableId="1651865378">
    <w:abstractNumId w:val="40"/>
  </w:num>
  <w:num w:numId="15" w16cid:durableId="109590159">
    <w:abstractNumId w:val="62"/>
  </w:num>
  <w:num w:numId="16" w16cid:durableId="1448742085">
    <w:abstractNumId w:val="29"/>
  </w:num>
  <w:num w:numId="17" w16cid:durableId="655494939">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1270354917">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1998873073">
    <w:abstractNumId w:val="70"/>
  </w:num>
  <w:num w:numId="20" w16cid:durableId="454452120">
    <w:abstractNumId w:val="32"/>
  </w:num>
  <w:num w:numId="21" w16cid:durableId="1901669681">
    <w:abstractNumId w:val="66"/>
  </w:num>
  <w:num w:numId="22" w16cid:durableId="1974864088">
    <w:abstractNumId w:val="92"/>
  </w:num>
  <w:num w:numId="23" w16cid:durableId="634483282">
    <w:abstractNumId w:val="6"/>
  </w:num>
  <w:num w:numId="24" w16cid:durableId="277445008">
    <w:abstractNumId w:val="79"/>
  </w:num>
  <w:num w:numId="25" w16cid:durableId="487481075">
    <w:abstractNumId w:val="10"/>
  </w:num>
  <w:num w:numId="26" w16cid:durableId="607003048">
    <w:abstractNumId w:val="82"/>
  </w:num>
  <w:num w:numId="27" w16cid:durableId="1370573563">
    <w:abstractNumId w:val="69"/>
  </w:num>
  <w:num w:numId="28" w16cid:durableId="270162208">
    <w:abstractNumId w:val="77"/>
  </w:num>
  <w:num w:numId="29" w16cid:durableId="812983393">
    <w:abstractNumId w:val="74"/>
  </w:num>
  <w:num w:numId="30" w16cid:durableId="536821824">
    <w:abstractNumId w:val="26"/>
  </w:num>
  <w:num w:numId="31" w16cid:durableId="1633822768">
    <w:abstractNumId w:val="97"/>
  </w:num>
  <w:num w:numId="32" w16cid:durableId="661200913">
    <w:abstractNumId w:val="87"/>
  </w:num>
  <w:num w:numId="33" w16cid:durableId="833447804">
    <w:abstractNumId w:val="103"/>
  </w:num>
  <w:num w:numId="34" w16cid:durableId="1298685753">
    <w:abstractNumId w:val="102"/>
  </w:num>
  <w:num w:numId="35" w16cid:durableId="1899511100">
    <w:abstractNumId w:val="96"/>
  </w:num>
  <w:num w:numId="36" w16cid:durableId="1254825281">
    <w:abstractNumId w:val="50"/>
  </w:num>
  <w:num w:numId="37" w16cid:durableId="891886515">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16cid:durableId="1929196157">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16cid:durableId="1617299073">
    <w:abstractNumId w:val="45"/>
  </w:num>
  <w:num w:numId="40" w16cid:durableId="809059752">
    <w:abstractNumId w:val="98"/>
  </w:num>
  <w:num w:numId="41" w16cid:durableId="1832410619">
    <w:abstractNumId w:val="55"/>
  </w:num>
  <w:num w:numId="42" w16cid:durableId="950236126">
    <w:abstractNumId w:val="0"/>
  </w:num>
  <w:num w:numId="43" w16cid:durableId="1004547723">
    <w:abstractNumId w:val="54"/>
  </w:num>
  <w:num w:numId="44" w16cid:durableId="1446120193">
    <w:abstractNumId w:val="15"/>
  </w:num>
  <w:num w:numId="45" w16cid:durableId="1220358684">
    <w:abstractNumId w:val="22"/>
  </w:num>
  <w:num w:numId="46" w16cid:durableId="1770127431">
    <w:abstractNumId w:val="85"/>
  </w:num>
  <w:num w:numId="47" w16cid:durableId="2041541202">
    <w:abstractNumId w:val="101"/>
  </w:num>
  <w:num w:numId="48" w16cid:durableId="2146851638">
    <w:abstractNumId w:val="91"/>
  </w:num>
  <w:num w:numId="49" w16cid:durableId="1808010084">
    <w:abstractNumId w:val="47"/>
  </w:num>
  <w:num w:numId="50" w16cid:durableId="1137794502">
    <w:abstractNumId w:val="51"/>
  </w:num>
  <w:num w:numId="51" w16cid:durableId="336004879">
    <w:abstractNumId w:val="104"/>
  </w:num>
  <w:num w:numId="52" w16cid:durableId="329869823">
    <w:abstractNumId w:val="44"/>
  </w:num>
  <w:num w:numId="53" w16cid:durableId="1450514928">
    <w:abstractNumId w:val="58"/>
  </w:num>
  <w:num w:numId="54" w16cid:durableId="1252203893">
    <w:abstractNumId w:val="73"/>
  </w:num>
  <w:num w:numId="55" w16cid:durableId="1514033363">
    <w:abstractNumId w:val="83"/>
  </w:num>
  <w:num w:numId="56" w16cid:durableId="317653734">
    <w:abstractNumId w:val="71"/>
  </w:num>
  <w:num w:numId="57" w16cid:durableId="1008675034">
    <w:abstractNumId w:val="7"/>
  </w:num>
  <w:num w:numId="58" w16cid:durableId="542600341">
    <w:abstractNumId w:val="72"/>
  </w:num>
  <w:num w:numId="59" w16cid:durableId="1148940150">
    <w:abstractNumId w:val="59"/>
  </w:num>
  <w:num w:numId="60" w16cid:durableId="1353651618">
    <w:abstractNumId w:val="42"/>
  </w:num>
  <w:num w:numId="61" w16cid:durableId="350302688">
    <w:abstractNumId w:val="23"/>
  </w:num>
  <w:num w:numId="62" w16cid:durableId="1694113272">
    <w:abstractNumId w:val="2"/>
  </w:num>
  <w:num w:numId="63" w16cid:durableId="1936743707">
    <w:abstractNumId w:val="43"/>
  </w:num>
  <w:num w:numId="64" w16cid:durableId="1079062344">
    <w:abstractNumId w:val="28"/>
  </w:num>
  <w:num w:numId="65" w16cid:durableId="1027025490">
    <w:abstractNumId w:val="48"/>
  </w:num>
  <w:num w:numId="66" w16cid:durableId="169102511">
    <w:abstractNumId w:val="14"/>
  </w:num>
  <w:num w:numId="67" w16cid:durableId="1920093743">
    <w:abstractNumId w:val="31"/>
  </w:num>
  <w:num w:numId="68" w16cid:durableId="1870335574">
    <w:abstractNumId w:val="39"/>
  </w:num>
  <w:num w:numId="69" w16cid:durableId="1261455440">
    <w:abstractNumId w:val="84"/>
  </w:num>
  <w:num w:numId="70" w16cid:durableId="358706900">
    <w:abstractNumId w:val="5"/>
  </w:num>
  <w:num w:numId="71" w16cid:durableId="1336492617">
    <w:abstractNumId w:val="53"/>
  </w:num>
  <w:num w:numId="72" w16cid:durableId="278993497">
    <w:abstractNumId w:val="107"/>
  </w:num>
  <w:num w:numId="73" w16cid:durableId="578830926">
    <w:abstractNumId w:val="89"/>
  </w:num>
  <w:num w:numId="74" w16cid:durableId="1658265132">
    <w:abstractNumId w:val="37"/>
  </w:num>
  <w:num w:numId="75" w16cid:durableId="1932348361">
    <w:abstractNumId w:val="19"/>
  </w:num>
  <w:num w:numId="76" w16cid:durableId="2060200142">
    <w:abstractNumId w:val="13"/>
  </w:num>
  <w:num w:numId="77" w16cid:durableId="77990234">
    <w:abstractNumId w:val="99"/>
  </w:num>
  <w:num w:numId="78" w16cid:durableId="1055548619">
    <w:abstractNumId w:val="21"/>
  </w:num>
  <w:num w:numId="79" w16cid:durableId="1434978730">
    <w:abstractNumId w:val="100"/>
  </w:num>
  <w:num w:numId="80" w16cid:durableId="1784035448">
    <w:abstractNumId w:val="36"/>
  </w:num>
  <w:num w:numId="81" w16cid:durableId="311107646">
    <w:abstractNumId w:val="17"/>
  </w:num>
  <w:num w:numId="82" w16cid:durableId="1976644825">
    <w:abstractNumId w:val="33"/>
  </w:num>
  <w:num w:numId="83" w16cid:durableId="258950757">
    <w:abstractNumId w:val="61"/>
  </w:num>
  <w:num w:numId="84" w16cid:durableId="733897912">
    <w:abstractNumId w:val="52"/>
  </w:num>
  <w:num w:numId="85" w16cid:durableId="1663698628">
    <w:abstractNumId w:val="49"/>
  </w:num>
  <w:num w:numId="86" w16cid:durableId="1451588811">
    <w:abstractNumId w:val="63"/>
  </w:num>
  <w:num w:numId="87" w16cid:durableId="1690252352">
    <w:abstractNumId w:val="64"/>
  </w:num>
  <w:num w:numId="88" w16cid:durableId="625622468">
    <w:abstractNumId w:val="78"/>
  </w:num>
  <w:num w:numId="89" w16cid:durableId="1773475230">
    <w:abstractNumId w:val="16"/>
  </w:num>
  <w:num w:numId="90" w16cid:durableId="1451583266">
    <w:abstractNumId w:val="56"/>
  </w:num>
  <w:num w:numId="91" w16cid:durableId="910768675">
    <w:abstractNumId w:val="25"/>
  </w:num>
  <w:num w:numId="92" w16cid:durableId="1779333444">
    <w:abstractNumId w:val="93"/>
  </w:num>
  <w:num w:numId="93" w16cid:durableId="1620986641">
    <w:abstractNumId w:val="9"/>
  </w:num>
  <w:num w:numId="94" w16cid:durableId="838086058">
    <w:abstractNumId w:val="20"/>
  </w:num>
  <w:num w:numId="95" w16cid:durableId="1747805910">
    <w:abstractNumId w:val="81"/>
  </w:num>
  <w:num w:numId="96" w16cid:durableId="784498663">
    <w:abstractNumId w:val="24"/>
  </w:num>
  <w:num w:numId="97" w16cid:durableId="764040199">
    <w:abstractNumId w:val="3"/>
  </w:num>
  <w:num w:numId="98" w16cid:durableId="1452438114">
    <w:abstractNumId w:val="94"/>
  </w:num>
  <w:num w:numId="99" w16cid:durableId="859003075">
    <w:abstractNumId w:val="88"/>
  </w:num>
  <w:num w:numId="100" w16cid:durableId="42600909">
    <w:abstractNumId w:val="95"/>
  </w:num>
  <w:num w:numId="101" w16cid:durableId="1015421838">
    <w:abstractNumId w:val="27"/>
  </w:num>
  <w:num w:numId="102" w16cid:durableId="551039281">
    <w:abstractNumId w:val="80"/>
  </w:num>
  <w:num w:numId="103" w16cid:durableId="902788219">
    <w:abstractNumId w:val="30"/>
  </w:num>
  <w:num w:numId="104" w16cid:durableId="1894659144">
    <w:abstractNumId w:val="4"/>
  </w:num>
  <w:num w:numId="105" w16cid:durableId="1884904757">
    <w:abstractNumId w:val="76"/>
  </w:num>
  <w:num w:numId="106" w16cid:durableId="1345742083">
    <w:abstractNumId w:val="60"/>
  </w:num>
  <w:num w:numId="107" w16cid:durableId="1186795130">
    <w:abstractNumId w:val="68"/>
  </w:num>
  <w:num w:numId="108" w16cid:durableId="528884341">
    <w:abstractNumId w:val="67"/>
  </w:num>
  <w:num w:numId="109" w16cid:durableId="1062872227">
    <w:abstractNumId w:val="46"/>
  </w:num>
  <w:num w:numId="110" w16cid:durableId="1585993671">
    <w:abstractNumId w:val="18"/>
  </w:num>
  <w:num w:numId="111" w16cid:durableId="1655914618">
    <w:abstractNumId w:val="86"/>
  </w:num>
  <w:num w:numId="112" w16cid:durableId="733040378">
    <w:abstractNumId w:val="11"/>
  </w:num>
  <w:num w:numId="113" w16cid:durableId="783422986">
    <w:abstractNumId w:val="1"/>
  </w:num>
  <w:numIdMacAtCleanup w:val="6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232AA4"/>
    <w:rsid w:val="000015D9"/>
    <w:rsid w:val="00002BF2"/>
    <w:rsid w:val="00003FA1"/>
    <w:rsid w:val="00004858"/>
    <w:rsid w:val="0000632A"/>
    <w:rsid w:val="00007EA7"/>
    <w:rsid w:val="00013129"/>
    <w:rsid w:val="00013797"/>
    <w:rsid w:val="00016E80"/>
    <w:rsid w:val="00020036"/>
    <w:rsid w:val="00022E63"/>
    <w:rsid w:val="000233DD"/>
    <w:rsid w:val="00023686"/>
    <w:rsid w:val="00024AE5"/>
    <w:rsid w:val="00027335"/>
    <w:rsid w:val="00034670"/>
    <w:rsid w:val="0004196D"/>
    <w:rsid w:val="00041D0D"/>
    <w:rsid w:val="00043B6A"/>
    <w:rsid w:val="00046331"/>
    <w:rsid w:val="000511BA"/>
    <w:rsid w:val="00053618"/>
    <w:rsid w:val="00053743"/>
    <w:rsid w:val="000556DD"/>
    <w:rsid w:val="00056AA6"/>
    <w:rsid w:val="00062D0E"/>
    <w:rsid w:val="000657BA"/>
    <w:rsid w:val="00071D34"/>
    <w:rsid w:val="00072582"/>
    <w:rsid w:val="00073868"/>
    <w:rsid w:val="00074BCE"/>
    <w:rsid w:val="000753E6"/>
    <w:rsid w:val="00076223"/>
    <w:rsid w:val="00080F74"/>
    <w:rsid w:val="000817C7"/>
    <w:rsid w:val="000826EE"/>
    <w:rsid w:val="00085DF9"/>
    <w:rsid w:val="00087481"/>
    <w:rsid w:val="000917FF"/>
    <w:rsid w:val="00092C72"/>
    <w:rsid w:val="00097918"/>
    <w:rsid w:val="000A0E27"/>
    <w:rsid w:val="000A68C6"/>
    <w:rsid w:val="000B4176"/>
    <w:rsid w:val="000B4E0F"/>
    <w:rsid w:val="000B6820"/>
    <w:rsid w:val="000C4EC6"/>
    <w:rsid w:val="000C6CC8"/>
    <w:rsid w:val="000D193D"/>
    <w:rsid w:val="000D2064"/>
    <w:rsid w:val="000D3489"/>
    <w:rsid w:val="000D500D"/>
    <w:rsid w:val="000E244F"/>
    <w:rsid w:val="000E43ED"/>
    <w:rsid w:val="000E4B0A"/>
    <w:rsid w:val="000E4EA8"/>
    <w:rsid w:val="000E5ACC"/>
    <w:rsid w:val="000F006C"/>
    <w:rsid w:val="000F3BEC"/>
    <w:rsid w:val="00100D45"/>
    <w:rsid w:val="00102DF7"/>
    <w:rsid w:val="00113876"/>
    <w:rsid w:val="00115D5D"/>
    <w:rsid w:val="00117658"/>
    <w:rsid w:val="00121EC8"/>
    <w:rsid w:val="001232B0"/>
    <w:rsid w:val="00124C3C"/>
    <w:rsid w:val="00126135"/>
    <w:rsid w:val="00127149"/>
    <w:rsid w:val="001330E7"/>
    <w:rsid w:val="00133884"/>
    <w:rsid w:val="00134F50"/>
    <w:rsid w:val="00137889"/>
    <w:rsid w:val="001403DE"/>
    <w:rsid w:val="001415E7"/>
    <w:rsid w:val="001445DE"/>
    <w:rsid w:val="00144FA3"/>
    <w:rsid w:val="00145A68"/>
    <w:rsid w:val="001464E9"/>
    <w:rsid w:val="00146753"/>
    <w:rsid w:val="00150FA8"/>
    <w:rsid w:val="00154AF4"/>
    <w:rsid w:val="001631EA"/>
    <w:rsid w:val="00165678"/>
    <w:rsid w:val="00172E95"/>
    <w:rsid w:val="0017637A"/>
    <w:rsid w:val="00177778"/>
    <w:rsid w:val="00180704"/>
    <w:rsid w:val="001821F7"/>
    <w:rsid w:val="0018386F"/>
    <w:rsid w:val="00185F39"/>
    <w:rsid w:val="00187376"/>
    <w:rsid w:val="00187CEA"/>
    <w:rsid w:val="001A1F08"/>
    <w:rsid w:val="001A1FC6"/>
    <w:rsid w:val="001A2834"/>
    <w:rsid w:val="001A612C"/>
    <w:rsid w:val="001A741D"/>
    <w:rsid w:val="001B258A"/>
    <w:rsid w:val="001B2EED"/>
    <w:rsid w:val="001B32EF"/>
    <w:rsid w:val="001B3E5E"/>
    <w:rsid w:val="001B4B66"/>
    <w:rsid w:val="001B739D"/>
    <w:rsid w:val="001B7DE3"/>
    <w:rsid w:val="001C16CE"/>
    <w:rsid w:val="001C5EDC"/>
    <w:rsid w:val="001C70F3"/>
    <w:rsid w:val="001D6031"/>
    <w:rsid w:val="001D6806"/>
    <w:rsid w:val="001E37DE"/>
    <w:rsid w:val="001E52BF"/>
    <w:rsid w:val="001E6B29"/>
    <w:rsid w:val="001F35CC"/>
    <w:rsid w:val="001F7DE2"/>
    <w:rsid w:val="002016B5"/>
    <w:rsid w:val="00206921"/>
    <w:rsid w:val="00211ABD"/>
    <w:rsid w:val="00211F54"/>
    <w:rsid w:val="00215359"/>
    <w:rsid w:val="002204F2"/>
    <w:rsid w:val="00223123"/>
    <w:rsid w:val="002233B9"/>
    <w:rsid w:val="00224368"/>
    <w:rsid w:val="00232AA4"/>
    <w:rsid w:val="00234E1E"/>
    <w:rsid w:val="0023675F"/>
    <w:rsid w:val="00236C66"/>
    <w:rsid w:val="00236E53"/>
    <w:rsid w:val="00240BDF"/>
    <w:rsid w:val="00241E08"/>
    <w:rsid w:val="0024622E"/>
    <w:rsid w:val="00247DBB"/>
    <w:rsid w:val="00254EE8"/>
    <w:rsid w:val="0025602C"/>
    <w:rsid w:val="00256CC2"/>
    <w:rsid w:val="0026010A"/>
    <w:rsid w:val="00262CA3"/>
    <w:rsid w:val="0026338A"/>
    <w:rsid w:val="00264757"/>
    <w:rsid w:val="00267A88"/>
    <w:rsid w:val="0027233F"/>
    <w:rsid w:val="002742B7"/>
    <w:rsid w:val="00283237"/>
    <w:rsid w:val="002852F0"/>
    <w:rsid w:val="0028597B"/>
    <w:rsid w:val="0029565C"/>
    <w:rsid w:val="00295D3A"/>
    <w:rsid w:val="00297180"/>
    <w:rsid w:val="00297421"/>
    <w:rsid w:val="002A1DA7"/>
    <w:rsid w:val="002A6596"/>
    <w:rsid w:val="002A6B82"/>
    <w:rsid w:val="002B0EB0"/>
    <w:rsid w:val="002B2B16"/>
    <w:rsid w:val="002B5096"/>
    <w:rsid w:val="002B62AF"/>
    <w:rsid w:val="002C1554"/>
    <w:rsid w:val="002C2EBC"/>
    <w:rsid w:val="002C584D"/>
    <w:rsid w:val="002C6C9E"/>
    <w:rsid w:val="002C775F"/>
    <w:rsid w:val="002D35DA"/>
    <w:rsid w:val="002D397E"/>
    <w:rsid w:val="002D5306"/>
    <w:rsid w:val="002D54B2"/>
    <w:rsid w:val="002E30B5"/>
    <w:rsid w:val="002E4026"/>
    <w:rsid w:val="002E44AC"/>
    <w:rsid w:val="002E4B5E"/>
    <w:rsid w:val="002E7F40"/>
    <w:rsid w:val="002F2207"/>
    <w:rsid w:val="002F3376"/>
    <w:rsid w:val="00301340"/>
    <w:rsid w:val="003015D2"/>
    <w:rsid w:val="00303457"/>
    <w:rsid w:val="003059D1"/>
    <w:rsid w:val="00306392"/>
    <w:rsid w:val="0031178F"/>
    <w:rsid w:val="00314539"/>
    <w:rsid w:val="003157DC"/>
    <w:rsid w:val="00315ACD"/>
    <w:rsid w:val="00316FB9"/>
    <w:rsid w:val="0032177A"/>
    <w:rsid w:val="00321D85"/>
    <w:rsid w:val="00323A7E"/>
    <w:rsid w:val="00324B9B"/>
    <w:rsid w:val="0032531C"/>
    <w:rsid w:val="00325640"/>
    <w:rsid w:val="0032613B"/>
    <w:rsid w:val="0033347C"/>
    <w:rsid w:val="00333B6A"/>
    <w:rsid w:val="00334BC2"/>
    <w:rsid w:val="00340291"/>
    <w:rsid w:val="00340DCF"/>
    <w:rsid w:val="00345C1E"/>
    <w:rsid w:val="003478D9"/>
    <w:rsid w:val="00350066"/>
    <w:rsid w:val="00353C4A"/>
    <w:rsid w:val="00353E7A"/>
    <w:rsid w:val="00357B04"/>
    <w:rsid w:val="00360874"/>
    <w:rsid w:val="003672A8"/>
    <w:rsid w:val="003672D5"/>
    <w:rsid w:val="0037100F"/>
    <w:rsid w:val="0037213B"/>
    <w:rsid w:val="003727EA"/>
    <w:rsid w:val="003738D6"/>
    <w:rsid w:val="0037773A"/>
    <w:rsid w:val="0038303E"/>
    <w:rsid w:val="00391A5B"/>
    <w:rsid w:val="0039463E"/>
    <w:rsid w:val="00395C5B"/>
    <w:rsid w:val="00395D80"/>
    <w:rsid w:val="003A063E"/>
    <w:rsid w:val="003A3689"/>
    <w:rsid w:val="003A3ED7"/>
    <w:rsid w:val="003A432D"/>
    <w:rsid w:val="003A711D"/>
    <w:rsid w:val="003B0028"/>
    <w:rsid w:val="003B2CA8"/>
    <w:rsid w:val="003B30C1"/>
    <w:rsid w:val="003B5791"/>
    <w:rsid w:val="003B5AA0"/>
    <w:rsid w:val="003C0D16"/>
    <w:rsid w:val="003C32C5"/>
    <w:rsid w:val="003C4056"/>
    <w:rsid w:val="003C6322"/>
    <w:rsid w:val="003D0982"/>
    <w:rsid w:val="003D736E"/>
    <w:rsid w:val="003D74EB"/>
    <w:rsid w:val="003E6E6F"/>
    <w:rsid w:val="003E6F6E"/>
    <w:rsid w:val="003E7C68"/>
    <w:rsid w:val="003E7CDC"/>
    <w:rsid w:val="003F0894"/>
    <w:rsid w:val="003F4D02"/>
    <w:rsid w:val="003F57BB"/>
    <w:rsid w:val="00401708"/>
    <w:rsid w:val="004040CA"/>
    <w:rsid w:val="0040523B"/>
    <w:rsid w:val="0040631D"/>
    <w:rsid w:val="004070B6"/>
    <w:rsid w:val="004132C2"/>
    <w:rsid w:val="00414ED5"/>
    <w:rsid w:val="00417A45"/>
    <w:rsid w:val="00421216"/>
    <w:rsid w:val="00425CA2"/>
    <w:rsid w:val="00426C56"/>
    <w:rsid w:val="00434B8D"/>
    <w:rsid w:val="00435075"/>
    <w:rsid w:val="00435F7C"/>
    <w:rsid w:val="00437609"/>
    <w:rsid w:val="004426A9"/>
    <w:rsid w:val="00450CB8"/>
    <w:rsid w:val="0045125D"/>
    <w:rsid w:val="00451393"/>
    <w:rsid w:val="00453A06"/>
    <w:rsid w:val="00457DBB"/>
    <w:rsid w:val="0046298D"/>
    <w:rsid w:val="004756F1"/>
    <w:rsid w:val="00475F4E"/>
    <w:rsid w:val="00481189"/>
    <w:rsid w:val="00490A29"/>
    <w:rsid w:val="004912A2"/>
    <w:rsid w:val="0049203A"/>
    <w:rsid w:val="004920B7"/>
    <w:rsid w:val="00492E67"/>
    <w:rsid w:val="004930D5"/>
    <w:rsid w:val="00495729"/>
    <w:rsid w:val="00497C05"/>
    <w:rsid w:val="004A383F"/>
    <w:rsid w:val="004A48CB"/>
    <w:rsid w:val="004A4E40"/>
    <w:rsid w:val="004A6D8F"/>
    <w:rsid w:val="004B1821"/>
    <w:rsid w:val="004B6E28"/>
    <w:rsid w:val="004C595D"/>
    <w:rsid w:val="004D2B9D"/>
    <w:rsid w:val="004D5ACC"/>
    <w:rsid w:val="004D761A"/>
    <w:rsid w:val="004E25D3"/>
    <w:rsid w:val="004E7556"/>
    <w:rsid w:val="004F4384"/>
    <w:rsid w:val="004F43A7"/>
    <w:rsid w:val="004F4876"/>
    <w:rsid w:val="004F5997"/>
    <w:rsid w:val="004F6C41"/>
    <w:rsid w:val="004F775B"/>
    <w:rsid w:val="00500CFB"/>
    <w:rsid w:val="0050301E"/>
    <w:rsid w:val="005031A4"/>
    <w:rsid w:val="0050443A"/>
    <w:rsid w:val="0052389A"/>
    <w:rsid w:val="00526E9D"/>
    <w:rsid w:val="0053033E"/>
    <w:rsid w:val="00533A0A"/>
    <w:rsid w:val="00534AA9"/>
    <w:rsid w:val="00541DEA"/>
    <w:rsid w:val="00541E89"/>
    <w:rsid w:val="005478A1"/>
    <w:rsid w:val="005502FF"/>
    <w:rsid w:val="005545F3"/>
    <w:rsid w:val="005558D0"/>
    <w:rsid w:val="005601DC"/>
    <w:rsid w:val="005608E8"/>
    <w:rsid w:val="00560E62"/>
    <w:rsid w:val="00561FAD"/>
    <w:rsid w:val="00562639"/>
    <w:rsid w:val="00571300"/>
    <w:rsid w:val="0057150F"/>
    <w:rsid w:val="00573843"/>
    <w:rsid w:val="00573AD8"/>
    <w:rsid w:val="0057453D"/>
    <w:rsid w:val="005748A2"/>
    <w:rsid w:val="00576C2A"/>
    <w:rsid w:val="00577519"/>
    <w:rsid w:val="00583F7B"/>
    <w:rsid w:val="0059220A"/>
    <w:rsid w:val="00592831"/>
    <w:rsid w:val="00592FD7"/>
    <w:rsid w:val="00593ADF"/>
    <w:rsid w:val="00595E05"/>
    <w:rsid w:val="005A08D6"/>
    <w:rsid w:val="005A5BB2"/>
    <w:rsid w:val="005B11C9"/>
    <w:rsid w:val="005B15A6"/>
    <w:rsid w:val="005C0E01"/>
    <w:rsid w:val="005C1E1B"/>
    <w:rsid w:val="005C2085"/>
    <w:rsid w:val="005C2DA1"/>
    <w:rsid w:val="005C59C4"/>
    <w:rsid w:val="005D0629"/>
    <w:rsid w:val="005D2343"/>
    <w:rsid w:val="005D6ED7"/>
    <w:rsid w:val="005D70B8"/>
    <w:rsid w:val="005E1901"/>
    <w:rsid w:val="005E66E1"/>
    <w:rsid w:val="005E72F1"/>
    <w:rsid w:val="005F0A95"/>
    <w:rsid w:val="005F1F5B"/>
    <w:rsid w:val="005F36DC"/>
    <w:rsid w:val="005F4DBF"/>
    <w:rsid w:val="005F61FE"/>
    <w:rsid w:val="0060151C"/>
    <w:rsid w:val="00602AD5"/>
    <w:rsid w:val="00603D2F"/>
    <w:rsid w:val="00606820"/>
    <w:rsid w:val="00607B45"/>
    <w:rsid w:val="00607F98"/>
    <w:rsid w:val="00610499"/>
    <w:rsid w:val="006114ED"/>
    <w:rsid w:val="00612B60"/>
    <w:rsid w:val="00615A4B"/>
    <w:rsid w:val="0062061A"/>
    <w:rsid w:val="00620CCA"/>
    <w:rsid w:val="00621274"/>
    <w:rsid w:val="006213ED"/>
    <w:rsid w:val="006233CB"/>
    <w:rsid w:val="0062343D"/>
    <w:rsid w:val="00624B1E"/>
    <w:rsid w:val="00624E28"/>
    <w:rsid w:val="006272C7"/>
    <w:rsid w:val="00630BBC"/>
    <w:rsid w:val="0063350F"/>
    <w:rsid w:val="00633816"/>
    <w:rsid w:val="00641109"/>
    <w:rsid w:val="006534BD"/>
    <w:rsid w:val="0065621B"/>
    <w:rsid w:val="00671325"/>
    <w:rsid w:val="00675559"/>
    <w:rsid w:val="00677956"/>
    <w:rsid w:val="00680759"/>
    <w:rsid w:val="00684B30"/>
    <w:rsid w:val="006864E5"/>
    <w:rsid w:val="006940BE"/>
    <w:rsid w:val="00695C1C"/>
    <w:rsid w:val="00697853"/>
    <w:rsid w:val="006A00F4"/>
    <w:rsid w:val="006A23AC"/>
    <w:rsid w:val="006B2AE5"/>
    <w:rsid w:val="006B5C7A"/>
    <w:rsid w:val="006B6870"/>
    <w:rsid w:val="006C281A"/>
    <w:rsid w:val="006D0F41"/>
    <w:rsid w:val="006D0F5F"/>
    <w:rsid w:val="006D25AD"/>
    <w:rsid w:val="006D3143"/>
    <w:rsid w:val="006D3CD7"/>
    <w:rsid w:val="006D563D"/>
    <w:rsid w:val="006D5AC4"/>
    <w:rsid w:val="006D6DF9"/>
    <w:rsid w:val="006D6E10"/>
    <w:rsid w:val="006E139C"/>
    <w:rsid w:val="006E1E89"/>
    <w:rsid w:val="006E2C81"/>
    <w:rsid w:val="006E5698"/>
    <w:rsid w:val="006E7C2C"/>
    <w:rsid w:val="006F2803"/>
    <w:rsid w:val="006F4A5B"/>
    <w:rsid w:val="007017FE"/>
    <w:rsid w:val="00713613"/>
    <w:rsid w:val="00714D04"/>
    <w:rsid w:val="00715DD3"/>
    <w:rsid w:val="00715F21"/>
    <w:rsid w:val="00716D18"/>
    <w:rsid w:val="00720587"/>
    <w:rsid w:val="007222F1"/>
    <w:rsid w:val="00723207"/>
    <w:rsid w:val="0072323C"/>
    <w:rsid w:val="00725107"/>
    <w:rsid w:val="00730DCE"/>
    <w:rsid w:val="0073336A"/>
    <w:rsid w:val="00734351"/>
    <w:rsid w:val="007401C4"/>
    <w:rsid w:val="0074175C"/>
    <w:rsid w:val="00744288"/>
    <w:rsid w:val="00747555"/>
    <w:rsid w:val="007527DA"/>
    <w:rsid w:val="0075318B"/>
    <w:rsid w:val="00754A0E"/>
    <w:rsid w:val="00756CA6"/>
    <w:rsid w:val="00781544"/>
    <w:rsid w:val="00781939"/>
    <w:rsid w:val="00783623"/>
    <w:rsid w:val="007846E5"/>
    <w:rsid w:val="00784D3F"/>
    <w:rsid w:val="007A1495"/>
    <w:rsid w:val="007A260F"/>
    <w:rsid w:val="007A4843"/>
    <w:rsid w:val="007B076A"/>
    <w:rsid w:val="007B0778"/>
    <w:rsid w:val="007B1FED"/>
    <w:rsid w:val="007B4297"/>
    <w:rsid w:val="007B4825"/>
    <w:rsid w:val="007B51F4"/>
    <w:rsid w:val="007B5C34"/>
    <w:rsid w:val="007C07B7"/>
    <w:rsid w:val="007C2305"/>
    <w:rsid w:val="007D164A"/>
    <w:rsid w:val="007D1895"/>
    <w:rsid w:val="007D5302"/>
    <w:rsid w:val="007D7DE8"/>
    <w:rsid w:val="007E18DA"/>
    <w:rsid w:val="007E3A3D"/>
    <w:rsid w:val="007E568A"/>
    <w:rsid w:val="007E704C"/>
    <w:rsid w:val="007E7366"/>
    <w:rsid w:val="007F132E"/>
    <w:rsid w:val="007F336B"/>
    <w:rsid w:val="007F4A7B"/>
    <w:rsid w:val="008015C5"/>
    <w:rsid w:val="008028D5"/>
    <w:rsid w:val="008070BB"/>
    <w:rsid w:val="00811A63"/>
    <w:rsid w:val="00812F2B"/>
    <w:rsid w:val="00813EB5"/>
    <w:rsid w:val="0082018A"/>
    <w:rsid w:val="0082345A"/>
    <w:rsid w:val="008255EA"/>
    <w:rsid w:val="008258A3"/>
    <w:rsid w:val="00826BB3"/>
    <w:rsid w:val="00830ED9"/>
    <w:rsid w:val="008334E0"/>
    <w:rsid w:val="00834D5A"/>
    <w:rsid w:val="00837BFC"/>
    <w:rsid w:val="00840BEB"/>
    <w:rsid w:val="00840E72"/>
    <w:rsid w:val="00841C63"/>
    <w:rsid w:val="0084505E"/>
    <w:rsid w:val="008455D4"/>
    <w:rsid w:val="00845E00"/>
    <w:rsid w:val="00854A61"/>
    <w:rsid w:val="00862FB4"/>
    <w:rsid w:val="00866343"/>
    <w:rsid w:val="00867BE7"/>
    <w:rsid w:val="00873F00"/>
    <w:rsid w:val="00875367"/>
    <w:rsid w:val="00877D87"/>
    <w:rsid w:val="008805D1"/>
    <w:rsid w:val="0088466A"/>
    <w:rsid w:val="008848FF"/>
    <w:rsid w:val="00885A83"/>
    <w:rsid w:val="00891E6A"/>
    <w:rsid w:val="0089295F"/>
    <w:rsid w:val="008A0365"/>
    <w:rsid w:val="008A5FDC"/>
    <w:rsid w:val="008B22A7"/>
    <w:rsid w:val="008B5C69"/>
    <w:rsid w:val="008B7568"/>
    <w:rsid w:val="008C785C"/>
    <w:rsid w:val="008D175A"/>
    <w:rsid w:val="008D3B22"/>
    <w:rsid w:val="008D7808"/>
    <w:rsid w:val="008E6447"/>
    <w:rsid w:val="008F16CC"/>
    <w:rsid w:val="008F21B5"/>
    <w:rsid w:val="008F4089"/>
    <w:rsid w:val="008F559E"/>
    <w:rsid w:val="008F73BD"/>
    <w:rsid w:val="009015B6"/>
    <w:rsid w:val="009049A3"/>
    <w:rsid w:val="00905FE0"/>
    <w:rsid w:val="00907B27"/>
    <w:rsid w:val="00907CDF"/>
    <w:rsid w:val="00916BAC"/>
    <w:rsid w:val="00921FE2"/>
    <w:rsid w:val="009223C1"/>
    <w:rsid w:val="00927964"/>
    <w:rsid w:val="00930142"/>
    <w:rsid w:val="00931A7E"/>
    <w:rsid w:val="00934636"/>
    <w:rsid w:val="00934E00"/>
    <w:rsid w:val="00937624"/>
    <w:rsid w:val="0094428B"/>
    <w:rsid w:val="00950CC3"/>
    <w:rsid w:val="00955206"/>
    <w:rsid w:val="0095671E"/>
    <w:rsid w:val="00957910"/>
    <w:rsid w:val="0096797E"/>
    <w:rsid w:val="00975C9C"/>
    <w:rsid w:val="00980A19"/>
    <w:rsid w:val="00984030"/>
    <w:rsid w:val="00986060"/>
    <w:rsid w:val="00990A46"/>
    <w:rsid w:val="009918DB"/>
    <w:rsid w:val="009A1473"/>
    <w:rsid w:val="009A1B4B"/>
    <w:rsid w:val="009A1DC0"/>
    <w:rsid w:val="009A21BC"/>
    <w:rsid w:val="009A43C7"/>
    <w:rsid w:val="009A4C7E"/>
    <w:rsid w:val="009A571B"/>
    <w:rsid w:val="009A704F"/>
    <w:rsid w:val="009A7524"/>
    <w:rsid w:val="009B109B"/>
    <w:rsid w:val="009B177C"/>
    <w:rsid w:val="009B1DD7"/>
    <w:rsid w:val="009B2450"/>
    <w:rsid w:val="009B2678"/>
    <w:rsid w:val="009C65B3"/>
    <w:rsid w:val="009D01F5"/>
    <w:rsid w:val="009D15A9"/>
    <w:rsid w:val="009D2232"/>
    <w:rsid w:val="009D4B62"/>
    <w:rsid w:val="009D631F"/>
    <w:rsid w:val="009E20F7"/>
    <w:rsid w:val="009E443D"/>
    <w:rsid w:val="009E5D78"/>
    <w:rsid w:val="009E7456"/>
    <w:rsid w:val="009E7607"/>
    <w:rsid w:val="009F0605"/>
    <w:rsid w:val="009F1331"/>
    <w:rsid w:val="009F1AA7"/>
    <w:rsid w:val="009F2929"/>
    <w:rsid w:val="009F35E6"/>
    <w:rsid w:val="009F4515"/>
    <w:rsid w:val="009F7FDE"/>
    <w:rsid w:val="00A00A8B"/>
    <w:rsid w:val="00A02EA8"/>
    <w:rsid w:val="00A0603B"/>
    <w:rsid w:val="00A1165F"/>
    <w:rsid w:val="00A1193D"/>
    <w:rsid w:val="00A11ED7"/>
    <w:rsid w:val="00A12540"/>
    <w:rsid w:val="00A13704"/>
    <w:rsid w:val="00A1644B"/>
    <w:rsid w:val="00A20427"/>
    <w:rsid w:val="00A2264F"/>
    <w:rsid w:val="00A239CB"/>
    <w:rsid w:val="00A23EF7"/>
    <w:rsid w:val="00A24CB6"/>
    <w:rsid w:val="00A32F3B"/>
    <w:rsid w:val="00A34323"/>
    <w:rsid w:val="00A34C6A"/>
    <w:rsid w:val="00A4703A"/>
    <w:rsid w:val="00A50979"/>
    <w:rsid w:val="00A56526"/>
    <w:rsid w:val="00A60F15"/>
    <w:rsid w:val="00A61F58"/>
    <w:rsid w:val="00A7011D"/>
    <w:rsid w:val="00A713ED"/>
    <w:rsid w:val="00A80B79"/>
    <w:rsid w:val="00A830AD"/>
    <w:rsid w:val="00A838D8"/>
    <w:rsid w:val="00A864DF"/>
    <w:rsid w:val="00A906C4"/>
    <w:rsid w:val="00A92ADA"/>
    <w:rsid w:val="00A959FA"/>
    <w:rsid w:val="00A96375"/>
    <w:rsid w:val="00A96C26"/>
    <w:rsid w:val="00A97560"/>
    <w:rsid w:val="00A97B00"/>
    <w:rsid w:val="00AA0713"/>
    <w:rsid w:val="00AA1A67"/>
    <w:rsid w:val="00AA6486"/>
    <w:rsid w:val="00AB02A0"/>
    <w:rsid w:val="00AB3D08"/>
    <w:rsid w:val="00AB4D36"/>
    <w:rsid w:val="00AB6891"/>
    <w:rsid w:val="00AC02CA"/>
    <w:rsid w:val="00AC788A"/>
    <w:rsid w:val="00AC79BB"/>
    <w:rsid w:val="00AC7E54"/>
    <w:rsid w:val="00AD0FA2"/>
    <w:rsid w:val="00AD55ED"/>
    <w:rsid w:val="00AE00C5"/>
    <w:rsid w:val="00AE2F7F"/>
    <w:rsid w:val="00AE3698"/>
    <w:rsid w:val="00AE6031"/>
    <w:rsid w:val="00AE77A2"/>
    <w:rsid w:val="00AF3BF9"/>
    <w:rsid w:val="00AF4297"/>
    <w:rsid w:val="00AF6E9A"/>
    <w:rsid w:val="00AF7C5B"/>
    <w:rsid w:val="00B00A3B"/>
    <w:rsid w:val="00B015AF"/>
    <w:rsid w:val="00B0502D"/>
    <w:rsid w:val="00B10189"/>
    <w:rsid w:val="00B106F3"/>
    <w:rsid w:val="00B10CC8"/>
    <w:rsid w:val="00B13195"/>
    <w:rsid w:val="00B17605"/>
    <w:rsid w:val="00B178B2"/>
    <w:rsid w:val="00B2071F"/>
    <w:rsid w:val="00B20A2F"/>
    <w:rsid w:val="00B23329"/>
    <w:rsid w:val="00B27AFC"/>
    <w:rsid w:val="00B319A3"/>
    <w:rsid w:val="00B36BFC"/>
    <w:rsid w:val="00B36D70"/>
    <w:rsid w:val="00B37B71"/>
    <w:rsid w:val="00B41BE2"/>
    <w:rsid w:val="00B41E54"/>
    <w:rsid w:val="00B45916"/>
    <w:rsid w:val="00B46D9F"/>
    <w:rsid w:val="00B52AD4"/>
    <w:rsid w:val="00B5332A"/>
    <w:rsid w:val="00B533F3"/>
    <w:rsid w:val="00B53904"/>
    <w:rsid w:val="00B5737F"/>
    <w:rsid w:val="00B66C49"/>
    <w:rsid w:val="00B66D6F"/>
    <w:rsid w:val="00B73EFE"/>
    <w:rsid w:val="00B751F6"/>
    <w:rsid w:val="00B76F11"/>
    <w:rsid w:val="00B771C0"/>
    <w:rsid w:val="00B77A11"/>
    <w:rsid w:val="00B807AB"/>
    <w:rsid w:val="00B92F8B"/>
    <w:rsid w:val="00BB1963"/>
    <w:rsid w:val="00BB42B4"/>
    <w:rsid w:val="00BB5AC4"/>
    <w:rsid w:val="00BC0172"/>
    <w:rsid w:val="00BC049C"/>
    <w:rsid w:val="00BC0C76"/>
    <w:rsid w:val="00BC5D78"/>
    <w:rsid w:val="00BD217E"/>
    <w:rsid w:val="00BD2481"/>
    <w:rsid w:val="00BD30FA"/>
    <w:rsid w:val="00BD3840"/>
    <w:rsid w:val="00BD39A5"/>
    <w:rsid w:val="00BD464A"/>
    <w:rsid w:val="00BD77FA"/>
    <w:rsid w:val="00BE4F5F"/>
    <w:rsid w:val="00BE5268"/>
    <w:rsid w:val="00BF3D84"/>
    <w:rsid w:val="00BF5C8C"/>
    <w:rsid w:val="00BF5FE8"/>
    <w:rsid w:val="00BF6E09"/>
    <w:rsid w:val="00C027FF"/>
    <w:rsid w:val="00C0412A"/>
    <w:rsid w:val="00C0459F"/>
    <w:rsid w:val="00C05677"/>
    <w:rsid w:val="00C0619E"/>
    <w:rsid w:val="00C0670F"/>
    <w:rsid w:val="00C06F4A"/>
    <w:rsid w:val="00C10CDA"/>
    <w:rsid w:val="00C12BC9"/>
    <w:rsid w:val="00C13F8A"/>
    <w:rsid w:val="00C15BA1"/>
    <w:rsid w:val="00C15DB3"/>
    <w:rsid w:val="00C209D9"/>
    <w:rsid w:val="00C20ACC"/>
    <w:rsid w:val="00C2297F"/>
    <w:rsid w:val="00C23979"/>
    <w:rsid w:val="00C23A35"/>
    <w:rsid w:val="00C26E0C"/>
    <w:rsid w:val="00C42E81"/>
    <w:rsid w:val="00C43FDD"/>
    <w:rsid w:val="00C4514B"/>
    <w:rsid w:val="00C45954"/>
    <w:rsid w:val="00C51FD6"/>
    <w:rsid w:val="00C6002D"/>
    <w:rsid w:val="00C65AD9"/>
    <w:rsid w:val="00C67EFF"/>
    <w:rsid w:val="00C73BDE"/>
    <w:rsid w:val="00C84BD9"/>
    <w:rsid w:val="00C84DD9"/>
    <w:rsid w:val="00C85C8F"/>
    <w:rsid w:val="00C85E39"/>
    <w:rsid w:val="00C93CDD"/>
    <w:rsid w:val="00C94B5B"/>
    <w:rsid w:val="00C96C4D"/>
    <w:rsid w:val="00C973A3"/>
    <w:rsid w:val="00C973B7"/>
    <w:rsid w:val="00CA00C5"/>
    <w:rsid w:val="00CA1229"/>
    <w:rsid w:val="00CA446D"/>
    <w:rsid w:val="00CB04F0"/>
    <w:rsid w:val="00CB2961"/>
    <w:rsid w:val="00CB2FFF"/>
    <w:rsid w:val="00CC0FA1"/>
    <w:rsid w:val="00CD1DB5"/>
    <w:rsid w:val="00CD3D28"/>
    <w:rsid w:val="00CD4551"/>
    <w:rsid w:val="00CE031D"/>
    <w:rsid w:val="00CE1789"/>
    <w:rsid w:val="00CE1A2B"/>
    <w:rsid w:val="00CE3755"/>
    <w:rsid w:val="00CE4751"/>
    <w:rsid w:val="00CE4795"/>
    <w:rsid w:val="00CE4ED0"/>
    <w:rsid w:val="00CE6725"/>
    <w:rsid w:val="00CE68C4"/>
    <w:rsid w:val="00CE7DD9"/>
    <w:rsid w:val="00CF00BE"/>
    <w:rsid w:val="00CF317E"/>
    <w:rsid w:val="00CF5D2B"/>
    <w:rsid w:val="00D0073E"/>
    <w:rsid w:val="00D0297F"/>
    <w:rsid w:val="00D03819"/>
    <w:rsid w:val="00D06E0C"/>
    <w:rsid w:val="00D070BE"/>
    <w:rsid w:val="00D14E6F"/>
    <w:rsid w:val="00D22064"/>
    <w:rsid w:val="00D36D2D"/>
    <w:rsid w:val="00D402E6"/>
    <w:rsid w:val="00D41A6E"/>
    <w:rsid w:val="00D44E35"/>
    <w:rsid w:val="00D51F9D"/>
    <w:rsid w:val="00D529A0"/>
    <w:rsid w:val="00D546C0"/>
    <w:rsid w:val="00D55581"/>
    <w:rsid w:val="00D575FA"/>
    <w:rsid w:val="00D60581"/>
    <w:rsid w:val="00D64AD5"/>
    <w:rsid w:val="00D64F63"/>
    <w:rsid w:val="00D7254B"/>
    <w:rsid w:val="00D72C34"/>
    <w:rsid w:val="00D7369D"/>
    <w:rsid w:val="00D75F79"/>
    <w:rsid w:val="00D77552"/>
    <w:rsid w:val="00D809D0"/>
    <w:rsid w:val="00D813CF"/>
    <w:rsid w:val="00D84600"/>
    <w:rsid w:val="00D86CCA"/>
    <w:rsid w:val="00D874A9"/>
    <w:rsid w:val="00D874BA"/>
    <w:rsid w:val="00D90068"/>
    <w:rsid w:val="00D905AA"/>
    <w:rsid w:val="00D91754"/>
    <w:rsid w:val="00D91B87"/>
    <w:rsid w:val="00D938CA"/>
    <w:rsid w:val="00D96936"/>
    <w:rsid w:val="00D97D82"/>
    <w:rsid w:val="00DA36FB"/>
    <w:rsid w:val="00DB4F41"/>
    <w:rsid w:val="00DC282F"/>
    <w:rsid w:val="00DC3462"/>
    <w:rsid w:val="00DC52A7"/>
    <w:rsid w:val="00DC582D"/>
    <w:rsid w:val="00DD3218"/>
    <w:rsid w:val="00DD41B6"/>
    <w:rsid w:val="00DD7B66"/>
    <w:rsid w:val="00DE1929"/>
    <w:rsid w:val="00DE5D9C"/>
    <w:rsid w:val="00DE69E9"/>
    <w:rsid w:val="00DF36B4"/>
    <w:rsid w:val="00DF4FF9"/>
    <w:rsid w:val="00E0170A"/>
    <w:rsid w:val="00E058DD"/>
    <w:rsid w:val="00E05957"/>
    <w:rsid w:val="00E068DF"/>
    <w:rsid w:val="00E164C5"/>
    <w:rsid w:val="00E16588"/>
    <w:rsid w:val="00E20E76"/>
    <w:rsid w:val="00E238F5"/>
    <w:rsid w:val="00E27C00"/>
    <w:rsid w:val="00E30101"/>
    <w:rsid w:val="00E40434"/>
    <w:rsid w:val="00E425C5"/>
    <w:rsid w:val="00E432E4"/>
    <w:rsid w:val="00E51703"/>
    <w:rsid w:val="00E61907"/>
    <w:rsid w:val="00E63F13"/>
    <w:rsid w:val="00E67B1F"/>
    <w:rsid w:val="00E73127"/>
    <w:rsid w:val="00E754B1"/>
    <w:rsid w:val="00E7586D"/>
    <w:rsid w:val="00E81B36"/>
    <w:rsid w:val="00E82631"/>
    <w:rsid w:val="00E834E4"/>
    <w:rsid w:val="00E83854"/>
    <w:rsid w:val="00E84BCF"/>
    <w:rsid w:val="00E84D8D"/>
    <w:rsid w:val="00E8743A"/>
    <w:rsid w:val="00E8744F"/>
    <w:rsid w:val="00E875CA"/>
    <w:rsid w:val="00E87B0A"/>
    <w:rsid w:val="00E97B1F"/>
    <w:rsid w:val="00EA12B8"/>
    <w:rsid w:val="00EA4040"/>
    <w:rsid w:val="00EA4A19"/>
    <w:rsid w:val="00EA56A7"/>
    <w:rsid w:val="00EC0B61"/>
    <w:rsid w:val="00EC25D4"/>
    <w:rsid w:val="00EC2A95"/>
    <w:rsid w:val="00EC3DBB"/>
    <w:rsid w:val="00EC3FAA"/>
    <w:rsid w:val="00EC4C2B"/>
    <w:rsid w:val="00EC6129"/>
    <w:rsid w:val="00ED2410"/>
    <w:rsid w:val="00ED6D6E"/>
    <w:rsid w:val="00EE09FB"/>
    <w:rsid w:val="00EE1BAA"/>
    <w:rsid w:val="00EE2BBF"/>
    <w:rsid w:val="00EE2E8B"/>
    <w:rsid w:val="00EE45BC"/>
    <w:rsid w:val="00EE46EC"/>
    <w:rsid w:val="00EE5606"/>
    <w:rsid w:val="00EE5B6D"/>
    <w:rsid w:val="00EF48EA"/>
    <w:rsid w:val="00EF6776"/>
    <w:rsid w:val="00F0248A"/>
    <w:rsid w:val="00F06928"/>
    <w:rsid w:val="00F0739E"/>
    <w:rsid w:val="00F07DBF"/>
    <w:rsid w:val="00F11725"/>
    <w:rsid w:val="00F12765"/>
    <w:rsid w:val="00F12AD0"/>
    <w:rsid w:val="00F14630"/>
    <w:rsid w:val="00F179F2"/>
    <w:rsid w:val="00F203EC"/>
    <w:rsid w:val="00F2276D"/>
    <w:rsid w:val="00F35088"/>
    <w:rsid w:val="00F4313E"/>
    <w:rsid w:val="00F47AAA"/>
    <w:rsid w:val="00F50BE3"/>
    <w:rsid w:val="00F51C7F"/>
    <w:rsid w:val="00F54151"/>
    <w:rsid w:val="00F55D34"/>
    <w:rsid w:val="00F66753"/>
    <w:rsid w:val="00F677DD"/>
    <w:rsid w:val="00F6787E"/>
    <w:rsid w:val="00F71817"/>
    <w:rsid w:val="00F858B7"/>
    <w:rsid w:val="00F87E65"/>
    <w:rsid w:val="00F909C2"/>
    <w:rsid w:val="00F91C27"/>
    <w:rsid w:val="00F944F9"/>
    <w:rsid w:val="00F9537E"/>
    <w:rsid w:val="00FA10A4"/>
    <w:rsid w:val="00FA2816"/>
    <w:rsid w:val="00FA67AD"/>
    <w:rsid w:val="00FB1FF5"/>
    <w:rsid w:val="00FB224C"/>
    <w:rsid w:val="00FB5263"/>
    <w:rsid w:val="00FC4A11"/>
    <w:rsid w:val="00FC73DA"/>
    <w:rsid w:val="00FC759F"/>
    <w:rsid w:val="00FD76CF"/>
    <w:rsid w:val="00FE05F9"/>
    <w:rsid w:val="00FE218A"/>
    <w:rsid w:val="00FF0185"/>
    <w:rsid w:val="00FF5B80"/>
  </w:rsids>
  <m:mathPr>
    <m:mathFont m:val="Cambria Math"/>
    <m:brkBin m:val="before"/>
    <m:brkBinSub m:val="--"/>
    <m:smallFrac m:val="0"/>
    <m:dispDef/>
    <m:lMargin m:val="0"/>
    <m:rMargin m:val="0"/>
    <m:defJc m:val="centerGroup"/>
    <m:wrapIndent m:val="1440"/>
    <m:intLim m:val="subSup"/>
    <m:naryLim m:val="undOvr"/>
  </m:mathPr>
  <w:themeFontLang w:val="de-A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91AF3A0"/>
  <w15:docId w15:val="{AA55726B-B069-4F61-9200-E1A10AFDFC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de-AT"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15DD3"/>
  </w:style>
  <w:style w:type="paragraph" w:styleId="Heading1">
    <w:name w:val="heading 1"/>
    <w:basedOn w:val="Normal"/>
    <w:next w:val="Normal"/>
    <w:link w:val="Heading1Char"/>
    <w:uiPriority w:val="9"/>
    <w:qFormat/>
    <w:rsid w:val="009F35E6"/>
    <w:pPr>
      <w:spacing w:after="120"/>
      <w:jc w:val="both"/>
      <w:outlineLvl w:val="0"/>
    </w:pPr>
    <w:rPr>
      <w:rFonts w:ascii="Aptos" w:eastAsiaTheme="majorEastAsia" w:hAnsi="Aptos" w:cstheme="majorBidi"/>
      <w:b/>
      <w:color w:val="E4342D"/>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232AA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unhideWhenUsed/>
    <w:rsid w:val="00232AA4"/>
    <w:pPr>
      <w:spacing w:before="100" w:beforeAutospacing="1" w:after="100" w:afterAutospacing="1"/>
    </w:pPr>
    <w:rPr>
      <w:rFonts w:ascii="Times New Roman" w:eastAsia="Times New Roman" w:hAnsi="Times New Roman" w:cs="Times New Roman"/>
      <w:lang w:eastAsia="de-DE"/>
    </w:rPr>
  </w:style>
  <w:style w:type="paragraph" w:styleId="ListParagraph">
    <w:name w:val="List Paragraph"/>
    <w:aliases w:val="Fiche List Paragraph,OBC Bullet,List Paragraph Char Char Char,Colorful List - Accent 11,List Paragraph11,2,Bullet St"/>
    <w:basedOn w:val="Normal"/>
    <w:link w:val="ListParagraphChar"/>
    <w:uiPriority w:val="34"/>
    <w:qFormat/>
    <w:rsid w:val="00DE1929"/>
    <w:pPr>
      <w:ind w:left="720"/>
      <w:contextualSpacing/>
    </w:pPr>
  </w:style>
  <w:style w:type="paragraph" w:customStyle="1" w:styleId="Point0">
    <w:name w:val="Point 0"/>
    <w:basedOn w:val="Normal"/>
    <w:rsid w:val="00D86CCA"/>
    <w:pPr>
      <w:spacing w:before="120" w:after="120"/>
      <w:ind w:left="850" w:hanging="850"/>
      <w:jc w:val="both"/>
    </w:pPr>
    <w:rPr>
      <w:rFonts w:ascii="Times New Roman" w:hAnsi="Times New Roman" w:cs="Times New Roman"/>
      <w:szCs w:val="22"/>
      <w:lang w:val="en-GB"/>
    </w:rPr>
  </w:style>
  <w:style w:type="paragraph" w:styleId="Header">
    <w:name w:val="header"/>
    <w:basedOn w:val="Normal"/>
    <w:link w:val="HeaderChar"/>
    <w:uiPriority w:val="99"/>
    <w:unhideWhenUsed/>
    <w:rsid w:val="00AB3D08"/>
    <w:pPr>
      <w:tabs>
        <w:tab w:val="center" w:pos="4536"/>
        <w:tab w:val="right" w:pos="9072"/>
      </w:tabs>
    </w:pPr>
  </w:style>
  <w:style w:type="character" w:customStyle="1" w:styleId="HeaderChar">
    <w:name w:val="Header Char"/>
    <w:basedOn w:val="DefaultParagraphFont"/>
    <w:link w:val="Header"/>
    <w:uiPriority w:val="99"/>
    <w:rsid w:val="00AB3D08"/>
  </w:style>
  <w:style w:type="paragraph" w:styleId="Footer">
    <w:name w:val="footer"/>
    <w:basedOn w:val="Normal"/>
    <w:link w:val="FooterChar"/>
    <w:uiPriority w:val="99"/>
    <w:unhideWhenUsed/>
    <w:rsid w:val="00AB3D08"/>
    <w:pPr>
      <w:tabs>
        <w:tab w:val="center" w:pos="4536"/>
        <w:tab w:val="right" w:pos="9072"/>
      </w:tabs>
    </w:pPr>
  </w:style>
  <w:style w:type="character" w:customStyle="1" w:styleId="FooterChar">
    <w:name w:val="Footer Char"/>
    <w:basedOn w:val="DefaultParagraphFont"/>
    <w:link w:val="Footer"/>
    <w:uiPriority w:val="99"/>
    <w:rsid w:val="00AB3D08"/>
  </w:style>
  <w:style w:type="character" w:customStyle="1" w:styleId="Heading1Char">
    <w:name w:val="Heading 1 Char"/>
    <w:basedOn w:val="DefaultParagraphFont"/>
    <w:link w:val="Heading1"/>
    <w:uiPriority w:val="9"/>
    <w:rsid w:val="009F35E6"/>
    <w:rPr>
      <w:rFonts w:ascii="Aptos" w:eastAsiaTheme="majorEastAsia" w:hAnsi="Aptos" w:cstheme="majorBidi"/>
      <w:b/>
      <w:color w:val="E4342D"/>
      <w:szCs w:val="32"/>
    </w:rPr>
  </w:style>
  <w:style w:type="paragraph" w:customStyle="1" w:styleId="pf0">
    <w:name w:val="pf0"/>
    <w:basedOn w:val="Normal"/>
    <w:rsid w:val="005E66E1"/>
    <w:pPr>
      <w:spacing w:before="100" w:beforeAutospacing="1" w:after="100" w:afterAutospacing="1"/>
    </w:pPr>
    <w:rPr>
      <w:rFonts w:ascii="Times New Roman" w:eastAsia="Times New Roman" w:hAnsi="Times New Roman" w:cs="Times New Roman"/>
      <w:lang w:eastAsia="de-AT"/>
    </w:rPr>
  </w:style>
  <w:style w:type="character" w:customStyle="1" w:styleId="cf01">
    <w:name w:val="cf01"/>
    <w:basedOn w:val="DefaultParagraphFont"/>
    <w:rsid w:val="005E66E1"/>
    <w:rPr>
      <w:rFonts w:ascii="Segoe UI" w:hAnsi="Segoe UI" w:cs="Segoe UI" w:hint="default"/>
      <w:sz w:val="18"/>
      <w:szCs w:val="18"/>
    </w:rPr>
  </w:style>
  <w:style w:type="character" w:styleId="HTMLCite">
    <w:name w:val="HTML Cite"/>
    <w:basedOn w:val="DefaultParagraphFont"/>
    <w:uiPriority w:val="99"/>
    <w:semiHidden/>
    <w:unhideWhenUsed/>
    <w:rsid w:val="00A2264F"/>
    <w:rPr>
      <w:i/>
      <w:iCs/>
    </w:rPr>
  </w:style>
  <w:style w:type="character" w:styleId="CommentReference">
    <w:name w:val="annotation reference"/>
    <w:basedOn w:val="DefaultParagraphFont"/>
    <w:uiPriority w:val="99"/>
    <w:unhideWhenUsed/>
    <w:rsid w:val="002F3376"/>
    <w:rPr>
      <w:sz w:val="16"/>
      <w:szCs w:val="16"/>
    </w:rPr>
  </w:style>
  <w:style w:type="paragraph" w:styleId="CommentText">
    <w:name w:val="annotation text"/>
    <w:aliases w:val="Char2"/>
    <w:basedOn w:val="Normal"/>
    <w:link w:val="CommentTextChar"/>
    <w:uiPriority w:val="99"/>
    <w:unhideWhenUsed/>
    <w:qFormat/>
    <w:rsid w:val="002F3376"/>
    <w:rPr>
      <w:sz w:val="20"/>
      <w:szCs w:val="20"/>
    </w:rPr>
  </w:style>
  <w:style w:type="character" w:customStyle="1" w:styleId="CommentTextChar">
    <w:name w:val="Comment Text Char"/>
    <w:aliases w:val="Char2 Char"/>
    <w:basedOn w:val="DefaultParagraphFont"/>
    <w:link w:val="CommentText"/>
    <w:uiPriority w:val="99"/>
    <w:rsid w:val="002F3376"/>
    <w:rPr>
      <w:sz w:val="20"/>
      <w:szCs w:val="20"/>
    </w:rPr>
  </w:style>
  <w:style w:type="paragraph" w:styleId="CommentSubject">
    <w:name w:val="annotation subject"/>
    <w:basedOn w:val="CommentText"/>
    <w:next w:val="CommentText"/>
    <w:link w:val="CommentSubjectChar"/>
    <w:uiPriority w:val="99"/>
    <w:semiHidden/>
    <w:unhideWhenUsed/>
    <w:rsid w:val="002F3376"/>
    <w:rPr>
      <w:b/>
      <w:bCs/>
    </w:rPr>
  </w:style>
  <w:style w:type="character" w:customStyle="1" w:styleId="CommentSubjectChar">
    <w:name w:val="Comment Subject Char"/>
    <w:basedOn w:val="CommentTextChar"/>
    <w:link w:val="CommentSubject"/>
    <w:uiPriority w:val="99"/>
    <w:semiHidden/>
    <w:rsid w:val="002F3376"/>
    <w:rPr>
      <w:b/>
      <w:bCs/>
      <w:sz w:val="20"/>
      <w:szCs w:val="20"/>
    </w:rPr>
  </w:style>
  <w:style w:type="character" w:customStyle="1" w:styleId="CRRefonteDeleted">
    <w:name w:val="CR Refonte Deleted"/>
    <w:basedOn w:val="DefaultParagraphFont"/>
    <w:rsid w:val="002F3376"/>
    <w:rPr>
      <w:strike w:val="0"/>
      <w:dstrike/>
    </w:rPr>
  </w:style>
  <w:style w:type="character" w:customStyle="1" w:styleId="CRMarker">
    <w:name w:val="CR Marker"/>
    <w:basedOn w:val="DefaultParagraphFont"/>
    <w:rsid w:val="000511BA"/>
    <w:rPr>
      <w:rFonts w:ascii="Wingdings" w:hAnsi="Wingdings" w:cs="Wingdings"/>
    </w:rPr>
  </w:style>
  <w:style w:type="character" w:customStyle="1" w:styleId="CRDeleted">
    <w:name w:val="CR Deleted"/>
    <w:basedOn w:val="DefaultParagraphFont"/>
    <w:rsid w:val="000511BA"/>
    <w:rPr>
      <w:rFonts w:cs="Times New Roman"/>
      <w:dstrike/>
      <w:lang w:val="fr-FR" w:eastAsia="x-none"/>
    </w:rPr>
  </w:style>
  <w:style w:type="character" w:customStyle="1" w:styleId="CRMinorChangeAdded">
    <w:name w:val="CR Minor Change Added"/>
    <w:basedOn w:val="DefaultParagraphFont"/>
    <w:rsid w:val="000511BA"/>
    <w:rPr>
      <w:rFonts w:cs="Times New Roman"/>
      <w:u w:val="double"/>
      <w:lang w:val="fr-FR" w:eastAsia="x-none"/>
    </w:rPr>
  </w:style>
  <w:style w:type="paragraph" w:styleId="FootnoteText">
    <w:name w:val="footnote text"/>
    <w:basedOn w:val="Normal"/>
    <w:link w:val="FootnoteTextChar"/>
    <w:uiPriority w:val="99"/>
    <w:semiHidden/>
    <w:unhideWhenUsed/>
    <w:rsid w:val="001E37DE"/>
    <w:pPr>
      <w:ind w:left="720" w:hanging="720"/>
      <w:jc w:val="both"/>
    </w:pPr>
    <w:rPr>
      <w:rFonts w:ascii="Times New Roman" w:hAnsi="Times New Roman" w:cs="Times New Roman"/>
      <w:sz w:val="20"/>
      <w:szCs w:val="20"/>
      <w:lang w:val="en-GB"/>
    </w:rPr>
  </w:style>
  <w:style w:type="character" w:customStyle="1" w:styleId="FootnoteTextChar">
    <w:name w:val="Footnote Text Char"/>
    <w:basedOn w:val="DefaultParagraphFont"/>
    <w:link w:val="FootnoteText"/>
    <w:uiPriority w:val="99"/>
    <w:semiHidden/>
    <w:rsid w:val="001E37DE"/>
    <w:rPr>
      <w:rFonts w:ascii="Times New Roman" w:hAnsi="Times New Roman" w:cs="Times New Roman"/>
      <w:sz w:val="20"/>
      <w:szCs w:val="20"/>
      <w:lang w:val="en-GB"/>
    </w:rPr>
  </w:style>
  <w:style w:type="character" w:styleId="FootnoteReference">
    <w:name w:val="footnote reference"/>
    <w:basedOn w:val="DefaultParagraphFont"/>
    <w:uiPriority w:val="99"/>
    <w:semiHidden/>
    <w:unhideWhenUsed/>
    <w:rsid w:val="001E37DE"/>
    <w:rPr>
      <w:shd w:val="clear" w:color="auto" w:fill="auto"/>
      <w:vertAlign w:val="superscript"/>
    </w:rPr>
  </w:style>
  <w:style w:type="paragraph" w:customStyle="1" w:styleId="Text1">
    <w:name w:val="Text 1"/>
    <w:basedOn w:val="Normal"/>
    <w:rsid w:val="004930D5"/>
    <w:pPr>
      <w:spacing w:before="120" w:after="120"/>
      <w:ind w:left="850"/>
      <w:jc w:val="both"/>
    </w:pPr>
    <w:rPr>
      <w:rFonts w:ascii="Times New Roman" w:hAnsi="Times New Roman" w:cs="Times New Roman"/>
      <w:szCs w:val="22"/>
      <w:lang w:val="en-GB"/>
    </w:rPr>
  </w:style>
  <w:style w:type="paragraph" w:customStyle="1" w:styleId="NormalCentered">
    <w:name w:val="Normal Centered"/>
    <w:basedOn w:val="Normal"/>
    <w:rsid w:val="00AD55ED"/>
    <w:pPr>
      <w:spacing w:before="120" w:after="120"/>
      <w:jc w:val="center"/>
    </w:pPr>
    <w:rPr>
      <w:rFonts w:ascii="Times New Roman" w:hAnsi="Times New Roman" w:cs="Times New Roman"/>
      <w:szCs w:val="22"/>
      <w:lang w:val="en-GB"/>
    </w:rPr>
  </w:style>
  <w:style w:type="character" w:customStyle="1" w:styleId="CRRefNum">
    <w:name w:val="CR RefNum"/>
    <w:basedOn w:val="DefaultParagraphFont"/>
    <w:uiPriority w:val="99"/>
    <w:rsid w:val="00AD55ED"/>
    <w:rPr>
      <w:rFonts w:cs="Times New Roman"/>
      <w:vertAlign w:val="subscript"/>
    </w:rPr>
  </w:style>
  <w:style w:type="paragraph" w:customStyle="1" w:styleId="NormalLeft">
    <w:name w:val="Normal Left"/>
    <w:basedOn w:val="Normal"/>
    <w:rsid w:val="00AD55ED"/>
    <w:pPr>
      <w:spacing w:before="120" w:after="120"/>
    </w:pPr>
    <w:rPr>
      <w:rFonts w:ascii="Times New Roman" w:hAnsi="Times New Roman" w:cs="Times New Roman"/>
      <w:szCs w:val="22"/>
      <w:lang w:val="en-GB"/>
    </w:rPr>
  </w:style>
  <w:style w:type="character" w:customStyle="1" w:styleId="CRMinorChangeDeleted">
    <w:name w:val="CR Minor Change Deleted"/>
    <w:basedOn w:val="DefaultParagraphFont"/>
    <w:rsid w:val="001B258A"/>
    <w:rPr>
      <w:rFonts w:cs="Times New Roman"/>
      <w:dstrike/>
      <w:u w:val="double"/>
      <w:lang w:val="fr-FR" w:eastAsia="x-none"/>
    </w:rPr>
  </w:style>
  <w:style w:type="paragraph" w:customStyle="1" w:styleId="Point0number">
    <w:name w:val="Point 0 (number)"/>
    <w:basedOn w:val="Normal"/>
    <w:rsid w:val="00D75F79"/>
    <w:pPr>
      <w:numPr>
        <w:numId w:val="16"/>
      </w:numPr>
      <w:spacing w:before="120" w:after="120"/>
      <w:jc w:val="both"/>
    </w:pPr>
    <w:rPr>
      <w:rFonts w:ascii="Times New Roman" w:hAnsi="Times New Roman" w:cs="Times New Roman"/>
      <w:szCs w:val="22"/>
      <w:lang w:val="en-GB"/>
    </w:rPr>
  </w:style>
  <w:style w:type="paragraph" w:customStyle="1" w:styleId="Point1number">
    <w:name w:val="Point 1 (number)"/>
    <w:basedOn w:val="Normal"/>
    <w:rsid w:val="00D75F79"/>
    <w:pPr>
      <w:numPr>
        <w:ilvl w:val="2"/>
        <w:numId w:val="16"/>
      </w:numPr>
      <w:spacing w:before="120" w:after="120"/>
      <w:jc w:val="both"/>
    </w:pPr>
    <w:rPr>
      <w:rFonts w:ascii="Times New Roman" w:hAnsi="Times New Roman" w:cs="Times New Roman"/>
      <w:szCs w:val="22"/>
      <w:lang w:val="en-GB"/>
    </w:rPr>
  </w:style>
  <w:style w:type="paragraph" w:customStyle="1" w:styleId="Point2number">
    <w:name w:val="Point 2 (number)"/>
    <w:basedOn w:val="Normal"/>
    <w:rsid w:val="00D75F79"/>
    <w:pPr>
      <w:numPr>
        <w:ilvl w:val="4"/>
        <w:numId w:val="16"/>
      </w:numPr>
      <w:spacing w:before="120" w:after="120"/>
      <w:jc w:val="both"/>
    </w:pPr>
    <w:rPr>
      <w:rFonts w:ascii="Times New Roman" w:hAnsi="Times New Roman" w:cs="Times New Roman"/>
      <w:szCs w:val="22"/>
      <w:lang w:val="en-GB"/>
    </w:rPr>
  </w:style>
  <w:style w:type="paragraph" w:customStyle="1" w:styleId="Point3number">
    <w:name w:val="Point 3 (number)"/>
    <w:basedOn w:val="Normal"/>
    <w:rsid w:val="00D75F79"/>
    <w:pPr>
      <w:numPr>
        <w:ilvl w:val="6"/>
        <w:numId w:val="16"/>
      </w:numPr>
      <w:spacing w:before="120" w:after="120"/>
      <w:jc w:val="both"/>
    </w:pPr>
    <w:rPr>
      <w:rFonts w:ascii="Times New Roman" w:hAnsi="Times New Roman" w:cs="Times New Roman"/>
      <w:szCs w:val="22"/>
      <w:lang w:val="en-GB"/>
    </w:rPr>
  </w:style>
  <w:style w:type="paragraph" w:customStyle="1" w:styleId="Point0letter">
    <w:name w:val="Point 0 (letter)"/>
    <w:basedOn w:val="Normal"/>
    <w:rsid w:val="00D75F79"/>
    <w:pPr>
      <w:numPr>
        <w:ilvl w:val="1"/>
        <w:numId w:val="16"/>
      </w:numPr>
      <w:spacing w:before="120" w:after="120"/>
      <w:jc w:val="both"/>
    </w:pPr>
    <w:rPr>
      <w:rFonts w:ascii="Times New Roman" w:hAnsi="Times New Roman" w:cs="Times New Roman"/>
      <w:szCs w:val="22"/>
      <w:lang w:val="en-GB"/>
    </w:rPr>
  </w:style>
  <w:style w:type="paragraph" w:customStyle="1" w:styleId="Point1letter">
    <w:name w:val="Point 1 (letter)"/>
    <w:basedOn w:val="Normal"/>
    <w:rsid w:val="00D75F79"/>
    <w:pPr>
      <w:numPr>
        <w:ilvl w:val="3"/>
        <w:numId w:val="16"/>
      </w:numPr>
      <w:spacing w:before="120" w:after="120"/>
      <w:jc w:val="both"/>
    </w:pPr>
    <w:rPr>
      <w:rFonts w:ascii="Times New Roman" w:hAnsi="Times New Roman" w:cs="Times New Roman"/>
      <w:szCs w:val="22"/>
      <w:lang w:val="en-GB"/>
    </w:rPr>
  </w:style>
  <w:style w:type="paragraph" w:customStyle="1" w:styleId="Point2letter">
    <w:name w:val="Point 2 (letter)"/>
    <w:basedOn w:val="Normal"/>
    <w:rsid w:val="00D75F79"/>
    <w:pPr>
      <w:numPr>
        <w:ilvl w:val="5"/>
        <w:numId w:val="16"/>
      </w:numPr>
      <w:spacing w:before="120" w:after="120"/>
      <w:jc w:val="both"/>
    </w:pPr>
    <w:rPr>
      <w:rFonts w:ascii="Times New Roman" w:hAnsi="Times New Roman" w:cs="Times New Roman"/>
      <w:szCs w:val="22"/>
      <w:lang w:val="en-GB"/>
    </w:rPr>
  </w:style>
  <w:style w:type="paragraph" w:customStyle="1" w:styleId="Point3letter">
    <w:name w:val="Point 3 (letter)"/>
    <w:basedOn w:val="Normal"/>
    <w:rsid w:val="00D75F79"/>
    <w:pPr>
      <w:numPr>
        <w:ilvl w:val="7"/>
        <w:numId w:val="16"/>
      </w:numPr>
      <w:spacing w:before="120" w:after="120"/>
      <w:jc w:val="both"/>
    </w:pPr>
    <w:rPr>
      <w:rFonts w:ascii="Times New Roman" w:hAnsi="Times New Roman" w:cs="Times New Roman"/>
      <w:szCs w:val="22"/>
      <w:lang w:val="en-GB"/>
    </w:rPr>
  </w:style>
  <w:style w:type="paragraph" w:customStyle="1" w:styleId="Point4letter">
    <w:name w:val="Point 4 (letter)"/>
    <w:basedOn w:val="Normal"/>
    <w:rsid w:val="00D75F79"/>
    <w:pPr>
      <w:numPr>
        <w:ilvl w:val="8"/>
        <w:numId w:val="16"/>
      </w:numPr>
      <w:spacing w:before="120" w:after="120"/>
      <w:jc w:val="both"/>
    </w:pPr>
    <w:rPr>
      <w:rFonts w:ascii="Times New Roman" w:hAnsi="Times New Roman" w:cs="Times New Roman"/>
      <w:szCs w:val="22"/>
      <w:lang w:val="en-GB"/>
    </w:rPr>
  </w:style>
  <w:style w:type="character" w:customStyle="1" w:styleId="xl-qi-tpoutput-text">
    <w:name w:val="xl-qi-tp__output-text"/>
    <w:basedOn w:val="DefaultParagraphFont"/>
    <w:rsid w:val="00D905AA"/>
  </w:style>
  <w:style w:type="character" w:customStyle="1" w:styleId="rynqvb">
    <w:name w:val="rynqvb"/>
    <w:basedOn w:val="DefaultParagraphFont"/>
    <w:rsid w:val="00D905AA"/>
  </w:style>
  <w:style w:type="character" w:customStyle="1" w:styleId="ListParagraphChar">
    <w:name w:val="List Paragraph Char"/>
    <w:aliases w:val="Fiche List Paragraph Char,OBC Bullet Char,List Paragraph Char Char Char Char,Colorful List - Accent 11 Char,List Paragraph11 Char,2 Char,Bullet St Char"/>
    <w:link w:val="ListParagraph"/>
    <w:uiPriority w:val="34"/>
    <w:qFormat/>
    <w:locked/>
    <w:rsid w:val="005B15A6"/>
  </w:style>
  <w:style w:type="character" w:styleId="Hyperlink">
    <w:name w:val="Hyperlink"/>
    <w:basedOn w:val="DefaultParagraphFont"/>
    <w:uiPriority w:val="99"/>
    <w:unhideWhenUsed/>
    <w:rsid w:val="006114ED"/>
    <w:rPr>
      <w:color w:val="0000FF"/>
      <w:u w:val="single"/>
    </w:rPr>
  </w:style>
  <w:style w:type="paragraph" w:customStyle="1" w:styleId="WasteWatersurveillanceNormalLeft">
    <w:name w:val="Waste Water surveillanceNormal Left"/>
    <w:basedOn w:val="Normal"/>
    <w:rsid w:val="000657BA"/>
    <w:pPr>
      <w:autoSpaceDE w:val="0"/>
      <w:autoSpaceDN w:val="0"/>
      <w:spacing w:before="120" w:after="120"/>
    </w:pPr>
    <w:rPr>
      <w:rFonts w:ascii="Times New Roman" w:eastAsia="Times New Roman" w:hAnsi="Times New Roman" w:cs="Times New Roman"/>
      <w:lang w:val="en-GB" w:eastAsia="en-GB"/>
    </w:rPr>
  </w:style>
  <w:style w:type="paragraph" w:customStyle="1" w:styleId="Titrearticle">
    <w:name w:val="Titre article"/>
    <w:basedOn w:val="Normal"/>
    <w:next w:val="Normal"/>
    <w:rsid w:val="00D402E6"/>
    <w:pPr>
      <w:keepNext/>
      <w:spacing w:before="360" w:after="120"/>
      <w:jc w:val="center"/>
    </w:pPr>
    <w:rPr>
      <w:rFonts w:ascii="Times New Roman" w:hAnsi="Times New Roman" w:cs="Times New Roman"/>
      <w:i/>
      <w:szCs w:val="22"/>
      <w:lang w:val="en-GB"/>
    </w:rPr>
  </w:style>
  <w:style w:type="paragraph" w:styleId="Revision">
    <w:name w:val="Revision"/>
    <w:hidden/>
    <w:uiPriority w:val="99"/>
    <w:semiHidden/>
    <w:rsid w:val="00097918"/>
  </w:style>
  <w:style w:type="character" w:styleId="UnresolvedMention">
    <w:name w:val="Unresolved Mention"/>
    <w:basedOn w:val="DefaultParagraphFont"/>
    <w:uiPriority w:val="99"/>
    <w:semiHidden/>
    <w:unhideWhenUsed/>
    <w:rsid w:val="009D4B62"/>
    <w:rPr>
      <w:color w:val="605E5C"/>
      <w:shd w:val="clear" w:color="auto" w:fill="E1DFDD"/>
    </w:rPr>
  </w:style>
  <w:style w:type="paragraph" w:styleId="TOCHeading">
    <w:name w:val="TOC Heading"/>
    <w:basedOn w:val="Heading1"/>
    <w:next w:val="Normal"/>
    <w:uiPriority w:val="39"/>
    <w:unhideWhenUsed/>
    <w:qFormat/>
    <w:rsid w:val="00781939"/>
    <w:pPr>
      <w:spacing w:line="259" w:lineRule="auto"/>
      <w:outlineLvl w:val="9"/>
    </w:pPr>
    <w:rPr>
      <w:b w:val="0"/>
      <w:color w:val="2F5496" w:themeColor="accent1" w:themeShade="BF"/>
      <w:sz w:val="32"/>
      <w:lang w:eastAsia="de-AT"/>
    </w:rPr>
  </w:style>
  <w:style w:type="paragraph" w:styleId="TOC1">
    <w:name w:val="toc 1"/>
    <w:basedOn w:val="Normal"/>
    <w:next w:val="Normal"/>
    <w:autoRedefine/>
    <w:uiPriority w:val="39"/>
    <w:unhideWhenUsed/>
    <w:rsid w:val="00781939"/>
    <w:pPr>
      <w:spacing w:after="100"/>
    </w:pPr>
  </w:style>
  <w:style w:type="paragraph" w:styleId="NoSpacing">
    <w:name w:val="No Spacing"/>
    <w:uiPriority w:val="1"/>
    <w:qFormat/>
    <w:rsid w:val="00185F39"/>
  </w:style>
  <w:style w:type="character" w:styleId="FollowedHyperlink">
    <w:name w:val="FollowedHyperlink"/>
    <w:basedOn w:val="DefaultParagraphFont"/>
    <w:uiPriority w:val="99"/>
    <w:semiHidden/>
    <w:unhideWhenUsed/>
    <w:rsid w:val="005C1E1B"/>
    <w:rPr>
      <w:color w:val="954F72" w:themeColor="followedHyperlink"/>
      <w:u w:val="single"/>
    </w:rPr>
  </w:style>
  <w:style w:type="character" w:customStyle="1" w:styleId="line-clamp-1">
    <w:name w:val="line-clamp-1"/>
    <w:basedOn w:val="DefaultParagraphFont"/>
    <w:rsid w:val="00437609"/>
  </w:style>
  <w:style w:type="table" w:customStyle="1" w:styleId="TableNormal1">
    <w:name w:val="Table Normal1"/>
    <w:uiPriority w:val="2"/>
    <w:semiHidden/>
    <w:unhideWhenUsed/>
    <w:qFormat/>
    <w:rsid w:val="00715DD3"/>
    <w:pPr>
      <w:widowControl w:val="0"/>
      <w:autoSpaceDE w:val="0"/>
      <w:autoSpaceDN w:val="0"/>
    </w:pPr>
    <w:rPr>
      <w:sz w:val="22"/>
      <w:szCs w:val="22"/>
      <w:lang w:val="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715DD3"/>
    <w:pPr>
      <w:widowControl w:val="0"/>
      <w:autoSpaceDE w:val="0"/>
      <w:autoSpaceDN w:val="0"/>
      <w:ind w:left="110"/>
    </w:pPr>
    <w:rPr>
      <w:rFonts w:ascii="Arial MT" w:eastAsia="Arial MT" w:hAnsi="Arial MT" w:cs="Arial MT"/>
      <w:sz w:val="22"/>
      <w:szCs w:val="22"/>
      <w:lang w:val="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285112">
      <w:bodyDiv w:val="1"/>
      <w:marLeft w:val="0"/>
      <w:marRight w:val="0"/>
      <w:marTop w:val="0"/>
      <w:marBottom w:val="0"/>
      <w:divBdr>
        <w:top w:val="none" w:sz="0" w:space="0" w:color="auto"/>
        <w:left w:val="none" w:sz="0" w:space="0" w:color="auto"/>
        <w:bottom w:val="none" w:sz="0" w:space="0" w:color="auto"/>
        <w:right w:val="none" w:sz="0" w:space="0" w:color="auto"/>
      </w:divBdr>
    </w:div>
    <w:div w:id="39863755">
      <w:bodyDiv w:val="1"/>
      <w:marLeft w:val="0"/>
      <w:marRight w:val="0"/>
      <w:marTop w:val="0"/>
      <w:marBottom w:val="0"/>
      <w:divBdr>
        <w:top w:val="none" w:sz="0" w:space="0" w:color="auto"/>
        <w:left w:val="none" w:sz="0" w:space="0" w:color="auto"/>
        <w:bottom w:val="none" w:sz="0" w:space="0" w:color="auto"/>
        <w:right w:val="none" w:sz="0" w:space="0" w:color="auto"/>
      </w:divBdr>
    </w:div>
    <w:div w:id="40829502">
      <w:bodyDiv w:val="1"/>
      <w:marLeft w:val="0"/>
      <w:marRight w:val="0"/>
      <w:marTop w:val="0"/>
      <w:marBottom w:val="0"/>
      <w:divBdr>
        <w:top w:val="none" w:sz="0" w:space="0" w:color="auto"/>
        <w:left w:val="none" w:sz="0" w:space="0" w:color="auto"/>
        <w:bottom w:val="none" w:sz="0" w:space="0" w:color="auto"/>
        <w:right w:val="none" w:sz="0" w:space="0" w:color="auto"/>
      </w:divBdr>
      <w:divsChild>
        <w:div w:id="1004363085">
          <w:marLeft w:val="0"/>
          <w:marRight w:val="0"/>
          <w:marTop w:val="0"/>
          <w:marBottom w:val="0"/>
          <w:divBdr>
            <w:top w:val="none" w:sz="0" w:space="0" w:color="auto"/>
            <w:left w:val="none" w:sz="0" w:space="0" w:color="auto"/>
            <w:bottom w:val="none" w:sz="0" w:space="0" w:color="auto"/>
            <w:right w:val="none" w:sz="0" w:space="0" w:color="auto"/>
          </w:divBdr>
          <w:divsChild>
            <w:div w:id="1443258820">
              <w:marLeft w:val="0"/>
              <w:marRight w:val="0"/>
              <w:marTop w:val="0"/>
              <w:marBottom w:val="0"/>
              <w:divBdr>
                <w:top w:val="none" w:sz="0" w:space="0" w:color="auto"/>
                <w:left w:val="none" w:sz="0" w:space="0" w:color="auto"/>
                <w:bottom w:val="none" w:sz="0" w:space="0" w:color="auto"/>
                <w:right w:val="none" w:sz="0" w:space="0" w:color="auto"/>
              </w:divBdr>
              <w:divsChild>
                <w:div w:id="320699179">
                  <w:marLeft w:val="0"/>
                  <w:marRight w:val="0"/>
                  <w:marTop w:val="0"/>
                  <w:marBottom w:val="0"/>
                  <w:divBdr>
                    <w:top w:val="none" w:sz="0" w:space="0" w:color="auto"/>
                    <w:left w:val="none" w:sz="0" w:space="0" w:color="auto"/>
                    <w:bottom w:val="none" w:sz="0" w:space="0" w:color="auto"/>
                    <w:right w:val="none" w:sz="0" w:space="0" w:color="auto"/>
                  </w:divBdr>
                  <w:divsChild>
                    <w:div w:id="697244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1242047">
          <w:marLeft w:val="0"/>
          <w:marRight w:val="0"/>
          <w:marTop w:val="0"/>
          <w:marBottom w:val="0"/>
          <w:divBdr>
            <w:top w:val="none" w:sz="0" w:space="0" w:color="auto"/>
            <w:left w:val="none" w:sz="0" w:space="0" w:color="auto"/>
            <w:bottom w:val="none" w:sz="0" w:space="0" w:color="auto"/>
            <w:right w:val="none" w:sz="0" w:space="0" w:color="auto"/>
          </w:divBdr>
          <w:divsChild>
            <w:div w:id="1680110755">
              <w:marLeft w:val="0"/>
              <w:marRight w:val="0"/>
              <w:marTop w:val="0"/>
              <w:marBottom w:val="0"/>
              <w:divBdr>
                <w:top w:val="none" w:sz="0" w:space="0" w:color="auto"/>
                <w:left w:val="none" w:sz="0" w:space="0" w:color="auto"/>
                <w:bottom w:val="none" w:sz="0" w:space="0" w:color="auto"/>
                <w:right w:val="none" w:sz="0" w:space="0" w:color="auto"/>
              </w:divBdr>
              <w:divsChild>
                <w:div w:id="1337687862">
                  <w:marLeft w:val="0"/>
                  <w:marRight w:val="0"/>
                  <w:marTop w:val="0"/>
                  <w:marBottom w:val="0"/>
                  <w:divBdr>
                    <w:top w:val="none" w:sz="0" w:space="0" w:color="auto"/>
                    <w:left w:val="none" w:sz="0" w:space="0" w:color="auto"/>
                    <w:bottom w:val="none" w:sz="0" w:space="0" w:color="auto"/>
                    <w:right w:val="none" w:sz="0" w:space="0" w:color="auto"/>
                  </w:divBdr>
                  <w:divsChild>
                    <w:div w:id="1362686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8774341">
      <w:bodyDiv w:val="1"/>
      <w:marLeft w:val="0"/>
      <w:marRight w:val="0"/>
      <w:marTop w:val="0"/>
      <w:marBottom w:val="0"/>
      <w:divBdr>
        <w:top w:val="none" w:sz="0" w:space="0" w:color="auto"/>
        <w:left w:val="none" w:sz="0" w:space="0" w:color="auto"/>
        <w:bottom w:val="none" w:sz="0" w:space="0" w:color="auto"/>
        <w:right w:val="none" w:sz="0" w:space="0" w:color="auto"/>
      </w:divBdr>
    </w:div>
    <w:div w:id="51002781">
      <w:bodyDiv w:val="1"/>
      <w:marLeft w:val="0"/>
      <w:marRight w:val="0"/>
      <w:marTop w:val="0"/>
      <w:marBottom w:val="0"/>
      <w:divBdr>
        <w:top w:val="none" w:sz="0" w:space="0" w:color="auto"/>
        <w:left w:val="none" w:sz="0" w:space="0" w:color="auto"/>
        <w:bottom w:val="none" w:sz="0" w:space="0" w:color="auto"/>
        <w:right w:val="none" w:sz="0" w:space="0" w:color="auto"/>
      </w:divBdr>
    </w:div>
    <w:div w:id="103961414">
      <w:bodyDiv w:val="1"/>
      <w:marLeft w:val="0"/>
      <w:marRight w:val="0"/>
      <w:marTop w:val="0"/>
      <w:marBottom w:val="0"/>
      <w:divBdr>
        <w:top w:val="none" w:sz="0" w:space="0" w:color="auto"/>
        <w:left w:val="none" w:sz="0" w:space="0" w:color="auto"/>
        <w:bottom w:val="none" w:sz="0" w:space="0" w:color="auto"/>
        <w:right w:val="none" w:sz="0" w:space="0" w:color="auto"/>
      </w:divBdr>
      <w:divsChild>
        <w:div w:id="577596277">
          <w:marLeft w:val="0"/>
          <w:marRight w:val="0"/>
          <w:marTop w:val="0"/>
          <w:marBottom w:val="0"/>
          <w:divBdr>
            <w:top w:val="none" w:sz="0" w:space="0" w:color="auto"/>
            <w:left w:val="none" w:sz="0" w:space="0" w:color="auto"/>
            <w:bottom w:val="none" w:sz="0" w:space="0" w:color="auto"/>
            <w:right w:val="none" w:sz="0" w:space="0" w:color="auto"/>
          </w:divBdr>
          <w:divsChild>
            <w:div w:id="93062122">
              <w:marLeft w:val="0"/>
              <w:marRight w:val="0"/>
              <w:marTop w:val="0"/>
              <w:marBottom w:val="0"/>
              <w:divBdr>
                <w:top w:val="none" w:sz="0" w:space="0" w:color="auto"/>
                <w:left w:val="none" w:sz="0" w:space="0" w:color="auto"/>
                <w:bottom w:val="none" w:sz="0" w:space="0" w:color="auto"/>
                <w:right w:val="none" w:sz="0" w:space="0" w:color="auto"/>
              </w:divBdr>
              <w:divsChild>
                <w:div w:id="792361682">
                  <w:marLeft w:val="0"/>
                  <w:marRight w:val="0"/>
                  <w:marTop w:val="0"/>
                  <w:marBottom w:val="0"/>
                  <w:divBdr>
                    <w:top w:val="none" w:sz="0" w:space="0" w:color="auto"/>
                    <w:left w:val="none" w:sz="0" w:space="0" w:color="auto"/>
                    <w:bottom w:val="none" w:sz="0" w:space="0" w:color="auto"/>
                    <w:right w:val="none" w:sz="0" w:space="0" w:color="auto"/>
                  </w:divBdr>
                </w:div>
              </w:divsChild>
            </w:div>
            <w:div w:id="952326948">
              <w:marLeft w:val="0"/>
              <w:marRight w:val="0"/>
              <w:marTop w:val="0"/>
              <w:marBottom w:val="0"/>
              <w:divBdr>
                <w:top w:val="none" w:sz="0" w:space="0" w:color="auto"/>
                <w:left w:val="none" w:sz="0" w:space="0" w:color="auto"/>
                <w:bottom w:val="none" w:sz="0" w:space="0" w:color="auto"/>
                <w:right w:val="none" w:sz="0" w:space="0" w:color="auto"/>
              </w:divBdr>
              <w:divsChild>
                <w:div w:id="6275127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7550888">
      <w:bodyDiv w:val="1"/>
      <w:marLeft w:val="0"/>
      <w:marRight w:val="0"/>
      <w:marTop w:val="0"/>
      <w:marBottom w:val="0"/>
      <w:divBdr>
        <w:top w:val="none" w:sz="0" w:space="0" w:color="auto"/>
        <w:left w:val="none" w:sz="0" w:space="0" w:color="auto"/>
        <w:bottom w:val="none" w:sz="0" w:space="0" w:color="auto"/>
        <w:right w:val="none" w:sz="0" w:space="0" w:color="auto"/>
      </w:divBdr>
      <w:divsChild>
        <w:div w:id="633676856">
          <w:marLeft w:val="0"/>
          <w:marRight w:val="0"/>
          <w:marTop w:val="0"/>
          <w:marBottom w:val="0"/>
          <w:divBdr>
            <w:top w:val="none" w:sz="0" w:space="0" w:color="auto"/>
            <w:left w:val="none" w:sz="0" w:space="0" w:color="auto"/>
            <w:bottom w:val="none" w:sz="0" w:space="0" w:color="auto"/>
            <w:right w:val="none" w:sz="0" w:space="0" w:color="auto"/>
          </w:divBdr>
          <w:divsChild>
            <w:div w:id="1406301173">
              <w:marLeft w:val="0"/>
              <w:marRight w:val="0"/>
              <w:marTop w:val="0"/>
              <w:marBottom w:val="0"/>
              <w:divBdr>
                <w:top w:val="none" w:sz="0" w:space="0" w:color="auto"/>
                <w:left w:val="none" w:sz="0" w:space="0" w:color="auto"/>
                <w:bottom w:val="none" w:sz="0" w:space="0" w:color="auto"/>
                <w:right w:val="none" w:sz="0" w:space="0" w:color="auto"/>
              </w:divBdr>
              <w:divsChild>
                <w:div w:id="91632852">
                  <w:marLeft w:val="0"/>
                  <w:marRight w:val="0"/>
                  <w:marTop w:val="0"/>
                  <w:marBottom w:val="0"/>
                  <w:divBdr>
                    <w:top w:val="none" w:sz="0" w:space="0" w:color="auto"/>
                    <w:left w:val="none" w:sz="0" w:space="0" w:color="auto"/>
                    <w:bottom w:val="none" w:sz="0" w:space="0" w:color="auto"/>
                    <w:right w:val="none" w:sz="0" w:space="0" w:color="auto"/>
                  </w:divBdr>
                </w:div>
              </w:divsChild>
            </w:div>
            <w:div w:id="1915623969">
              <w:marLeft w:val="0"/>
              <w:marRight w:val="0"/>
              <w:marTop w:val="0"/>
              <w:marBottom w:val="0"/>
              <w:divBdr>
                <w:top w:val="none" w:sz="0" w:space="0" w:color="auto"/>
                <w:left w:val="none" w:sz="0" w:space="0" w:color="auto"/>
                <w:bottom w:val="none" w:sz="0" w:space="0" w:color="auto"/>
                <w:right w:val="none" w:sz="0" w:space="0" w:color="auto"/>
              </w:divBdr>
              <w:divsChild>
                <w:div w:id="4965764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6">
      <w:bodyDiv w:val="1"/>
      <w:marLeft w:val="0"/>
      <w:marRight w:val="0"/>
      <w:marTop w:val="0"/>
      <w:marBottom w:val="0"/>
      <w:divBdr>
        <w:top w:val="none" w:sz="0" w:space="0" w:color="auto"/>
        <w:left w:val="none" w:sz="0" w:space="0" w:color="auto"/>
        <w:bottom w:val="none" w:sz="0" w:space="0" w:color="auto"/>
        <w:right w:val="none" w:sz="0" w:space="0" w:color="auto"/>
      </w:divBdr>
      <w:divsChild>
        <w:div w:id="161705118">
          <w:marLeft w:val="0"/>
          <w:marRight w:val="0"/>
          <w:marTop w:val="0"/>
          <w:marBottom w:val="0"/>
          <w:divBdr>
            <w:top w:val="none" w:sz="0" w:space="0" w:color="auto"/>
            <w:left w:val="none" w:sz="0" w:space="0" w:color="auto"/>
            <w:bottom w:val="none" w:sz="0" w:space="0" w:color="auto"/>
            <w:right w:val="none" w:sz="0" w:space="0" w:color="auto"/>
          </w:divBdr>
          <w:divsChild>
            <w:div w:id="9526285">
              <w:marLeft w:val="0"/>
              <w:marRight w:val="0"/>
              <w:marTop w:val="0"/>
              <w:marBottom w:val="0"/>
              <w:divBdr>
                <w:top w:val="none" w:sz="0" w:space="0" w:color="auto"/>
                <w:left w:val="none" w:sz="0" w:space="0" w:color="auto"/>
                <w:bottom w:val="none" w:sz="0" w:space="0" w:color="auto"/>
                <w:right w:val="none" w:sz="0" w:space="0" w:color="auto"/>
              </w:divBdr>
              <w:divsChild>
                <w:div w:id="297878259">
                  <w:marLeft w:val="0"/>
                  <w:marRight w:val="0"/>
                  <w:marTop w:val="0"/>
                  <w:marBottom w:val="0"/>
                  <w:divBdr>
                    <w:top w:val="none" w:sz="0" w:space="0" w:color="auto"/>
                    <w:left w:val="none" w:sz="0" w:space="0" w:color="auto"/>
                    <w:bottom w:val="none" w:sz="0" w:space="0" w:color="auto"/>
                    <w:right w:val="none" w:sz="0" w:space="0" w:color="auto"/>
                  </w:divBdr>
                </w:div>
              </w:divsChild>
            </w:div>
            <w:div w:id="937979509">
              <w:marLeft w:val="0"/>
              <w:marRight w:val="0"/>
              <w:marTop w:val="0"/>
              <w:marBottom w:val="0"/>
              <w:divBdr>
                <w:top w:val="none" w:sz="0" w:space="0" w:color="auto"/>
                <w:left w:val="none" w:sz="0" w:space="0" w:color="auto"/>
                <w:bottom w:val="none" w:sz="0" w:space="0" w:color="auto"/>
                <w:right w:val="none" w:sz="0" w:space="0" w:color="auto"/>
              </w:divBdr>
              <w:divsChild>
                <w:div w:id="1998027212">
                  <w:marLeft w:val="0"/>
                  <w:marRight w:val="0"/>
                  <w:marTop w:val="0"/>
                  <w:marBottom w:val="0"/>
                  <w:divBdr>
                    <w:top w:val="none" w:sz="0" w:space="0" w:color="auto"/>
                    <w:left w:val="none" w:sz="0" w:space="0" w:color="auto"/>
                    <w:bottom w:val="none" w:sz="0" w:space="0" w:color="auto"/>
                    <w:right w:val="none" w:sz="0" w:space="0" w:color="auto"/>
                  </w:divBdr>
                </w:div>
              </w:divsChild>
            </w:div>
            <w:div w:id="1168638983">
              <w:marLeft w:val="0"/>
              <w:marRight w:val="0"/>
              <w:marTop w:val="0"/>
              <w:marBottom w:val="0"/>
              <w:divBdr>
                <w:top w:val="none" w:sz="0" w:space="0" w:color="auto"/>
                <w:left w:val="none" w:sz="0" w:space="0" w:color="auto"/>
                <w:bottom w:val="none" w:sz="0" w:space="0" w:color="auto"/>
                <w:right w:val="none" w:sz="0" w:space="0" w:color="auto"/>
              </w:divBdr>
              <w:divsChild>
                <w:div w:id="96802189">
                  <w:marLeft w:val="0"/>
                  <w:marRight w:val="0"/>
                  <w:marTop w:val="0"/>
                  <w:marBottom w:val="0"/>
                  <w:divBdr>
                    <w:top w:val="none" w:sz="0" w:space="0" w:color="auto"/>
                    <w:left w:val="none" w:sz="0" w:space="0" w:color="auto"/>
                    <w:bottom w:val="none" w:sz="0" w:space="0" w:color="auto"/>
                    <w:right w:val="none" w:sz="0" w:space="0" w:color="auto"/>
                  </w:divBdr>
                </w:div>
              </w:divsChild>
            </w:div>
            <w:div w:id="1587877757">
              <w:marLeft w:val="0"/>
              <w:marRight w:val="0"/>
              <w:marTop w:val="0"/>
              <w:marBottom w:val="0"/>
              <w:divBdr>
                <w:top w:val="none" w:sz="0" w:space="0" w:color="auto"/>
                <w:left w:val="none" w:sz="0" w:space="0" w:color="auto"/>
                <w:bottom w:val="none" w:sz="0" w:space="0" w:color="auto"/>
                <w:right w:val="none" w:sz="0" w:space="0" w:color="auto"/>
              </w:divBdr>
              <w:divsChild>
                <w:div w:id="809521864">
                  <w:marLeft w:val="0"/>
                  <w:marRight w:val="0"/>
                  <w:marTop w:val="0"/>
                  <w:marBottom w:val="0"/>
                  <w:divBdr>
                    <w:top w:val="none" w:sz="0" w:space="0" w:color="auto"/>
                    <w:left w:val="none" w:sz="0" w:space="0" w:color="auto"/>
                    <w:bottom w:val="none" w:sz="0" w:space="0" w:color="auto"/>
                    <w:right w:val="none" w:sz="0" w:space="0" w:color="auto"/>
                  </w:divBdr>
                </w:div>
              </w:divsChild>
            </w:div>
            <w:div w:id="1746029453">
              <w:marLeft w:val="0"/>
              <w:marRight w:val="0"/>
              <w:marTop w:val="0"/>
              <w:marBottom w:val="0"/>
              <w:divBdr>
                <w:top w:val="none" w:sz="0" w:space="0" w:color="auto"/>
                <w:left w:val="none" w:sz="0" w:space="0" w:color="auto"/>
                <w:bottom w:val="none" w:sz="0" w:space="0" w:color="auto"/>
                <w:right w:val="none" w:sz="0" w:space="0" w:color="auto"/>
              </w:divBdr>
              <w:divsChild>
                <w:div w:id="3258681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906953">
      <w:bodyDiv w:val="1"/>
      <w:marLeft w:val="0"/>
      <w:marRight w:val="0"/>
      <w:marTop w:val="0"/>
      <w:marBottom w:val="0"/>
      <w:divBdr>
        <w:top w:val="none" w:sz="0" w:space="0" w:color="auto"/>
        <w:left w:val="none" w:sz="0" w:space="0" w:color="auto"/>
        <w:bottom w:val="none" w:sz="0" w:space="0" w:color="auto"/>
        <w:right w:val="none" w:sz="0" w:space="0" w:color="auto"/>
      </w:divBdr>
    </w:div>
    <w:div w:id="271401421">
      <w:bodyDiv w:val="1"/>
      <w:marLeft w:val="0"/>
      <w:marRight w:val="0"/>
      <w:marTop w:val="0"/>
      <w:marBottom w:val="0"/>
      <w:divBdr>
        <w:top w:val="none" w:sz="0" w:space="0" w:color="auto"/>
        <w:left w:val="none" w:sz="0" w:space="0" w:color="auto"/>
        <w:bottom w:val="none" w:sz="0" w:space="0" w:color="auto"/>
        <w:right w:val="none" w:sz="0" w:space="0" w:color="auto"/>
      </w:divBdr>
    </w:div>
    <w:div w:id="287858690">
      <w:bodyDiv w:val="1"/>
      <w:marLeft w:val="0"/>
      <w:marRight w:val="0"/>
      <w:marTop w:val="0"/>
      <w:marBottom w:val="0"/>
      <w:divBdr>
        <w:top w:val="none" w:sz="0" w:space="0" w:color="auto"/>
        <w:left w:val="none" w:sz="0" w:space="0" w:color="auto"/>
        <w:bottom w:val="none" w:sz="0" w:space="0" w:color="auto"/>
        <w:right w:val="none" w:sz="0" w:space="0" w:color="auto"/>
      </w:divBdr>
      <w:divsChild>
        <w:div w:id="333800645">
          <w:marLeft w:val="0"/>
          <w:marRight w:val="0"/>
          <w:marTop w:val="0"/>
          <w:marBottom w:val="0"/>
          <w:divBdr>
            <w:top w:val="none" w:sz="0" w:space="0" w:color="auto"/>
            <w:left w:val="none" w:sz="0" w:space="0" w:color="auto"/>
            <w:bottom w:val="none" w:sz="0" w:space="0" w:color="auto"/>
            <w:right w:val="none" w:sz="0" w:space="0" w:color="auto"/>
          </w:divBdr>
          <w:divsChild>
            <w:div w:id="422847375">
              <w:marLeft w:val="0"/>
              <w:marRight w:val="0"/>
              <w:marTop w:val="0"/>
              <w:marBottom w:val="0"/>
              <w:divBdr>
                <w:top w:val="none" w:sz="0" w:space="0" w:color="auto"/>
                <w:left w:val="none" w:sz="0" w:space="0" w:color="auto"/>
                <w:bottom w:val="none" w:sz="0" w:space="0" w:color="auto"/>
                <w:right w:val="none" w:sz="0" w:space="0" w:color="auto"/>
              </w:divBdr>
              <w:divsChild>
                <w:div w:id="728846532">
                  <w:marLeft w:val="0"/>
                  <w:marRight w:val="0"/>
                  <w:marTop w:val="0"/>
                  <w:marBottom w:val="0"/>
                  <w:divBdr>
                    <w:top w:val="none" w:sz="0" w:space="0" w:color="auto"/>
                    <w:left w:val="none" w:sz="0" w:space="0" w:color="auto"/>
                    <w:bottom w:val="none" w:sz="0" w:space="0" w:color="auto"/>
                    <w:right w:val="none" w:sz="0" w:space="0" w:color="auto"/>
                  </w:divBdr>
                </w:div>
              </w:divsChild>
            </w:div>
            <w:div w:id="1340742969">
              <w:marLeft w:val="0"/>
              <w:marRight w:val="0"/>
              <w:marTop w:val="0"/>
              <w:marBottom w:val="0"/>
              <w:divBdr>
                <w:top w:val="none" w:sz="0" w:space="0" w:color="auto"/>
                <w:left w:val="none" w:sz="0" w:space="0" w:color="auto"/>
                <w:bottom w:val="none" w:sz="0" w:space="0" w:color="auto"/>
                <w:right w:val="none" w:sz="0" w:space="0" w:color="auto"/>
              </w:divBdr>
              <w:divsChild>
                <w:div w:id="6885247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09557127">
      <w:bodyDiv w:val="1"/>
      <w:marLeft w:val="0"/>
      <w:marRight w:val="0"/>
      <w:marTop w:val="0"/>
      <w:marBottom w:val="0"/>
      <w:divBdr>
        <w:top w:val="none" w:sz="0" w:space="0" w:color="auto"/>
        <w:left w:val="none" w:sz="0" w:space="0" w:color="auto"/>
        <w:bottom w:val="none" w:sz="0" w:space="0" w:color="auto"/>
        <w:right w:val="none" w:sz="0" w:space="0" w:color="auto"/>
      </w:divBdr>
    </w:div>
    <w:div w:id="317148896">
      <w:bodyDiv w:val="1"/>
      <w:marLeft w:val="0"/>
      <w:marRight w:val="0"/>
      <w:marTop w:val="0"/>
      <w:marBottom w:val="0"/>
      <w:divBdr>
        <w:top w:val="none" w:sz="0" w:space="0" w:color="auto"/>
        <w:left w:val="none" w:sz="0" w:space="0" w:color="auto"/>
        <w:bottom w:val="none" w:sz="0" w:space="0" w:color="auto"/>
        <w:right w:val="none" w:sz="0" w:space="0" w:color="auto"/>
      </w:divBdr>
    </w:div>
    <w:div w:id="332148344">
      <w:bodyDiv w:val="1"/>
      <w:marLeft w:val="0"/>
      <w:marRight w:val="0"/>
      <w:marTop w:val="0"/>
      <w:marBottom w:val="0"/>
      <w:divBdr>
        <w:top w:val="none" w:sz="0" w:space="0" w:color="auto"/>
        <w:left w:val="none" w:sz="0" w:space="0" w:color="auto"/>
        <w:bottom w:val="none" w:sz="0" w:space="0" w:color="auto"/>
        <w:right w:val="none" w:sz="0" w:space="0" w:color="auto"/>
      </w:divBdr>
    </w:div>
    <w:div w:id="337006751">
      <w:bodyDiv w:val="1"/>
      <w:marLeft w:val="0"/>
      <w:marRight w:val="0"/>
      <w:marTop w:val="0"/>
      <w:marBottom w:val="0"/>
      <w:divBdr>
        <w:top w:val="none" w:sz="0" w:space="0" w:color="auto"/>
        <w:left w:val="none" w:sz="0" w:space="0" w:color="auto"/>
        <w:bottom w:val="none" w:sz="0" w:space="0" w:color="auto"/>
        <w:right w:val="none" w:sz="0" w:space="0" w:color="auto"/>
      </w:divBdr>
    </w:div>
    <w:div w:id="373651436">
      <w:bodyDiv w:val="1"/>
      <w:marLeft w:val="0"/>
      <w:marRight w:val="0"/>
      <w:marTop w:val="0"/>
      <w:marBottom w:val="0"/>
      <w:divBdr>
        <w:top w:val="none" w:sz="0" w:space="0" w:color="auto"/>
        <w:left w:val="none" w:sz="0" w:space="0" w:color="auto"/>
        <w:bottom w:val="none" w:sz="0" w:space="0" w:color="auto"/>
        <w:right w:val="none" w:sz="0" w:space="0" w:color="auto"/>
      </w:divBdr>
      <w:divsChild>
        <w:div w:id="1662008018">
          <w:marLeft w:val="0"/>
          <w:marRight w:val="0"/>
          <w:marTop w:val="0"/>
          <w:marBottom w:val="0"/>
          <w:divBdr>
            <w:top w:val="single" w:sz="2" w:space="0" w:color="E3E3E3"/>
            <w:left w:val="single" w:sz="2" w:space="0" w:color="E3E3E3"/>
            <w:bottom w:val="single" w:sz="2" w:space="0" w:color="E3E3E3"/>
            <w:right w:val="single" w:sz="2" w:space="0" w:color="E3E3E3"/>
          </w:divBdr>
          <w:divsChild>
            <w:div w:id="1990748754">
              <w:marLeft w:val="0"/>
              <w:marRight w:val="0"/>
              <w:marTop w:val="100"/>
              <w:marBottom w:val="100"/>
              <w:divBdr>
                <w:top w:val="single" w:sz="2" w:space="0" w:color="E3E3E3"/>
                <w:left w:val="single" w:sz="2" w:space="0" w:color="E3E3E3"/>
                <w:bottom w:val="single" w:sz="2" w:space="0" w:color="E3E3E3"/>
                <w:right w:val="single" w:sz="2" w:space="0" w:color="E3E3E3"/>
              </w:divBdr>
              <w:divsChild>
                <w:div w:id="1922787011">
                  <w:marLeft w:val="0"/>
                  <w:marRight w:val="0"/>
                  <w:marTop w:val="0"/>
                  <w:marBottom w:val="0"/>
                  <w:divBdr>
                    <w:top w:val="single" w:sz="2" w:space="0" w:color="E3E3E3"/>
                    <w:left w:val="single" w:sz="2" w:space="0" w:color="E3E3E3"/>
                    <w:bottom w:val="single" w:sz="2" w:space="0" w:color="E3E3E3"/>
                    <w:right w:val="single" w:sz="2" w:space="0" w:color="E3E3E3"/>
                  </w:divBdr>
                  <w:divsChild>
                    <w:div w:id="1912931074">
                      <w:marLeft w:val="0"/>
                      <w:marRight w:val="0"/>
                      <w:marTop w:val="0"/>
                      <w:marBottom w:val="0"/>
                      <w:divBdr>
                        <w:top w:val="single" w:sz="2" w:space="0" w:color="E3E3E3"/>
                        <w:left w:val="single" w:sz="2" w:space="0" w:color="E3E3E3"/>
                        <w:bottom w:val="single" w:sz="2" w:space="0" w:color="E3E3E3"/>
                        <w:right w:val="single" w:sz="2" w:space="0" w:color="E3E3E3"/>
                      </w:divBdr>
                      <w:divsChild>
                        <w:div w:id="1557820330">
                          <w:marLeft w:val="0"/>
                          <w:marRight w:val="0"/>
                          <w:marTop w:val="0"/>
                          <w:marBottom w:val="0"/>
                          <w:divBdr>
                            <w:top w:val="single" w:sz="2" w:space="0" w:color="E3E3E3"/>
                            <w:left w:val="single" w:sz="2" w:space="0" w:color="E3E3E3"/>
                            <w:bottom w:val="single" w:sz="2" w:space="0" w:color="E3E3E3"/>
                            <w:right w:val="single" w:sz="2" w:space="0" w:color="E3E3E3"/>
                          </w:divBdr>
                          <w:divsChild>
                            <w:div w:id="1441220842">
                              <w:marLeft w:val="0"/>
                              <w:marRight w:val="0"/>
                              <w:marTop w:val="0"/>
                              <w:marBottom w:val="0"/>
                              <w:divBdr>
                                <w:top w:val="single" w:sz="2" w:space="0" w:color="E3E3E3"/>
                                <w:left w:val="single" w:sz="2" w:space="0" w:color="E3E3E3"/>
                                <w:bottom w:val="single" w:sz="2" w:space="0" w:color="E3E3E3"/>
                                <w:right w:val="single" w:sz="2" w:space="0" w:color="E3E3E3"/>
                              </w:divBdr>
                              <w:divsChild>
                                <w:div w:id="489713407">
                                  <w:marLeft w:val="0"/>
                                  <w:marRight w:val="0"/>
                                  <w:marTop w:val="0"/>
                                  <w:marBottom w:val="0"/>
                                  <w:divBdr>
                                    <w:top w:val="single" w:sz="2" w:space="0" w:color="E3E3E3"/>
                                    <w:left w:val="single" w:sz="2" w:space="0" w:color="E3E3E3"/>
                                    <w:bottom w:val="single" w:sz="2" w:space="0" w:color="E3E3E3"/>
                                    <w:right w:val="single" w:sz="2" w:space="0" w:color="E3E3E3"/>
                                  </w:divBdr>
                                  <w:divsChild>
                                    <w:div w:id="945235805">
                                      <w:marLeft w:val="0"/>
                                      <w:marRight w:val="0"/>
                                      <w:marTop w:val="0"/>
                                      <w:marBottom w:val="0"/>
                                      <w:divBdr>
                                        <w:top w:val="single" w:sz="2" w:space="0" w:color="E3E3E3"/>
                                        <w:left w:val="single" w:sz="2" w:space="0" w:color="E3E3E3"/>
                                        <w:bottom w:val="single" w:sz="2" w:space="0" w:color="E3E3E3"/>
                                        <w:right w:val="single" w:sz="2" w:space="0" w:color="E3E3E3"/>
                                      </w:divBdr>
                                    </w:div>
                                  </w:divsChild>
                                </w:div>
                              </w:divsChild>
                            </w:div>
                          </w:divsChild>
                        </w:div>
                      </w:divsChild>
                    </w:div>
                  </w:divsChild>
                </w:div>
              </w:divsChild>
            </w:div>
          </w:divsChild>
        </w:div>
      </w:divsChild>
    </w:div>
    <w:div w:id="425809754">
      <w:bodyDiv w:val="1"/>
      <w:marLeft w:val="0"/>
      <w:marRight w:val="0"/>
      <w:marTop w:val="0"/>
      <w:marBottom w:val="0"/>
      <w:divBdr>
        <w:top w:val="none" w:sz="0" w:space="0" w:color="auto"/>
        <w:left w:val="none" w:sz="0" w:space="0" w:color="auto"/>
        <w:bottom w:val="none" w:sz="0" w:space="0" w:color="auto"/>
        <w:right w:val="none" w:sz="0" w:space="0" w:color="auto"/>
      </w:divBdr>
    </w:div>
    <w:div w:id="474495266">
      <w:bodyDiv w:val="1"/>
      <w:marLeft w:val="0"/>
      <w:marRight w:val="0"/>
      <w:marTop w:val="0"/>
      <w:marBottom w:val="0"/>
      <w:divBdr>
        <w:top w:val="none" w:sz="0" w:space="0" w:color="auto"/>
        <w:left w:val="none" w:sz="0" w:space="0" w:color="auto"/>
        <w:bottom w:val="none" w:sz="0" w:space="0" w:color="auto"/>
        <w:right w:val="none" w:sz="0" w:space="0" w:color="auto"/>
      </w:divBdr>
      <w:divsChild>
        <w:div w:id="1019510407">
          <w:marLeft w:val="0"/>
          <w:marRight w:val="0"/>
          <w:marTop w:val="0"/>
          <w:marBottom w:val="0"/>
          <w:divBdr>
            <w:top w:val="none" w:sz="0" w:space="0" w:color="auto"/>
            <w:left w:val="none" w:sz="0" w:space="0" w:color="auto"/>
            <w:bottom w:val="none" w:sz="0" w:space="0" w:color="auto"/>
            <w:right w:val="none" w:sz="0" w:space="0" w:color="auto"/>
          </w:divBdr>
          <w:divsChild>
            <w:div w:id="1157840379">
              <w:marLeft w:val="0"/>
              <w:marRight w:val="0"/>
              <w:marTop w:val="0"/>
              <w:marBottom w:val="0"/>
              <w:divBdr>
                <w:top w:val="none" w:sz="0" w:space="0" w:color="auto"/>
                <w:left w:val="none" w:sz="0" w:space="0" w:color="auto"/>
                <w:bottom w:val="none" w:sz="0" w:space="0" w:color="auto"/>
                <w:right w:val="none" w:sz="0" w:space="0" w:color="auto"/>
              </w:divBdr>
              <w:divsChild>
                <w:div w:id="136655223">
                  <w:marLeft w:val="0"/>
                  <w:marRight w:val="0"/>
                  <w:marTop w:val="0"/>
                  <w:marBottom w:val="0"/>
                  <w:divBdr>
                    <w:top w:val="none" w:sz="0" w:space="0" w:color="auto"/>
                    <w:left w:val="none" w:sz="0" w:space="0" w:color="auto"/>
                    <w:bottom w:val="none" w:sz="0" w:space="0" w:color="auto"/>
                    <w:right w:val="none" w:sz="0" w:space="0" w:color="auto"/>
                  </w:divBdr>
                </w:div>
              </w:divsChild>
            </w:div>
            <w:div w:id="1948921727">
              <w:marLeft w:val="0"/>
              <w:marRight w:val="0"/>
              <w:marTop w:val="0"/>
              <w:marBottom w:val="0"/>
              <w:divBdr>
                <w:top w:val="none" w:sz="0" w:space="0" w:color="auto"/>
                <w:left w:val="none" w:sz="0" w:space="0" w:color="auto"/>
                <w:bottom w:val="none" w:sz="0" w:space="0" w:color="auto"/>
                <w:right w:val="none" w:sz="0" w:space="0" w:color="auto"/>
              </w:divBdr>
              <w:divsChild>
                <w:div w:id="16188288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26141099">
      <w:bodyDiv w:val="1"/>
      <w:marLeft w:val="0"/>
      <w:marRight w:val="0"/>
      <w:marTop w:val="0"/>
      <w:marBottom w:val="0"/>
      <w:divBdr>
        <w:top w:val="none" w:sz="0" w:space="0" w:color="auto"/>
        <w:left w:val="none" w:sz="0" w:space="0" w:color="auto"/>
        <w:bottom w:val="none" w:sz="0" w:space="0" w:color="auto"/>
        <w:right w:val="none" w:sz="0" w:space="0" w:color="auto"/>
      </w:divBdr>
      <w:divsChild>
        <w:div w:id="1671827691">
          <w:marLeft w:val="0"/>
          <w:marRight w:val="0"/>
          <w:marTop w:val="0"/>
          <w:marBottom w:val="0"/>
          <w:divBdr>
            <w:top w:val="none" w:sz="0" w:space="0" w:color="auto"/>
            <w:left w:val="none" w:sz="0" w:space="0" w:color="auto"/>
            <w:bottom w:val="none" w:sz="0" w:space="0" w:color="auto"/>
            <w:right w:val="none" w:sz="0" w:space="0" w:color="auto"/>
          </w:divBdr>
          <w:divsChild>
            <w:div w:id="190261699">
              <w:marLeft w:val="0"/>
              <w:marRight w:val="0"/>
              <w:marTop w:val="0"/>
              <w:marBottom w:val="0"/>
              <w:divBdr>
                <w:top w:val="none" w:sz="0" w:space="0" w:color="auto"/>
                <w:left w:val="none" w:sz="0" w:space="0" w:color="auto"/>
                <w:bottom w:val="none" w:sz="0" w:space="0" w:color="auto"/>
                <w:right w:val="none" w:sz="0" w:space="0" w:color="auto"/>
              </w:divBdr>
              <w:divsChild>
                <w:div w:id="1710639960">
                  <w:marLeft w:val="0"/>
                  <w:marRight w:val="0"/>
                  <w:marTop w:val="0"/>
                  <w:marBottom w:val="0"/>
                  <w:divBdr>
                    <w:top w:val="none" w:sz="0" w:space="0" w:color="auto"/>
                    <w:left w:val="none" w:sz="0" w:space="0" w:color="auto"/>
                    <w:bottom w:val="none" w:sz="0" w:space="0" w:color="auto"/>
                    <w:right w:val="none" w:sz="0" w:space="0" w:color="auto"/>
                  </w:divBdr>
                </w:div>
              </w:divsChild>
            </w:div>
            <w:div w:id="1228567603">
              <w:marLeft w:val="0"/>
              <w:marRight w:val="0"/>
              <w:marTop w:val="0"/>
              <w:marBottom w:val="0"/>
              <w:divBdr>
                <w:top w:val="none" w:sz="0" w:space="0" w:color="auto"/>
                <w:left w:val="none" w:sz="0" w:space="0" w:color="auto"/>
                <w:bottom w:val="none" w:sz="0" w:space="0" w:color="auto"/>
                <w:right w:val="none" w:sz="0" w:space="0" w:color="auto"/>
              </w:divBdr>
              <w:divsChild>
                <w:div w:id="451479124">
                  <w:marLeft w:val="0"/>
                  <w:marRight w:val="0"/>
                  <w:marTop w:val="0"/>
                  <w:marBottom w:val="0"/>
                  <w:divBdr>
                    <w:top w:val="none" w:sz="0" w:space="0" w:color="auto"/>
                    <w:left w:val="none" w:sz="0" w:space="0" w:color="auto"/>
                    <w:bottom w:val="none" w:sz="0" w:space="0" w:color="auto"/>
                    <w:right w:val="none" w:sz="0" w:space="0" w:color="auto"/>
                  </w:divBdr>
                </w:div>
              </w:divsChild>
            </w:div>
            <w:div w:id="1707750030">
              <w:marLeft w:val="0"/>
              <w:marRight w:val="0"/>
              <w:marTop w:val="0"/>
              <w:marBottom w:val="0"/>
              <w:divBdr>
                <w:top w:val="none" w:sz="0" w:space="0" w:color="auto"/>
                <w:left w:val="none" w:sz="0" w:space="0" w:color="auto"/>
                <w:bottom w:val="none" w:sz="0" w:space="0" w:color="auto"/>
                <w:right w:val="none" w:sz="0" w:space="0" w:color="auto"/>
              </w:divBdr>
              <w:divsChild>
                <w:div w:id="923413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1042398">
      <w:bodyDiv w:val="1"/>
      <w:marLeft w:val="0"/>
      <w:marRight w:val="0"/>
      <w:marTop w:val="0"/>
      <w:marBottom w:val="0"/>
      <w:divBdr>
        <w:top w:val="none" w:sz="0" w:space="0" w:color="auto"/>
        <w:left w:val="none" w:sz="0" w:space="0" w:color="auto"/>
        <w:bottom w:val="none" w:sz="0" w:space="0" w:color="auto"/>
        <w:right w:val="none" w:sz="0" w:space="0" w:color="auto"/>
      </w:divBdr>
    </w:div>
    <w:div w:id="560941331">
      <w:bodyDiv w:val="1"/>
      <w:marLeft w:val="0"/>
      <w:marRight w:val="0"/>
      <w:marTop w:val="0"/>
      <w:marBottom w:val="0"/>
      <w:divBdr>
        <w:top w:val="none" w:sz="0" w:space="0" w:color="auto"/>
        <w:left w:val="none" w:sz="0" w:space="0" w:color="auto"/>
        <w:bottom w:val="none" w:sz="0" w:space="0" w:color="auto"/>
        <w:right w:val="none" w:sz="0" w:space="0" w:color="auto"/>
      </w:divBdr>
    </w:div>
    <w:div w:id="579410898">
      <w:bodyDiv w:val="1"/>
      <w:marLeft w:val="0"/>
      <w:marRight w:val="0"/>
      <w:marTop w:val="0"/>
      <w:marBottom w:val="0"/>
      <w:divBdr>
        <w:top w:val="none" w:sz="0" w:space="0" w:color="auto"/>
        <w:left w:val="none" w:sz="0" w:space="0" w:color="auto"/>
        <w:bottom w:val="none" w:sz="0" w:space="0" w:color="auto"/>
        <w:right w:val="none" w:sz="0" w:space="0" w:color="auto"/>
      </w:divBdr>
      <w:divsChild>
        <w:div w:id="1593271187">
          <w:marLeft w:val="0"/>
          <w:marRight w:val="0"/>
          <w:marTop w:val="0"/>
          <w:marBottom w:val="0"/>
          <w:divBdr>
            <w:top w:val="none" w:sz="0" w:space="0" w:color="auto"/>
            <w:left w:val="none" w:sz="0" w:space="0" w:color="auto"/>
            <w:bottom w:val="none" w:sz="0" w:space="0" w:color="auto"/>
            <w:right w:val="none" w:sz="0" w:space="0" w:color="auto"/>
          </w:divBdr>
          <w:divsChild>
            <w:div w:id="690571869">
              <w:marLeft w:val="0"/>
              <w:marRight w:val="0"/>
              <w:marTop w:val="0"/>
              <w:marBottom w:val="0"/>
              <w:divBdr>
                <w:top w:val="none" w:sz="0" w:space="0" w:color="auto"/>
                <w:left w:val="none" w:sz="0" w:space="0" w:color="auto"/>
                <w:bottom w:val="none" w:sz="0" w:space="0" w:color="auto"/>
                <w:right w:val="none" w:sz="0" w:space="0" w:color="auto"/>
              </w:divBdr>
              <w:divsChild>
                <w:div w:id="1056396976">
                  <w:marLeft w:val="0"/>
                  <w:marRight w:val="0"/>
                  <w:marTop w:val="0"/>
                  <w:marBottom w:val="0"/>
                  <w:divBdr>
                    <w:top w:val="none" w:sz="0" w:space="0" w:color="auto"/>
                    <w:left w:val="none" w:sz="0" w:space="0" w:color="auto"/>
                    <w:bottom w:val="none" w:sz="0" w:space="0" w:color="auto"/>
                    <w:right w:val="none" w:sz="0" w:space="0" w:color="auto"/>
                  </w:divBdr>
                  <w:divsChild>
                    <w:div w:id="901982346">
                      <w:marLeft w:val="0"/>
                      <w:marRight w:val="0"/>
                      <w:marTop w:val="0"/>
                      <w:marBottom w:val="0"/>
                      <w:divBdr>
                        <w:top w:val="none" w:sz="0" w:space="0" w:color="auto"/>
                        <w:left w:val="none" w:sz="0" w:space="0" w:color="auto"/>
                        <w:bottom w:val="none" w:sz="0" w:space="0" w:color="auto"/>
                        <w:right w:val="none" w:sz="0" w:space="0" w:color="auto"/>
                      </w:divBdr>
                    </w:div>
                  </w:divsChild>
                </w:div>
                <w:div w:id="1113406005">
                  <w:marLeft w:val="0"/>
                  <w:marRight w:val="0"/>
                  <w:marTop w:val="0"/>
                  <w:marBottom w:val="0"/>
                  <w:divBdr>
                    <w:top w:val="none" w:sz="0" w:space="0" w:color="auto"/>
                    <w:left w:val="none" w:sz="0" w:space="0" w:color="auto"/>
                    <w:bottom w:val="none" w:sz="0" w:space="0" w:color="auto"/>
                    <w:right w:val="none" w:sz="0" w:space="0" w:color="auto"/>
                  </w:divBdr>
                  <w:divsChild>
                    <w:div w:id="1823692014">
                      <w:marLeft w:val="0"/>
                      <w:marRight w:val="0"/>
                      <w:marTop w:val="0"/>
                      <w:marBottom w:val="0"/>
                      <w:divBdr>
                        <w:top w:val="none" w:sz="0" w:space="0" w:color="auto"/>
                        <w:left w:val="none" w:sz="0" w:space="0" w:color="auto"/>
                        <w:bottom w:val="none" w:sz="0" w:space="0" w:color="auto"/>
                        <w:right w:val="none" w:sz="0" w:space="0" w:color="auto"/>
                      </w:divBdr>
                    </w:div>
                  </w:divsChild>
                </w:div>
                <w:div w:id="1196776547">
                  <w:marLeft w:val="0"/>
                  <w:marRight w:val="0"/>
                  <w:marTop w:val="0"/>
                  <w:marBottom w:val="0"/>
                  <w:divBdr>
                    <w:top w:val="none" w:sz="0" w:space="0" w:color="auto"/>
                    <w:left w:val="none" w:sz="0" w:space="0" w:color="auto"/>
                    <w:bottom w:val="none" w:sz="0" w:space="0" w:color="auto"/>
                    <w:right w:val="none" w:sz="0" w:space="0" w:color="auto"/>
                  </w:divBdr>
                  <w:divsChild>
                    <w:div w:id="10588256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75614274">
      <w:bodyDiv w:val="1"/>
      <w:marLeft w:val="0"/>
      <w:marRight w:val="0"/>
      <w:marTop w:val="0"/>
      <w:marBottom w:val="0"/>
      <w:divBdr>
        <w:top w:val="none" w:sz="0" w:space="0" w:color="auto"/>
        <w:left w:val="none" w:sz="0" w:space="0" w:color="auto"/>
        <w:bottom w:val="none" w:sz="0" w:space="0" w:color="auto"/>
        <w:right w:val="none" w:sz="0" w:space="0" w:color="auto"/>
      </w:divBdr>
    </w:div>
    <w:div w:id="704018095">
      <w:bodyDiv w:val="1"/>
      <w:marLeft w:val="0"/>
      <w:marRight w:val="0"/>
      <w:marTop w:val="0"/>
      <w:marBottom w:val="0"/>
      <w:divBdr>
        <w:top w:val="none" w:sz="0" w:space="0" w:color="auto"/>
        <w:left w:val="none" w:sz="0" w:space="0" w:color="auto"/>
        <w:bottom w:val="none" w:sz="0" w:space="0" w:color="auto"/>
        <w:right w:val="none" w:sz="0" w:space="0" w:color="auto"/>
      </w:divBdr>
    </w:div>
    <w:div w:id="753087568">
      <w:bodyDiv w:val="1"/>
      <w:marLeft w:val="0"/>
      <w:marRight w:val="0"/>
      <w:marTop w:val="0"/>
      <w:marBottom w:val="0"/>
      <w:divBdr>
        <w:top w:val="none" w:sz="0" w:space="0" w:color="auto"/>
        <w:left w:val="none" w:sz="0" w:space="0" w:color="auto"/>
        <w:bottom w:val="none" w:sz="0" w:space="0" w:color="auto"/>
        <w:right w:val="none" w:sz="0" w:space="0" w:color="auto"/>
      </w:divBdr>
      <w:divsChild>
        <w:div w:id="1905069802">
          <w:marLeft w:val="0"/>
          <w:marRight w:val="0"/>
          <w:marTop w:val="0"/>
          <w:marBottom w:val="0"/>
          <w:divBdr>
            <w:top w:val="none" w:sz="0" w:space="0" w:color="auto"/>
            <w:left w:val="none" w:sz="0" w:space="0" w:color="auto"/>
            <w:bottom w:val="none" w:sz="0" w:space="0" w:color="auto"/>
            <w:right w:val="none" w:sz="0" w:space="0" w:color="auto"/>
          </w:divBdr>
          <w:divsChild>
            <w:div w:id="2111701889">
              <w:marLeft w:val="0"/>
              <w:marRight w:val="0"/>
              <w:marTop w:val="0"/>
              <w:marBottom w:val="0"/>
              <w:divBdr>
                <w:top w:val="none" w:sz="0" w:space="0" w:color="auto"/>
                <w:left w:val="none" w:sz="0" w:space="0" w:color="auto"/>
                <w:bottom w:val="none" w:sz="0" w:space="0" w:color="auto"/>
                <w:right w:val="none" w:sz="0" w:space="0" w:color="auto"/>
              </w:divBdr>
              <w:divsChild>
                <w:div w:id="759331745">
                  <w:marLeft w:val="0"/>
                  <w:marRight w:val="0"/>
                  <w:marTop w:val="0"/>
                  <w:marBottom w:val="0"/>
                  <w:divBdr>
                    <w:top w:val="none" w:sz="0" w:space="0" w:color="auto"/>
                    <w:left w:val="none" w:sz="0" w:space="0" w:color="auto"/>
                    <w:bottom w:val="none" w:sz="0" w:space="0" w:color="auto"/>
                    <w:right w:val="none" w:sz="0" w:space="0" w:color="auto"/>
                  </w:divBdr>
                  <w:divsChild>
                    <w:div w:id="1024672637">
                      <w:marLeft w:val="0"/>
                      <w:marRight w:val="0"/>
                      <w:marTop w:val="0"/>
                      <w:marBottom w:val="0"/>
                      <w:divBdr>
                        <w:top w:val="none" w:sz="0" w:space="0" w:color="auto"/>
                        <w:left w:val="none" w:sz="0" w:space="0" w:color="auto"/>
                        <w:bottom w:val="none" w:sz="0" w:space="0" w:color="auto"/>
                        <w:right w:val="none" w:sz="0" w:space="0" w:color="auto"/>
                      </w:divBdr>
                      <w:divsChild>
                        <w:div w:id="1273315901">
                          <w:marLeft w:val="0"/>
                          <w:marRight w:val="0"/>
                          <w:marTop w:val="0"/>
                          <w:marBottom w:val="0"/>
                          <w:divBdr>
                            <w:top w:val="none" w:sz="0" w:space="0" w:color="auto"/>
                            <w:left w:val="none" w:sz="0" w:space="0" w:color="auto"/>
                            <w:bottom w:val="none" w:sz="0" w:space="0" w:color="auto"/>
                            <w:right w:val="none" w:sz="0" w:space="0" w:color="auto"/>
                          </w:divBdr>
                          <w:divsChild>
                            <w:div w:id="9218398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91831379">
                  <w:marLeft w:val="0"/>
                  <w:marRight w:val="0"/>
                  <w:marTop w:val="0"/>
                  <w:marBottom w:val="0"/>
                  <w:divBdr>
                    <w:top w:val="none" w:sz="0" w:space="0" w:color="auto"/>
                    <w:left w:val="none" w:sz="0" w:space="0" w:color="auto"/>
                    <w:bottom w:val="none" w:sz="0" w:space="0" w:color="auto"/>
                    <w:right w:val="none" w:sz="0" w:space="0" w:color="auto"/>
                  </w:divBdr>
                  <w:divsChild>
                    <w:div w:id="1820808426">
                      <w:marLeft w:val="0"/>
                      <w:marRight w:val="0"/>
                      <w:marTop w:val="0"/>
                      <w:marBottom w:val="0"/>
                      <w:divBdr>
                        <w:top w:val="none" w:sz="0" w:space="0" w:color="auto"/>
                        <w:left w:val="none" w:sz="0" w:space="0" w:color="auto"/>
                        <w:bottom w:val="none" w:sz="0" w:space="0" w:color="auto"/>
                        <w:right w:val="none" w:sz="0" w:space="0" w:color="auto"/>
                      </w:divBdr>
                      <w:divsChild>
                        <w:div w:id="1031032870">
                          <w:marLeft w:val="0"/>
                          <w:marRight w:val="0"/>
                          <w:marTop w:val="0"/>
                          <w:marBottom w:val="0"/>
                          <w:divBdr>
                            <w:top w:val="none" w:sz="0" w:space="0" w:color="auto"/>
                            <w:left w:val="none" w:sz="0" w:space="0" w:color="auto"/>
                            <w:bottom w:val="none" w:sz="0" w:space="0" w:color="auto"/>
                            <w:right w:val="none" w:sz="0" w:space="0" w:color="auto"/>
                          </w:divBdr>
                          <w:divsChild>
                            <w:div w:id="504275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769860833">
      <w:bodyDiv w:val="1"/>
      <w:marLeft w:val="0"/>
      <w:marRight w:val="0"/>
      <w:marTop w:val="0"/>
      <w:marBottom w:val="0"/>
      <w:divBdr>
        <w:top w:val="none" w:sz="0" w:space="0" w:color="auto"/>
        <w:left w:val="none" w:sz="0" w:space="0" w:color="auto"/>
        <w:bottom w:val="none" w:sz="0" w:space="0" w:color="auto"/>
        <w:right w:val="none" w:sz="0" w:space="0" w:color="auto"/>
      </w:divBdr>
      <w:divsChild>
        <w:div w:id="273175842">
          <w:marLeft w:val="0"/>
          <w:marRight w:val="0"/>
          <w:marTop w:val="0"/>
          <w:marBottom w:val="0"/>
          <w:divBdr>
            <w:top w:val="none" w:sz="0" w:space="0" w:color="auto"/>
            <w:left w:val="none" w:sz="0" w:space="0" w:color="auto"/>
            <w:bottom w:val="none" w:sz="0" w:space="0" w:color="auto"/>
            <w:right w:val="none" w:sz="0" w:space="0" w:color="auto"/>
          </w:divBdr>
          <w:divsChild>
            <w:div w:id="1034422753">
              <w:marLeft w:val="0"/>
              <w:marRight w:val="0"/>
              <w:marTop w:val="0"/>
              <w:marBottom w:val="0"/>
              <w:divBdr>
                <w:top w:val="none" w:sz="0" w:space="0" w:color="auto"/>
                <w:left w:val="none" w:sz="0" w:space="0" w:color="auto"/>
                <w:bottom w:val="none" w:sz="0" w:space="0" w:color="auto"/>
                <w:right w:val="none" w:sz="0" w:space="0" w:color="auto"/>
              </w:divBdr>
              <w:divsChild>
                <w:div w:id="2100752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13447963">
      <w:bodyDiv w:val="1"/>
      <w:marLeft w:val="0"/>
      <w:marRight w:val="0"/>
      <w:marTop w:val="0"/>
      <w:marBottom w:val="0"/>
      <w:divBdr>
        <w:top w:val="none" w:sz="0" w:space="0" w:color="auto"/>
        <w:left w:val="none" w:sz="0" w:space="0" w:color="auto"/>
        <w:bottom w:val="none" w:sz="0" w:space="0" w:color="auto"/>
        <w:right w:val="none" w:sz="0" w:space="0" w:color="auto"/>
      </w:divBdr>
      <w:divsChild>
        <w:div w:id="1981838432">
          <w:marLeft w:val="0"/>
          <w:marRight w:val="0"/>
          <w:marTop w:val="0"/>
          <w:marBottom w:val="0"/>
          <w:divBdr>
            <w:top w:val="none" w:sz="0" w:space="0" w:color="auto"/>
            <w:left w:val="none" w:sz="0" w:space="0" w:color="auto"/>
            <w:bottom w:val="none" w:sz="0" w:space="0" w:color="auto"/>
            <w:right w:val="none" w:sz="0" w:space="0" w:color="auto"/>
          </w:divBdr>
          <w:divsChild>
            <w:div w:id="987635994">
              <w:marLeft w:val="0"/>
              <w:marRight w:val="0"/>
              <w:marTop w:val="0"/>
              <w:marBottom w:val="0"/>
              <w:divBdr>
                <w:top w:val="none" w:sz="0" w:space="0" w:color="auto"/>
                <w:left w:val="none" w:sz="0" w:space="0" w:color="auto"/>
                <w:bottom w:val="none" w:sz="0" w:space="0" w:color="auto"/>
                <w:right w:val="none" w:sz="0" w:space="0" w:color="auto"/>
              </w:divBdr>
              <w:divsChild>
                <w:div w:id="2056735804">
                  <w:marLeft w:val="0"/>
                  <w:marRight w:val="0"/>
                  <w:marTop w:val="0"/>
                  <w:marBottom w:val="0"/>
                  <w:divBdr>
                    <w:top w:val="none" w:sz="0" w:space="0" w:color="auto"/>
                    <w:left w:val="none" w:sz="0" w:space="0" w:color="auto"/>
                    <w:bottom w:val="none" w:sz="0" w:space="0" w:color="auto"/>
                    <w:right w:val="none" w:sz="0" w:space="0" w:color="auto"/>
                  </w:divBdr>
                </w:div>
              </w:divsChild>
            </w:div>
            <w:div w:id="1067654092">
              <w:marLeft w:val="0"/>
              <w:marRight w:val="0"/>
              <w:marTop w:val="0"/>
              <w:marBottom w:val="0"/>
              <w:divBdr>
                <w:top w:val="none" w:sz="0" w:space="0" w:color="auto"/>
                <w:left w:val="none" w:sz="0" w:space="0" w:color="auto"/>
                <w:bottom w:val="none" w:sz="0" w:space="0" w:color="auto"/>
                <w:right w:val="none" w:sz="0" w:space="0" w:color="auto"/>
              </w:divBdr>
              <w:divsChild>
                <w:div w:id="33118793">
                  <w:marLeft w:val="0"/>
                  <w:marRight w:val="0"/>
                  <w:marTop w:val="0"/>
                  <w:marBottom w:val="0"/>
                  <w:divBdr>
                    <w:top w:val="none" w:sz="0" w:space="0" w:color="auto"/>
                    <w:left w:val="none" w:sz="0" w:space="0" w:color="auto"/>
                    <w:bottom w:val="none" w:sz="0" w:space="0" w:color="auto"/>
                    <w:right w:val="none" w:sz="0" w:space="0" w:color="auto"/>
                  </w:divBdr>
                </w:div>
              </w:divsChild>
            </w:div>
            <w:div w:id="1528133634">
              <w:marLeft w:val="0"/>
              <w:marRight w:val="0"/>
              <w:marTop w:val="0"/>
              <w:marBottom w:val="0"/>
              <w:divBdr>
                <w:top w:val="none" w:sz="0" w:space="0" w:color="auto"/>
                <w:left w:val="none" w:sz="0" w:space="0" w:color="auto"/>
                <w:bottom w:val="none" w:sz="0" w:space="0" w:color="auto"/>
                <w:right w:val="none" w:sz="0" w:space="0" w:color="auto"/>
              </w:divBdr>
              <w:divsChild>
                <w:div w:id="19261131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85409452">
      <w:bodyDiv w:val="1"/>
      <w:marLeft w:val="0"/>
      <w:marRight w:val="0"/>
      <w:marTop w:val="0"/>
      <w:marBottom w:val="0"/>
      <w:divBdr>
        <w:top w:val="none" w:sz="0" w:space="0" w:color="auto"/>
        <w:left w:val="none" w:sz="0" w:space="0" w:color="auto"/>
        <w:bottom w:val="none" w:sz="0" w:space="0" w:color="auto"/>
        <w:right w:val="none" w:sz="0" w:space="0" w:color="auto"/>
      </w:divBdr>
      <w:divsChild>
        <w:div w:id="941842920">
          <w:marLeft w:val="0"/>
          <w:marRight w:val="0"/>
          <w:marTop w:val="0"/>
          <w:marBottom w:val="0"/>
          <w:divBdr>
            <w:top w:val="none" w:sz="0" w:space="0" w:color="auto"/>
            <w:left w:val="none" w:sz="0" w:space="0" w:color="auto"/>
            <w:bottom w:val="none" w:sz="0" w:space="0" w:color="auto"/>
            <w:right w:val="none" w:sz="0" w:space="0" w:color="auto"/>
          </w:divBdr>
          <w:divsChild>
            <w:div w:id="628434861">
              <w:marLeft w:val="0"/>
              <w:marRight w:val="0"/>
              <w:marTop w:val="0"/>
              <w:marBottom w:val="0"/>
              <w:divBdr>
                <w:top w:val="none" w:sz="0" w:space="0" w:color="auto"/>
                <w:left w:val="none" w:sz="0" w:space="0" w:color="auto"/>
                <w:bottom w:val="none" w:sz="0" w:space="0" w:color="auto"/>
                <w:right w:val="none" w:sz="0" w:space="0" w:color="auto"/>
              </w:divBdr>
              <w:divsChild>
                <w:div w:id="712970319">
                  <w:marLeft w:val="0"/>
                  <w:marRight w:val="0"/>
                  <w:marTop w:val="0"/>
                  <w:marBottom w:val="0"/>
                  <w:divBdr>
                    <w:top w:val="none" w:sz="0" w:space="0" w:color="auto"/>
                    <w:left w:val="none" w:sz="0" w:space="0" w:color="auto"/>
                    <w:bottom w:val="none" w:sz="0" w:space="0" w:color="auto"/>
                    <w:right w:val="none" w:sz="0" w:space="0" w:color="auto"/>
                  </w:divBdr>
                  <w:divsChild>
                    <w:div w:id="1549801688">
                      <w:marLeft w:val="0"/>
                      <w:marRight w:val="0"/>
                      <w:marTop w:val="0"/>
                      <w:marBottom w:val="0"/>
                      <w:divBdr>
                        <w:top w:val="none" w:sz="0" w:space="0" w:color="auto"/>
                        <w:left w:val="none" w:sz="0" w:space="0" w:color="auto"/>
                        <w:bottom w:val="none" w:sz="0" w:space="0" w:color="auto"/>
                        <w:right w:val="none" w:sz="0" w:space="0" w:color="auto"/>
                      </w:divBdr>
                      <w:divsChild>
                        <w:div w:id="1921138705">
                          <w:marLeft w:val="0"/>
                          <w:marRight w:val="0"/>
                          <w:marTop w:val="0"/>
                          <w:marBottom w:val="0"/>
                          <w:divBdr>
                            <w:top w:val="none" w:sz="0" w:space="0" w:color="auto"/>
                            <w:left w:val="none" w:sz="0" w:space="0" w:color="auto"/>
                            <w:bottom w:val="none" w:sz="0" w:space="0" w:color="auto"/>
                            <w:right w:val="none" w:sz="0" w:space="0" w:color="auto"/>
                          </w:divBdr>
                          <w:divsChild>
                            <w:div w:id="19971459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907155702">
      <w:bodyDiv w:val="1"/>
      <w:marLeft w:val="0"/>
      <w:marRight w:val="0"/>
      <w:marTop w:val="0"/>
      <w:marBottom w:val="0"/>
      <w:divBdr>
        <w:top w:val="none" w:sz="0" w:space="0" w:color="auto"/>
        <w:left w:val="none" w:sz="0" w:space="0" w:color="auto"/>
        <w:bottom w:val="none" w:sz="0" w:space="0" w:color="auto"/>
        <w:right w:val="none" w:sz="0" w:space="0" w:color="auto"/>
      </w:divBdr>
    </w:div>
    <w:div w:id="908926292">
      <w:bodyDiv w:val="1"/>
      <w:marLeft w:val="0"/>
      <w:marRight w:val="0"/>
      <w:marTop w:val="0"/>
      <w:marBottom w:val="0"/>
      <w:divBdr>
        <w:top w:val="none" w:sz="0" w:space="0" w:color="auto"/>
        <w:left w:val="none" w:sz="0" w:space="0" w:color="auto"/>
        <w:bottom w:val="none" w:sz="0" w:space="0" w:color="auto"/>
        <w:right w:val="none" w:sz="0" w:space="0" w:color="auto"/>
      </w:divBdr>
    </w:div>
    <w:div w:id="931233306">
      <w:bodyDiv w:val="1"/>
      <w:marLeft w:val="0"/>
      <w:marRight w:val="0"/>
      <w:marTop w:val="0"/>
      <w:marBottom w:val="0"/>
      <w:divBdr>
        <w:top w:val="none" w:sz="0" w:space="0" w:color="auto"/>
        <w:left w:val="none" w:sz="0" w:space="0" w:color="auto"/>
        <w:bottom w:val="none" w:sz="0" w:space="0" w:color="auto"/>
        <w:right w:val="none" w:sz="0" w:space="0" w:color="auto"/>
      </w:divBdr>
      <w:divsChild>
        <w:div w:id="306327547">
          <w:marLeft w:val="0"/>
          <w:marRight w:val="0"/>
          <w:marTop w:val="0"/>
          <w:marBottom w:val="0"/>
          <w:divBdr>
            <w:top w:val="none" w:sz="0" w:space="0" w:color="auto"/>
            <w:left w:val="none" w:sz="0" w:space="0" w:color="auto"/>
            <w:bottom w:val="none" w:sz="0" w:space="0" w:color="auto"/>
            <w:right w:val="none" w:sz="0" w:space="0" w:color="auto"/>
          </w:divBdr>
          <w:divsChild>
            <w:div w:id="790132273">
              <w:marLeft w:val="0"/>
              <w:marRight w:val="0"/>
              <w:marTop w:val="0"/>
              <w:marBottom w:val="0"/>
              <w:divBdr>
                <w:top w:val="none" w:sz="0" w:space="0" w:color="auto"/>
                <w:left w:val="none" w:sz="0" w:space="0" w:color="auto"/>
                <w:bottom w:val="none" w:sz="0" w:space="0" w:color="auto"/>
                <w:right w:val="none" w:sz="0" w:space="0" w:color="auto"/>
              </w:divBdr>
              <w:divsChild>
                <w:div w:id="1285161602">
                  <w:marLeft w:val="0"/>
                  <w:marRight w:val="0"/>
                  <w:marTop w:val="0"/>
                  <w:marBottom w:val="0"/>
                  <w:divBdr>
                    <w:top w:val="none" w:sz="0" w:space="0" w:color="auto"/>
                    <w:left w:val="none" w:sz="0" w:space="0" w:color="auto"/>
                    <w:bottom w:val="none" w:sz="0" w:space="0" w:color="auto"/>
                    <w:right w:val="none" w:sz="0" w:space="0" w:color="auto"/>
                  </w:divBdr>
                </w:div>
              </w:divsChild>
            </w:div>
            <w:div w:id="1259211413">
              <w:marLeft w:val="0"/>
              <w:marRight w:val="0"/>
              <w:marTop w:val="0"/>
              <w:marBottom w:val="0"/>
              <w:divBdr>
                <w:top w:val="none" w:sz="0" w:space="0" w:color="auto"/>
                <w:left w:val="none" w:sz="0" w:space="0" w:color="auto"/>
                <w:bottom w:val="none" w:sz="0" w:space="0" w:color="auto"/>
                <w:right w:val="none" w:sz="0" w:space="0" w:color="auto"/>
              </w:divBdr>
              <w:divsChild>
                <w:div w:id="17969422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79457386">
      <w:bodyDiv w:val="1"/>
      <w:marLeft w:val="0"/>
      <w:marRight w:val="0"/>
      <w:marTop w:val="0"/>
      <w:marBottom w:val="0"/>
      <w:divBdr>
        <w:top w:val="none" w:sz="0" w:space="0" w:color="auto"/>
        <w:left w:val="none" w:sz="0" w:space="0" w:color="auto"/>
        <w:bottom w:val="none" w:sz="0" w:space="0" w:color="auto"/>
        <w:right w:val="none" w:sz="0" w:space="0" w:color="auto"/>
      </w:divBdr>
    </w:div>
    <w:div w:id="1012073837">
      <w:bodyDiv w:val="1"/>
      <w:marLeft w:val="0"/>
      <w:marRight w:val="0"/>
      <w:marTop w:val="0"/>
      <w:marBottom w:val="0"/>
      <w:divBdr>
        <w:top w:val="none" w:sz="0" w:space="0" w:color="auto"/>
        <w:left w:val="none" w:sz="0" w:space="0" w:color="auto"/>
        <w:bottom w:val="none" w:sz="0" w:space="0" w:color="auto"/>
        <w:right w:val="none" w:sz="0" w:space="0" w:color="auto"/>
      </w:divBdr>
    </w:div>
    <w:div w:id="1064256826">
      <w:bodyDiv w:val="1"/>
      <w:marLeft w:val="0"/>
      <w:marRight w:val="0"/>
      <w:marTop w:val="0"/>
      <w:marBottom w:val="0"/>
      <w:divBdr>
        <w:top w:val="none" w:sz="0" w:space="0" w:color="auto"/>
        <w:left w:val="none" w:sz="0" w:space="0" w:color="auto"/>
        <w:bottom w:val="none" w:sz="0" w:space="0" w:color="auto"/>
        <w:right w:val="none" w:sz="0" w:space="0" w:color="auto"/>
      </w:divBdr>
    </w:div>
    <w:div w:id="1146969573">
      <w:bodyDiv w:val="1"/>
      <w:marLeft w:val="0"/>
      <w:marRight w:val="0"/>
      <w:marTop w:val="0"/>
      <w:marBottom w:val="0"/>
      <w:divBdr>
        <w:top w:val="none" w:sz="0" w:space="0" w:color="auto"/>
        <w:left w:val="none" w:sz="0" w:space="0" w:color="auto"/>
        <w:bottom w:val="none" w:sz="0" w:space="0" w:color="auto"/>
        <w:right w:val="none" w:sz="0" w:space="0" w:color="auto"/>
      </w:divBdr>
    </w:div>
    <w:div w:id="1157503373">
      <w:bodyDiv w:val="1"/>
      <w:marLeft w:val="0"/>
      <w:marRight w:val="0"/>
      <w:marTop w:val="0"/>
      <w:marBottom w:val="0"/>
      <w:divBdr>
        <w:top w:val="none" w:sz="0" w:space="0" w:color="auto"/>
        <w:left w:val="none" w:sz="0" w:space="0" w:color="auto"/>
        <w:bottom w:val="none" w:sz="0" w:space="0" w:color="auto"/>
        <w:right w:val="none" w:sz="0" w:space="0" w:color="auto"/>
      </w:divBdr>
      <w:divsChild>
        <w:div w:id="1852912642">
          <w:marLeft w:val="0"/>
          <w:marRight w:val="0"/>
          <w:marTop w:val="0"/>
          <w:marBottom w:val="0"/>
          <w:divBdr>
            <w:top w:val="none" w:sz="0" w:space="0" w:color="auto"/>
            <w:left w:val="none" w:sz="0" w:space="0" w:color="auto"/>
            <w:bottom w:val="none" w:sz="0" w:space="0" w:color="auto"/>
            <w:right w:val="none" w:sz="0" w:space="0" w:color="auto"/>
          </w:divBdr>
          <w:divsChild>
            <w:div w:id="1217013796">
              <w:marLeft w:val="0"/>
              <w:marRight w:val="0"/>
              <w:marTop w:val="0"/>
              <w:marBottom w:val="0"/>
              <w:divBdr>
                <w:top w:val="none" w:sz="0" w:space="0" w:color="auto"/>
                <w:left w:val="none" w:sz="0" w:space="0" w:color="auto"/>
                <w:bottom w:val="none" w:sz="0" w:space="0" w:color="auto"/>
                <w:right w:val="none" w:sz="0" w:space="0" w:color="auto"/>
              </w:divBdr>
              <w:divsChild>
                <w:div w:id="688028385">
                  <w:marLeft w:val="0"/>
                  <w:marRight w:val="0"/>
                  <w:marTop w:val="0"/>
                  <w:marBottom w:val="0"/>
                  <w:divBdr>
                    <w:top w:val="none" w:sz="0" w:space="0" w:color="auto"/>
                    <w:left w:val="none" w:sz="0" w:space="0" w:color="auto"/>
                    <w:bottom w:val="none" w:sz="0" w:space="0" w:color="auto"/>
                    <w:right w:val="none" w:sz="0" w:space="0" w:color="auto"/>
                  </w:divBdr>
                </w:div>
              </w:divsChild>
            </w:div>
            <w:div w:id="1877741635">
              <w:marLeft w:val="0"/>
              <w:marRight w:val="0"/>
              <w:marTop w:val="0"/>
              <w:marBottom w:val="0"/>
              <w:divBdr>
                <w:top w:val="none" w:sz="0" w:space="0" w:color="auto"/>
                <w:left w:val="none" w:sz="0" w:space="0" w:color="auto"/>
                <w:bottom w:val="none" w:sz="0" w:space="0" w:color="auto"/>
                <w:right w:val="none" w:sz="0" w:space="0" w:color="auto"/>
              </w:divBdr>
              <w:divsChild>
                <w:div w:id="2014454099">
                  <w:marLeft w:val="0"/>
                  <w:marRight w:val="0"/>
                  <w:marTop w:val="0"/>
                  <w:marBottom w:val="0"/>
                  <w:divBdr>
                    <w:top w:val="none" w:sz="0" w:space="0" w:color="auto"/>
                    <w:left w:val="none" w:sz="0" w:space="0" w:color="auto"/>
                    <w:bottom w:val="none" w:sz="0" w:space="0" w:color="auto"/>
                    <w:right w:val="none" w:sz="0" w:space="0" w:color="auto"/>
                  </w:divBdr>
                </w:div>
              </w:divsChild>
            </w:div>
            <w:div w:id="2003190807">
              <w:marLeft w:val="0"/>
              <w:marRight w:val="0"/>
              <w:marTop w:val="0"/>
              <w:marBottom w:val="0"/>
              <w:divBdr>
                <w:top w:val="none" w:sz="0" w:space="0" w:color="auto"/>
                <w:left w:val="none" w:sz="0" w:space="0" w:color="auto"/>
                <w:bottom w:val="none" w:sz="0" w:space="0" w:color="auto"/>
                <w:right w:val="none" w:sz="0" w:space="0" w:color="auto"/>
              </w:divBdr>
              <w:divsChild>
                <w:div w:id="2133278911">
                  <w:marLeft w:val="0"/>
                  <w:marRight w:val="0"/>
                  <w:marTop w:val="0"/>
                  <w:marBottom w:val="0"/>
                  <w:divBdr>
                    <w:top w:val="none" w:sz="0" w:space="0" w:color="auto"/>
                    <w:left w:val="none" w:sz="0" w:space="0" w:color="auto"/>
                    <w:bottom w:val="none" w:sz="0" w:space="0" w:color="auto"/>
                    <w:right w:val="none" w:sz="0" w:space="0" w:color="auto"/>
                  </w:divBdr>
                </w:div>
              </w:divsChild>
            </w:div>
            <w:div w:id="2104297820">
              <w:marLeft w:val="0"/>
              <w:marRight w:val="0"/>
              <w:marTop w:val="0"/>
              <w:marBottom w:val="0"/>
              <w:divBdr>
                <w:top w:val="none" w:sz="0" w:space="0" w:color="auto"/>
                <w:left w:val="none" w:sz="0" w:space="0" w:color="auto"/>
                <w:bottom w:val="none" w:sz="0" w:space="0" w:color="auto"/>
                <w:right w:val="none" w:sz="0" w:space="0" w:color="auto"/>
              </w:divBdr>
              <w:divsChild>
                <w:div w:id="951399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4807072">
      <w:bodyDiv w:val="1"/>
      <w:marLeft w:val="0"/>
      <w:marRight w:val="0"/>
      <w:marTop w:val="0"/>
      <w:marBottom w:val="0"/>
      <w:divBdr>
        <w:top w:val="none" w:sz="0" w:space="0" w:color="auto"/>
        <w:left w:val="none" w:sz="0" w:space="0" w:color="auto"/>
        <w:bottom w:val="none" w:sz="0" w:space="0" w:color="auto"/>
        <w:right w:val="none" w:sz="0" w:space="0" w:color="auto"/>
      </w:divBdr>
    </w:div>
    <w:div w:id="1183784118">
      <w:bodyDiv w:val="1"/>
      <w:marLeft w:val="0"/>
      <w:marRight w:val="0"/>
      <w:marTop w:val="0"/>
      <w:marBottom w:val="0"/>
      <w:divBdr>
        <w:top w:val="none" w:sz="0" w:space="0" w:color="auto"/>
        <w:left w:val="none" w:sz="0" w:space="0" w:color="auto"/>
        <w:bottom w:val="none" w:sz="0" w:space="0" w:color="auto"/>
        <w:right w:val="none" w:sz="0" w:space="0" w:color="auto"/>
      </w:divBdr>
      <w:divsChild>
        <w:div w:id="90973422">
          <w:marLeft w:val="0"/>
          <w:marRight w:val="0"/>
          <w:marTop w:val="0"/>
          <w:marBottom w:val="0"/>
          <w:divBdr>
            <w:top w:val="none" w:sz="0" w:space="0" w:color="auto"/>
            <w:left w:val="none" w:sz="0" w:space="0" w:color="auto"/>
            <w:bottom w:val="none" w:sz="0" w:space="0" w:color="auto"/>
            <w:right w:val="none" w:sz="0" w:space="0" w:color="auto"/>
          </w:divBdr>
          <w:divsChild>
            <w:div w:id="1261716530">
              <w:marLeft w:val="0"/>
              <w:marRight w:val="0"/>
              <w:marTop w:val="0"/>
              <w:marBottom w:val="0"/>
              <w:divBdr>
                <w:top w:val="none" w:sz="0" w:space="0" w:color="auto"/>
                <w:left w:val="none" w:sz="0" w:space="0" w:color="auto"/>
                <w:bottom w:val="none" w:sz="0" w:space="0" w:color="auto"/>
                <w:right w:val="none" w:sz="0" w:space="0" w:color="auto"/>
              </w:divBdr>
              <w:divsChild>
                <w:div w:id="645819184">
                  <w:marLeft w:val="0"/>
                  <w:marRight w:val="0"/>
                  <w:marTop w:val="0"/>
                  <w:marBottom w:val="0"/>
                  <w:divBdr>
                    <w:top w:val="none" w:sz="0" w:space="0" w:color="auto"/>
                    <w:left w:val="none" w:sz="0" w:space="0" w:color="auto"/>
                    <w:bottom w:val="none" w:sz="0" w:space="0" w:color="auto"/>
                    <w:right w:val="none" w:sz="0" w:space="0" w:color="auto"/>
                  </w:divBdr>
                </w:div>
              </w:divsChild>
            </w:div>
            <w:div w:id="1328052119">
              <w:marLeft w:val="0"/>
              <w:marRight w:val="0"/>
              <w:marTop w:val="0"/>
              <w:marBottom w:val="0"/>
              <w:divBdr>
                <w:top w:val="none" w:sz="0" w:space="0" w:color="auto"/>
                <w:left w:val="none" w:sz="0" w:space="0" w:color="auto"/>
                <w:bottom w:val="none" w:sz="0" w:space="0" w:color="auto"/>
                <w:right w:val="none" w:sz="0" w:space="0" w:color="auto"/>
              </w:divBdr>
              <w:divsChild>
                <w:div w:id="1280183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6863255">
      <w:bodyDiv w:val="1"/>
      <w:marLeft w:val="0"/>
      <w:marRight w:val="0"/>
      <w:marTop w:val="0"/>
      <w:marBottom w:val="0"/>
      <w:divBdr>
        <w:top w:val="none" w:sz="0" w:space="0" w:color="auto"/>
        <w:left w:val="none" w:sz="0" w:space="0" w:color="auto"/>
        <w:bottom w:val="none" w:sz="0" w:space="0" w:color="auto"/>
        <w:right w:val="none" w:sz="0" w:space="0" w:color="auto"/>
      </w:divBdr>
      <w:divsChild>
        <w:div w:id="963341341">
          <w:marLeft w:val="0"/>
          <w:marRight w:val="0"/>
          <w:marTop w:val="0"/>
          <w:marBottom w:val="0"/>
          <w:divBdr>
            <w:top w:val="none" w:sz="0" w:space="0" w:color="auto"/>
            <w:left w:val="none" w:sz="0" w:space="0" w:color="auto"/>
            <w:bottom w:val="none" w:sz="0" w:space="0" w:color="auto"/>
            <w:right w:val="none" w:sz="0" w:space="0" w:color="auto"/>
          </w:divBdr>
          <w:divsChild>
            <w:div w:id="318505811">
              <w:marLeft w:val="0"/>
              <w:marRight w:val="0"/>
              <w:marTop w:val="0"/>
              <w:marBottom w:val="0"/>
              <w:divBdr>
                <w:top w:val="none" w:sz="0" w:space="0" w:color="auto"/>
                <w:left w:val="none" w:sz="0" w:space="0" w:color="auto"/>
                <w:bottom w:val="none" w:sz="0" w:space="0" w:color="auto"/>
                <w:right w:val="none" w:sz="0" w:space="0" w:color="auto"/>
              </w:divBdr>
              <w:divsChild>
                <w:div w:id="462817551">
                  <w:marLeft w:val="0"/>
                  <w:marRight w:val="0"/>
                  <w:marTop w:val="0"/>
                  <w:marBottom w:val="0"/>
                  <w:divBdr>
                    <w:top w:val="none" w:sz="0" w:space="0" w:color="auto"/>
                    <w:left w:val="none" w:sz="0" w:space="0" w:color="auto"/>
                    <w:bottom w:val="none" w:sz="0" w:space="0" w:color="auto"/>
                    <w:right w:val="none" w:sz="0" w:space="0" w:color="auto"/>
                  </w:divBdr>
                </w:div>
              </w:divsChild>
            </w:div>
            <w:div w:id="2111771948">
              <w:marLeft w:val="0"/>
              <w:marRight w:val="0"/>
              <w:marTop w:val="0"/>
              <w:marBottom w:val="0"/>
              <w:divBdr>
                <w:top w:val="none" w:sz="0" w:space="0" w:color="auto"/>
                <w:left w:val="none" w:sz="0" w:space="0" w:color="auto"/>
                <w:bottom w:val="none" w:sz="0" w:space="0" w:color="auto"/>
                <w:right w:val="none" w:sz="0" w:space="0" w:color="auto"/>
              </w:divBdr>
              <w:divsChild>
                <w:div w:id="4125525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58051687">
      <w:bodyDiv w:val="1"/>
      <w:marLeft w:val="0"/>
      <w:marRight w:val="0"/>
      <w:marTop w:val="0"/>
      <w:marBottom w:val="0"/>
      <w:divBdr>
        <w:top w:val="none" w:sz="0" w:space="0" w:color="auto"/>
        <w:left w:val="none" w:sz="0" w:space="0" w:color="auto"/>
        <w:bottom w:val="none" w:sz="0" w:space="0" w:color="auto"/>
        <w:right w:val="none" w:sz="0" w:space="0" w:color="auto"/>
      </w:divBdr>
      <w:divsChild>
        <w:div w:id="1704016992">
          <w:marLeft w:val="0"/>
          <w:marRight w:val="0"/>
          <w:marTop w:val="0"/>
          <w:marBottom w:val="0"/>
          <w:divBdr>
            <w:top w:val="none" w:sz="0" w:space="0" w:color="auto"/>
            <w:left w:val="none" w:sz="0" w:space="0" w:color="auto"/>
            <w:bottom w:val="none" w:sz="0" w:space="0" w:color="auto"/>
            <w:right w:val="none" w:sz="0" w:space="0" w:color="auto"/>
          </w:divBdr>
          <w:divsChild>
            <w:div w:id="1446657970">
              <w:marLeft w:val="0"/>
              <w:marRight w:val="0"/>
              <w:marTop w:val="0"/>
              <w:marBottom w:val="0"/>
              <w:divBdr>
                <w:top w:val="none" w:sz="0" w:space="0" w:color="auto"/>
                <w:left w:val="none" w:sz="0" w:space="0" w:color="auto"/>
                <w:bottom w:val="none" w:sz="0" w:space="0" w:color="auto"/>
                <w:right w:val="none" w:sz="0" w:space="0" w:color="auto"/>
              </w:divBdr>
              <w:divsChild>
                <w:div w:id="1859541811">
                  <w:marLeft w:val="0"/>
                  <w:marRight w:val="0"/>
                  <w:marTop w:val="0"/>
                  <w:marBottom w:val="0"/>
                  <w:divBdr>
                    <w:top w:val="none" w:sz="0" w:space="0" w:color="auto"/>
                    <w:left w:val="none" w:sz="0" w:space="0" w:color="auto"/>
                    <w:bottom w:val="none" w:sz="0" w:space="0" w:color="auto"/>
                    <w:right w:val="none" w:sz="0" w:space="0" w:color="auto"/>
                  </w:divBdr>
                </w:div>
              </w:divsChild>
            </w:div>
            <w:div w:id="1620334340">
              <w:marLeft w:val="0"/>
              <w:marRight w:val="0"/>
              <w:marTop w:val="0"/>
              <w:marBottom w:val="0"/>
              <w:divBdr>
                <w:top w:val="none" w:sz="0" w:space="0" w:color="auto"/>
                <w:left w:val="none" w:sz="0" w:space="0" w:color="auto"/>
                <w:bottom w:val="none" w:sz="0" w:space="0" w:color="auto"/>
                <w:right w:val="none" w:sz="0" w:space="0" w:color="auto"/>
              </w:divBdr>
              <w:divsChild>
                <w:div w:id="525946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62177356">
      <w:bodyDiv w:val="1"/>
      <w:marLeft w:val="0"/>
      <w:marRight w:val="0"/>
      <w:marTop w:val="0"/>
      <w:marBottom w:val="0"/>
      <w:divBdr>
        <w:top w:val="none" w:sz="0" w:space="0" w:color="auto"/>
        <w:left w:val="none" w:sz="0" w:space="0" w:color="auto"/>
        <w:bottom w:val="none" w:sz="0" w:space="0" w:color="auto"/>
        <w:right w:val="none" w:sz="0" w:space="0" w:color="auto"/>
      </w:divBdr>
      <w:divsChild>
        <w:div w:id="1200897771">
          <w:marLeft w:val="0"/>
          <w:marRight w:val="0"/>
          <w:marTop w:val="0"/>
          <w:marBottom w:val="0"/>
          <w:divBdr>
            <w:top w:val="none" w:sz="0" w:space="0" w:color="auto"/>
            <w:left w:val="none" w:sz="0" w:space="0" w:color="auto"/>
            <w:bottom w:val="none" w:sz="0" w:space="0" w:color="auto"/>
            <w:right w:val="none" w:sz="0" w:space="0" w:color="auto"/>
          </w:divBdr>
          <w:divsChild>
            <w:div w:id="522669707">
              <w:marLeft w:val="0"/>
              <w:marRight w:val="0"/>
              <w:marTop w:val="0"/>
              <w:marBottom w:val="0"/>
              <w:divBdr>
                <w:top w:val="none" w:sz="0" w:space="0" w:color="auto"/>
                <w:left w:val="none" w:sz="0" w:space="0" w:color="auto"/>
                <w:bottom w:val="none" w:sz="0" w:space="0" w:color="auto"/>
                <w:right w:val="none" w:sz="0" w:space="0" w:color="auto"/>
              </w:divBdr>
              <w:divsChild>
                <w:div w:id="448355472">
                  <w:marLeft w:val="0"/>
                  <w:marRight w:val="0"/>
                  <w:marTop w:val="0"/>
                  <w:marBottom w:val="0"/>
                  <w:divBdr>
                    <w:top w:val="none" w:sz="0" w:space="0" w:color="auto"/>
                    <w:left w:val="none" w:sz="0" w:space="0" w:color="auto"/>
                    <w:bottom w:val="none" w:sz="0" w:space="0" w:color="auto"/>
                    <w:right w:val="none" w:sz="0" w:space="0" w:color="auto"/>
                  </w:divBdr>
                  <w:divsChild>
                    <w:div w:id="1838030307">
                      <w:marLeft w:val="0"/>
                      <w:marRight w:val="0"/>
                      <w:marTop w:val="0"/>
                      <w:marBottom w:val="0"/>
                      <w:divBdr>
                        <w:top w:val="none" w:sz="0" w:space="0" w:color="auto"/>
                        <w:left w:val="none" w:sz="0" w:space="0" w:color="auto"/>
                        <w:bottom w:val="none" w:sz="0" w:space="0" w:color="auto"/>
                        <w:right w:val="none" w:sz="0" w:space="0" w:color="auto"/>
                      </w:divBdr>
                    </w:div>
                  </w:divsChild>
                </w:div>
                <w:div w:id="1596203857">
                  <w:marLeft w:val="0"/>
                  <w:marRight w:val="0"/>
                  <w:marTop w:val="0"/>
                  <w:marBottom w:val="0"/>
                  <w:divBdr>
                    <w:top w:val="none" w:sz="0" w:space="0" w:color="auto"/>
                    <w:left w:val="none" w:sz="0" w:space="0" w:color="auto"/>
                    <w:bottom w:val="none" w:sz="0" w:space="0" w:color="auto"/>
                    <w:right w:val="none" w:sz="0" w:space="0" w:color="auto"/>
                  </w:divBdr>
                  <w:divsChild>
                    <w:div w:id="21180153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87154896">
      <w:bodyDiv w:val="1"/>
      <w:marLeft w:val="0"/>
      <w:marRight w:val="0"/>
      <w:marTop w:val="0"/>
      <w:marBottom w:val="0"/>
      <w:divBdr>
        <w:top w:val="none" w:sz="0" w:space="0" w:color="auto"/>
        <w:left w:val="none" w:sz="0" w:space="0" w:color="auto"/>
        <w:bottom w:val="none" w:sz="0" w:space="0" w:color="auto"/>
        <w:right w:val="none" w:sz="0" w:space="0" w:color="auto"/>
      </w:divBdr>
    </w:div>
    <w:div w:id="1320504193">
      <w:bodyDiv w:val="1"/>
      <w:marLeft w:val="0"/>
      <w:marRight w:val="0"/>
      <w:marTop w:val="0"/>
      <w:marBottom w:val="0"/>
      <w:divBdr>
        <w:top w:val="none" w:sz="0" w:space="0" w:color="auto"/>
        <w:left w:val="none" w:sz="0" w:space="0" w:color="auto"/>
        <w:bottom w:val="none" w:sz="0" w:space="0" w:color="auto"/>
        <w:right w:val="none" w:sz="0" w:space="0" w:color="auto"/>
      </w:divBdr>
    </w:div>
    <w:div w:id="1452094073">
      <w:bodyDiv w:val="1"/>
      <w:marLeft w:val="0"/>
      <w:marRight w:val="0"/>
      <w:marTop w:val="0"/>
      <w:marBottom w:val="0"/>
      <w:divBdr>
        <w:top w:val="none" w:sz="0" w:space="0" w:color="auto"/>
        <w:left w:val="none" w:sz="0" w:space="0" w:color="auto"/>
        <w:bottom w:val="none" w:sz="0" w:space="0" w:color="auto"/>
        <w:right w:val="none" w:sz="0" w:space="0" w:color="auto"/>
      </w:divBdr>
    </w:div>
    <w:div w:id="1497040314">
      <w:bodyDiv w:val="1"/>
      <w:marLeft w:val="0"/>
      <w:marRight w:val="0"/>
      <w:marTop w:val="0"/>
      <w:marBottom w:val="0"/>
      <w:divBdr>
        <w:top w:val="none" w:sz="0" w:space="0" w:color="auto"/>
        <w:left w:val="none" w:sz="0" w:space="0" w:color="auto"/>
        <w:bottom w:val="none" w:sz="0" w:space="0" w:color="auto"/>
        <w:right w:val="none" w:sz="0" w:space="0" w:color="auto"/>
      </w:divBdr>
    </w:div>
    <w:div w:id="1517039309">
      <w:bodyDiv w:val="1"/>
      <w:marLeft w:val="0"/>
      <w:marRight w:val="0"/>
      <w:marTop w:val="0"/>
      <w:marBottom w:val="0"/>
      <w:divBdr>
        <w:top w:val="none" w:sz="0" w:space="0" w:color="auto"/>
        <w:left w:val="none" w:sz="0" w:space="0" w:color="auto"/>
        <w:bottom w:val="none" w:sz="0" w:space="0" w:color="auto"/>
        <w:right w:val="none" w:sz="0" w:space="0" w:color="auto"/>
      </w:divBdr>
    </w:div>
    <w:div w:id="1678775134">
      <w:bodyDiv w:val="1"/>
      <w:marLeft w:val="0"/>
      <w:marRight w:val="0"/>
      <w:marTop w:val="0"/>
      <w:marBottom w:val="0"/>
      <w:divBdr>
        <w:top w:val="none" w:sz="0" w:space="0" w:color="auto"/>
        <w:left w:val="none" w:sz="0" w:space="0" w:color="auto"/>
        <w:bottom w:val="none" w:sz="0" w:space="0" w:color="auto"/>
        <w:right w:val="none" w:sz="0" w:space="0" w:color="auto"/>
      </w:divBdr>
    </w:div>
    <w:div w:id="1724064552">
      <w:bodyDiv w:val="1"/>
      <w:marLeft w:val="0"/>
      <w:marRight w:val="0"/>
      <w:marTop w:val="0"/>
      <w:marBottom w:val="0"/>
      <w:divBdr>
        <w:top w:val="none" w:sz="0" w:space="0" w:color="auto"/>
        <w:left w:val="none" w:sz="0" w:space="0" w:color="auto"/>
        <w:bottom w:val="none" w:sz="0" w:space="0" w:color="auto"/>
        <w:right w:val="none" w:sz="0" w:space="0" w:color="auto"/>
      </w:divBdr>
      <w:divsChild>
        <w:div w:id="791441048">
          <w:marLeft w:val="0"/>
          <w:marRight w:val="0"/>
          <w:marTop w:val="0"/>
          <w:marBottom w:val="0"/>
          <w:divBdr>
            <w:top w:val="none" w:sz="0" w:space="0" w:color="auto"/>
            <w:left w:val="none" w:sz="0" w:space="0" w:color="auto"/>
            <w:bottom w:val="none" w:sz="0" w:space="0" w:color="auto"/>
            <w:right w:val="none" w:sz="0" w:space="0" w:color="auto"/>
          </w:divBdr>
          <w:divsChild>
            <w:div w:id="224537190">
              <w:marLeft w:val="0"/>
              <w:marRight w:val="0"/>
              <w:marTop w:val="0"/>
              <w:marBottom w:val="0"/>
              <w:divBdr>
                <w:top w:val="none" w:sz="0" w:space="0" w:color="auto"/>
                <w:left w:val="none" w:sz="0" w:space="0" w:color="auto"/>
                <w:bottom w:val="none" w:sz="0" w:space="0" w:color="auto"/>
                <w:right w:val="none" w:sz="0" w:space="0" w:color="auto"/>
              </w:divBdr>
              <w:divsChild>
                <w:div w:id="1468274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52701399">
      <w:bodyDiv w:val="1"/>
      <w:marLeft w:val="0"/>
      <w:marRight w:val="0"/>
      <w:marTop w:val="0"/>
      <w:marBottom w:val="0"/>
      <w:divBdr>
        <w:top w:val="none" w:sz="0" w:space="0" w:color="auto"/>
        <w:left w:val="none" w:sz="0" w:space="0" w:color="auto"/>
        <w:bottom w:val="none" w:sz="0" w:space="0" w:color="auto"/>
        <w:right w:val="none" w:sz="0" w:space="0" w:color="auto"/>
      </w:divBdr>
    </w:div>
    <w:div w:id="1819690426">
      <w:bodyDiv w:val="1"/>
      <w:marLeft w:val="0"/>
      <w:marRight w:val="0"/>
      <w:marTop w:val="0"/>
      <w:marBottom w:val="0"/>
      <w:divBdr>
        <w:top w:val="none" w:sz="0" w:space="0" w:color="auto"/>
        <w:left w:val="none" w:sz="0" w:space="0" w:color="auto"/>
        <w:bottom w:val="none" w:sz="0" w:space="0" w:color="auto"/>
        <w:right w:val="none" w:sz="0" w:space="0" w:color="auto"/>
      </w:divBdr>
      <w:divsChild>
        <w:div w:id="2129619171">
          <w:marLeft w:val="0"/>
          <w:marRight w:val="0"/>
          <w:marTop w:val="0"/>
          <w:marBottom w:val="0"/>
          <w:divBdr>
            <w:top w:val="none" w:sz="0" w:space="0" w:color="auto"/>
            <w:left w:val="none" w:sz="0" w:space="0" w:color="auto"/>
            <w:bottom w:val="none" w:sz="0" w:space="0" w:color="auto"/>
            <w:right w:val="none" w:sz="0" w:space="0" w:color="auto"/>
          </w:divBdr>
          <w:divsChild>
            <w:div w:id="88670954">
              <w:marLeft w:val="0"/>
              <w:marRight w:val="0"/>
              <w:marTop w:val="0"/>
              <w:marBottom w:val="0"/>
              <w:divBdr>
                <w:top w:val="none" w:sz="0" w:space="0" w:color="auto"/>
                <w:left w:val="none" w:sz="0" w:space="0" w:color="auto"/>
                <w:bottom w:val="none" w:sz="0" w:space="0" w:color="auto"/>
                <w:right w:val="none" w:sz="0" w:space="0" w:color="auto"/>
              </w:divBdr>
              <w:divsChild>
                <w:div w:id="701708949">
                  <w:marLeft w:val="0"/>
                  <w:marRight w:val="0"/>
                  <w:marTop w:val="0"/>
                  <w:marBottom w:val="0"/>
                  <w:divBdr>
                    <w:top w:val="none" w:sz="0" w:space="0" w:color="auto"/>
                    <w:left w:val="none" w:sz="0" w:space="0" w:color="auto"/>
                    <w:bottom w:val="none" w:sz="0" w:space="0" w:color="auto"/>
                    <w:right w:val="none" w:sz="0" w:space="0" w:color="auto"/>
                  </w:divBdr>
                </w:div>
              </w:divsChild>
            </w:div>
            <w:div w:id="755245587">
              <w:marLeft w:val="0"/>
              <w:marRight w:val="0"/>
              <w:marTop w:val="0"/>
              <w:marBottom w:val="0"/>
              <w:divBdr>
                <w:top w:val="none" w:sz="0" w:space="0" w:color="auto"/>
                <w:left w:val="none" w:sz="0" w:space="0" w:color="auto"/>
                <w:bottom w:val="none" w:sz="0" w:space="0" w:color="auto"/>
                <w:right w:val="none" w:sz="0" w:space="0" w:color="auto"/>
              </w:divBdr>
              <w:divsChild>
                <w:div w:id="2048992803">
                  <w:marLeft w:val="0"/>
                  <w:marRight w:val="0"/>
                  <w:marTop w:val="0"/>
                  <w:marBottom w:val="0"/>
                  <w:divBdr>
                    <w:top w:val="none" w:sz="0" w:space="0" w:color="auto"/>
                    <w:left w:val="none" w:sz="0" w:space="0" w:color="auto"/>
                    <w:bottom w:val="none" w:sz="0" w:space="0" w:color="auto"/>
                    <w:right w:val="none" w:sz="0" w:space="0" w:color="auto"/>
                  </w:divBdr>
                </w:div>
              </w:divsChild>
            </w:div>
            <w:div w:id="990600416">
              <w:marLeft w:val="0"/>
              <w:marRight w:val="0"/>
              <w:marTop w:val="0"/>
              <w:marBottom w:val="0"/>
              <w:divBdr>
                <w:top w:val="none" w:sz="0" w:space="0" w:color="auto"/>
                <w:left w:val="none" w:sz="0" w:space="0" w:color="auto"/>
                <w:bottom w:val="none" w:sz="0" w:space="0" w:color="auto"/>
                <w:right w:val="none" w:sz="0" w:space="0" w:color="auto"/>
              </w:divBdr>
              <w:divsChild>
                <w:div w:id="1385133152">
                  <w:marLeft w:val="0"/>
                  <w:marRight w:val="0"/>
                  <w:marTop w:val="0"/>
                  <w:marBottom w:val="0"/>
                  <w:divBdr>
                    <w:top w:val="none" w:sz="0" w:space="0" w:color="auto"/>
                    <w:left w:val="none" w:sz="0" w:space="0" w:color="auto"/>
                    <w:bottom w:val="none" w:sz="0" w:space="0" w:color="auto"/>
                    <w:right w:val="none" w:sz="0" w:space="0" w:color="auto"/>
                  </w:divBdr>
                </w:div>
              </w:divsChild>
            </w:div>
            <w:div w:id="998310318">
              <w:marLeft w:val="0"/>
              <w:marRight w:val="0"/>
              <w:marTop w:val="0"/>
              <w:marBottom w:val="0"/>
              <w:divBdr>
                <w:top w:val="none" w:sz="0" w:space="0" w:color="auto"/>
                <w:left w:val="none" w:sz="0" w:space="0" w:color="auto"/>
                <w:bottom w:val="none" w:sz="0" w:space="0" w:color="auto"/>
                <w:right w:val="none" w:sz="0" w:space="0" w:color="auto"/>
              </w:divBdr>
              <w:divsChild>
                <w:div w:id="840437342">
                  <w:marLeft w:val="0"/>
                  <w:marRight w:val="0"/>
                  <w:marTop w:val="0"/>
                  <w:marBottom w:val="0"/>
                  <w:divBdr>
                    <w:top w:val="none" w:sz="0" w:space="0" w:color="auto"/>
                    <w:left w:val="none" w:sz="0" w:space="0" w:color="auto"/>
                    <w:bottom w:val="none" w:sz="0" w:space="0" w:color="auto"/>
                    <w:right w:val="none" w:sz="0" w:space="0" w:color="auto"/>
                  </w:divBdr>
                </w:div>
              </w:divsChild>
            </w:div>
            <w:div w:id="1156844698">
              <w:marLeft w:val="0"/>
              <w:marRight w:val="0"/>
              <w:marTop w:val="0"/>
              <w:marBottom w:val="0"/>
              <w:divBdr>
                <w:top w:val="none" w:sz="0" w:space="0" w:color="auto"/>
                <w:left w:val="none" w:sz="0" w:space="0" w:color="auto"/>
                <w:bottom w:val="none" w:sz="0" w:space="0" w:color="auto"/>
                <w:right w:val="none" w:sz="0" w:space="0" w:color="auto"/>
              </w:divBdr>
              <w:divsChild>
                <w:div w:id="1770157102">
                  <w:marLeft w:val="0"/>
                  <w:marRight w:val="0"/>
                  <w:marTop w:val="0"/>
                  <w:marBottom w:val="0"/>
                  <w:divBdr>
                    <w:top w:val="none" w:sz="0" w:space="0" w:color="auto"/>
                    <w:left w:val="none" w:sz="0" w:space="0" w:color="auto"/>
                    <w:bottom w:val="none" w:sz="0" w:space="0" w:color="auto"/>
                    <w:right w:val="none" w:sz="0" w:space="0" w:color="auto"/>
                  </w:divBdr>
                </w:div>
              </w:divsChild>
            </w:div>
            <w:div w:id="1672566115">
              <w:marLeft w:val="0"/>
              <w:marRight w:val="0"/>
              <w:marTop w:val="0"/>
              <w:marBottom w:val="0"/>
              <w:divBdr>
                <w:top w:val="none" w:sz="0" w:space="0" w:color="auto"/>
                <w:left w:val="none" w:sz="0" w:space="0" w:color="auto"/>
                <w:bottom w:val="none" w:sz="0" w:space="0" w:color="auto"/>
                <w:right w:val="none" w:sz="0" w:space="0" w:color="auto"/>
              </w:divBdr>
              <w:divsChild>
                <w:div w:id="953706596">
                  <w:marLeft w:val="0"/>
                  <w:marRight w:val="0"/>
                  <w:marTop w:val="0"/>
                  <w:marBottom w:val="0"/>
                  <w:divBdr>
                    <w:top w:val="none" w:sz="0" w:space="0" w:color="auto"/>
                    <w:left w:val="none" w:sz="0" w:space="0" w:color="auto"/>
                    <w:bottom w:val="none" w:sz="0" w:space="0" w:color="auto"/>
                    <w:right w:val="none" w:sz="0" w:space="0" w:color="auto"/>
                  </w:divBdr>
                </w:div>
              </w:divsChild>
            </w:div>
            <w:div w:id="1789545321">
              <w:marLeft w:val="0"/>
              <w:marRight w:val="0"/>
              <w:marTop w:val="0"/>
              <w:marBottom w:val="0"/>
              <w:divBdr>
                <w:top w:val="none" w:sz="0" w:space="0" w:color="auto"/>
                <w:left w:val="none" w:sz="0" w:space="0" w:color="auto"/>
                <w:bottom w:val="none" w:sz="0" w:space="0" w:color="auto"/>
                <w:right w:val="none" w:sz="0" w:space="0" w:color="auto"/>
              </w:divBdr>
              <w:divsChild>
                <w:div w:id="1293712025">
                  <w:marLeft w:val="0"/>
                  <w:marRight w:val="0"/>
                  <w:marTop w:val="0"/>
                  <w:marBottom w:val="0"/>
                  <w:divBdr>
                    <w:top w:val="none" w:sz="0" w:space="0" w:color="auto"/>
                    <w:left w:val="none" w:sz="0" w:space="0" w:color="auto"/>
                    <w:bottom w:val="none" w:sz="0" w:space="0" w:color="auto"/>
                    <w:right w:val="none" w:sz="0" w:space="0" w:color="auto"/>
                  </w:divBdr>
                </w:div>
              </w:divsChild>
            </w:div>
            <w:div w:id="1971740641">
              <w:marLeft w:val="0"/>
              <w:marRight w:val="0"/>
              <w:marTop w:val="0"/>
              <w:marBottom w:val="0"/>
              <w:divBdr>
                <w:top w:val="none" w:sz="0" w:space="0" w:color="auto"/>
                <w:left w:val="none" w:sz="0" w:space="0" w:color="auto"/>
                <w:bottom w:val="none" w:sz="0" w:space="0" w:color="auto"/>
                <w:right w:val="none" w:sz="0" w:space="0" w:color="auto"/>
              </w:divBdr>
              <w:divsChild>
                <w:div w:id="1612779664">
                  <w:marLeft w:val="0"/>
                  <w:marRight w:val="0"/>
                  <w:marTop w:val="0"/>
                  <w:marBottom w:val="0"/>
                  <w:divBdr>
                    <w:top w:val="none" w:sz="0" w:space="0" w:color="auto"/>
                    <w:left w:val="none" w:sz="0" w:space="0" w:color="auto"/>
                    <w:bottom w:val="none" w:sz="0" w:space="0" w:color="auto"/>
                    <w:right w:val="none" w:sz="0" w:space="0" w:color="auto"/>
                  </w:divBdr>
                </w:div>
              </w:divsChild>
            </w:div>
            <w:div w:id="2051303349">
              <w:marLeft w:val="0"/>
              <w:marRight w:val="0"/>
              <w:marTop w:val="0"/>
              <w:marBottom w:val="0"/>
              <w:divBdr>
                <w:top w:val="none" w:sz="0" w:space="0" w:color="auto"/>
                <w:left w:val="none" w:sz="0" w:space="0" w:color="auto"/>
                <w:bottom w:val="none" w:sz="0" w:space="0" w:color="auto"/>
                <w:right w:val="none" w:sz="0" w:space="0" w:color="auto"/>
              </w:divBdr>
              <w:divsChild>
                <w:div w:id="536165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33327445">
      <w:bodyDiv w:val="1"/>
      <w:marLeft w:val="0"/>
      <w:marRight w:val="0"/>
      <w:marTop w:val="0"/>
      <w:marBottom w:val="0"/>
      <w:divBdr>
        <w:top w:val="none" w:sz="0" w:space="0" w:color="auto"/>
        <w:left w:val="none" w:sz="0" w:space="0" w:color="auto"/>
        <w:bottom w:val="none" w:sz="0" w:space="0" w:color="auto"/>
        <w:right w:val="none" w:sz="0" w:space="0" w:color="auto"/>
      </w:divBdr>
      <w:divsChild>
        <w:div w:id="2113432486">
          <w:marLeft w:val="0"/>
          <w:marRight w:val="0"/>
          <w:marTop w:val="0"/>
          <w:marBottom w:val="0"/>
          <w:divBdr>
            <w:top w:val="none" w:sz="0" w:space="0" w:color="auto"/>
            <w:left w:val="none" w:sz="0" w:space="0" w:color="auto"/>
            <w:bottom w:val="none" w:sz="0" w:space="0" w:color="auto"/>
            <w:right w:val="none" w:sz="0" w:space="0" w:color="auto"/>
          </w:divBdr>
          <w:divsChild>
            <w:div w:id="883444697">
              <w:marLeft w:val="0"/>
              <w:marRight w:val="0"/>
              <w:marTop w:val="0"/>
              <w:marBottom w:val="0"/>
              <w:divBdr>
                <w:top w:val="none" w:sz="0" w:space="0" w:color="auto"/>
                <w:left w:val="none" w:sz="0" w:space="0" w:color="auto"/>
                <w:bottom w:val="none" w:sz="0" w:space="0" w:color="auto"/>
                <w:right w:val="none" w:sz="0" w:space="0" w:color="auto"/>
              </w:divBdr>
              <w:divsChild>
                <w:div w:id="1477529770">
                  <w:marLeft w:val="0"/>
                  <w:marRight w:val="0"/>
                  <w:marTop w:val="0"/>
                  <w:marBottom w:val="0"/>
                  <w:divBdr>
                    <w:top w:val="none" w:sz="0" w:space="0" w:color="auto"/>
                    <w:left w:val="none" w:sz="0" w:space="0" w:color="auto"/>
                    <w:bottom w:val="none" w:sz="0" w:space="0" w:color="auto"/>
                    <w:right w:val="none" w:sz="0" w:space="0" w:color="auto"/>
                  </w:divBdr>
                </w:div>
              </w:divsChild>
            </w:div>
            <w:div w:id="1802116485">
              <w:marLeft w:val="0"/>
              <w:marRight w:val="0"/>
              <w:marTop w:val="0"/>
              <w:marBottom w:val="0"/>
              <w:divBdr>
                <w:top w:val="none" w:sz="0" w:space="0" w:color="auto"/>
                <w:left w:val="none" w:sz="0" w:space="0" w:color="auto"/>
                <w:bottom w:val="none" w:sz="0" w:space="0" w:color="auto"/>
                <w:right w:val="none" w:sz="0" w:space="0" w:color="auto"/>
              </w:divBdr>
              <w:divsChild>
                <w:div w:id="16372995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9848599">
      <w:bodyDiv w:val="1"/>
      <w:marLeft w:val="0"/>
      <w:marRight w:val="0"/>
      <w:marTop w:val="0"/>
      <w:marBottom w:val="0"/>
      <w:divBdr>
        <w:top w:val="none" w:sz="0" w:space="0" w:color="auto"/>
        <w:left w:val="none" w:sz="0" w:space="0" w:color="auto"/>
        <w:bottom w:val="none" w:sz="0" w:space="0" w:color="auto"/>
        <w:right w:val="none" w:sz="0" w:space="0" w:color="auto"/>
      </w:divBdr>
    </w:div>
    <w:div w:id="1864897300">
      <w:bodyDiv w:val="1"/>
      <w:marLeft w:val="0"/>
      <w:marRight w:val="0"/>
      <w:marTop w:val="0"/>
      <w:marBottom w:val="0"/>
      <w:divBdr>
        <w:top w:val="none" w:sz="0" w:space="0" w:color="auto"/>
        <w:left w:val="none" w:sz="0" w:space="0" w:color="auto"/>
        <w:bottom w:val="none" w:sz="0" w:space="0" w:color="auto"/>
        <w:right w:val="none" w:sz="0" w:space="0" w:color="auto"/>
      </w:divBdr>
      <w:divsChild>
        <w:div w:id="231237929">
          <w:marLeft w:val="0"/>
          <w:marRight w:val="0"/>
          <w:marTop w:val="0"/>
          <w:marBottom w:val="0"/>
          <w:divBdr>
            <w:top w:val="none" w:sz="0" w:space="0" w:color="auto"/>
            <w:left w:val="none" w:sz="0" w:space="0" w:color="auto"/>
            <w:bottom w:val="none" w:sz="0" w:space="0" w:color="auto"/>
            <w:right w:val="none" w:sz="0" w:space="0" w:color="auto"/>
          </w:divBdr>
          <w:divsChild>
            <w:div w:id="633948187">
              <w:marLeft w:val="0"/>
              <w:marRight w:val="0"/>
              <w:marTop w:val="0"/>
              <w:marBottom w:val="0"/>
              <w:divBdr>
                <w:top w:val="none" w:sz="0" w:space="0" w:color="auto"/>
                <w:left w:val="none" w:sz="0" w:space="0" w:color="auto"/>
                <w:bottom w:val="none" w:sz="0" w:space="0" w:color="auto"/>
                <w:right w:val="none" w:sz="0" w:space="0" w:color="auto"/>
              </w:divBdr>
              <w:divsChild>
                <w:div w:id="2115443695">
                  <w:marLeft w:val="0"/>
                  <w:marRight w:val="0"/>
                  <w:marTop w:val="0"/>
                  <w:marBottom w:val="0"/>
                  <w:divBdr>
                    <w:top w:val="none" w:sz="0" w:space="0" w:color="auto"/>
                    <w:left w:val="none" w:sz="0" w:space="0" w:color="auto"/>
                    <w:bottom w:val="none" w:sz="0" w:space="0" w:color="auto"/>
                    <w:right w:val="none" w:sz="0" w:space="0" w:color="auto"/>
                  </w:divBdr>
                </w:div>
              </w:divsChild>
            </w:div>
            <w:div w:id="1186871884">
              <w:marLeft w:val="0"/>
              <w:marRight w:val="0"/>
              <w:marTop w:val="0"/>
              <w:marBottom w:val="0"/>
              <w:divBdr>
                <w:top w:val="none" w:sz="0" w:space="0" w:color="auto"/>
                <w:left w:val="none" w:sz="0" w:space="0" w:color="auto"/>
                <w:bottom w:val="none" w:sz="0" w:space="0" w:color="auto"/>
                <w:right w:val="none" w:sz="0" w:space="0" w:color="auto"/>
              </w:divBdr>
              <w:divsChild>
                <w:div w:id="14551280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04440448">
      <w:bodyDiv w:val="1"/>
      <w:marLeft w:val="0"/>
      <w:marRight w:val="0"/>
      <w:marTop w:val="0"/>
      <w:marBottom w:val="0"/>
      <w:divBdr>
        <w:top w:val="none" w:sz="0" w:space="0" w:color="auto"/>
        <w:left w:val="none" w:sz="0" w:space="0" w:color="auto"/>
        <w:bottom w:val="none" w:sz="0" w:space="0" w:color="auto"/>
        <w:right w:val="none" w:sz="0" w:space="0" w:color="auto"/>
      </w:divBdr>
    </w:div>
    <w:div w:id="1920820554">
      <w:bodyDiv w:val="1"/>
      <w:marLeft w:val="0"/>
      <w:marRight w:val="0"/>
      <w:marTop w:val="0"/>
      <w:marBottom w:val="0"/>
      <w:divBdr>
        <w:top w:val="none" w:sz="0" w:space="0" w:color="auto"/>
        <w:left w:val="none" w:sz="0" w:space="0" w:color="auto"/>
        <w:bottom w:val="none" w:sz="0" w:space="0" w:color="auto"/>
        <w:right w:val="none" w:sz="0" w:space="0" w:color="auto"/>
      </w:divBdr>
      <w:divsChild>
        <w:div w:id="1005471425">
          <w:marLeft w:val="0"/>
          <w:marRight w:val="0"/>
          <w:marTop w:val="0"/>
          <w:marBottom w:val="0"/>
          <w:divBdr>
            <w:top w:val="none" w:sz="0" w:space="0" w:color="auto"/>
            <w:left w:val="none" w:sz="0" w:space="0" w:color="auto"/>
            <w:bottom w:val="none" w:sz="0" w:space="0" w:color="auto"/>
            <w:right w:val="none" w:sz="0" w:space="0" w:color="auto"/>
          </w:divBdr>
          <w:divsChild>
            <w:div w:id="66272192">
              <w:marLeft w:val="0"/>
              <w:marRight w:val="0"/>
              <w:marTop w:val="0"/>
              <w:marBottom w:val="0"/>
              <w:divBdr>
                <w:top w:val="none" w:sz="0" w:space="0" w:color="auto"/>
                <w:left w:val="none" w:sz="0" w:space="0" w:color="auto"/>
                <w:bottom w:val="none" w:sz="0" w:space="0" w:color="auto"/>
                <w:right w:val="none" w:sz="0" w:space="0" w:color="auto"/>
              </w:divBdr>
              <w:divsChild>
                <w:div w:id="8095208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3246376">
      <w:bodyDiv w:val="1"/>
      <w:marLeft w:val="0"/>
      <w:marRight w:val="0"/>
      <w:marTop w:val="0"/>
      <w:marBottom w:val="0"/>
      <w:divBdr>
        <w:top w:val="none" w:sz="0" w:space="0" w:color="auto"/>
        <w:left w:val="none" w:sz="0" w:space="0" w:color="auto"/>
        <w:bottom w:val="none" w:sz="0" w:space="0" w:color="auto"/>
        <w:right w:val="none" w:sz="0" w:space="0" w:color="auto"/>
      </w:divBdr>
      <w:divsChild>
        <w:div w:id="1825273050">
          <w:marLeft w:val="0"/>
          <w:marRight w:val="0"/>
          <w:marTop w:val="0"/>
          <w:marBottom w:val="0"/>
          <w:divBdr>
            <w:top w:val="none" w:sz="0" w:space="0" w:color="auto"/>
            <w:left w:val="none" w:sz="0" w:space="0" w:color="auto"/>
            <w:bottom w:val="none" w:sz="0" w:space="0" w:color="auto"/>
            <w:right w:val="none" w:sz="0" w:space="0" w:color="auto"/>
          </w:divBdr>
          <w:divsChild>
            <w:div w:id="683021765">
              <w:marLeft w:val="0"/>
              <w:marRight w:val="0"/>
              <w:marTop w:val="0"/>
              <w:marBottom w:val="0"/>
              <w:divBdr>
                <w:top w:val="none" w:sz="0" w:space="0" w:color="auto"/>
                <w:left w:val="none" w:sz="0" w:space="0" w:color="auto"/>
                <w:bottom w:val="none" w:sz="0" w:space="0" w:color="auto"/>
                <w:right w:val="none" w:sz="0" w:space="0" w:color="auto"/>
              </w:divBdr>
              <w:divsChild>
                <w:div w:id="916478526">
                  <w:marLeft w:val="0"/>
                  <w:marRight w:val="0"/>
                  <w:marTop w:val="0"/>
                  <w:marBottom w:val="0"/>
                  <w:divBdr>
                    <w:top w:val="none" w:sz="0" w:space="0" w:color="auto"/>
                    <w:left w:val="none" w:sz="0" w:space="0" w:color="auto"/>
                    <w:bottom w:val="none" w:sz="0" w:space="0" w:color="auto"/>
                    <w:right w:val="none" w:sz="0" w:space="0" w:color="auto"/>
                  </w:divBdr>
                </w:div>
              </w:divsChild>
            </w:div>
            <w:div w:id="1887570464">
              <w:marLeft w:val="0"/>
              <w:marRight w:val="0"/>
              <w:marTop w:val="0"/>
              <w:marBottom w:val="0"/>
              <w:divBdr>
                <w:top w:val="none" w:sz="0" w:space="0" w:color="auto"/>
                <w:left w:val="none" w:sz="0" w:space="0" w:color="auto"/>
                <w:bottom w:val="none" w:sz="0" w:space="0" w:color="auto"/>
                <w:right w:val="none" w:sz="0" w:space="0" w:color="auto"/>
              </w:divBdr>
              <w:divsChild>
                <w:div w:id="6437812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60143058">
      <w:bodyDiv w:val="1"/>
      <w:marLeft w:val="0"/>
      <w:marRight w:val="0"/>
      <w:marTop w:val="0"/>
      <w:marBottom w:val="0"/>
      <w:divBdr>
        <w:top w:val="none" w:sz="0" w:space="0" w:color="auto"/>
        <w:left w:val="none" w:sz="0" w:space="0" w:color="auto"/>
        <w:bottom w:val="none" w:sz="0" w:space="0" w:color="auto"/>
        <w:right w:val="none" w:sz="0" w:space="0" w:color="auto"/>
      </w:divBdr>
    </w:div>
    <w:div w:id="1994022524">
      <w:bodyDiv w:val="1"/>
      <w:marLeft w:val="0"/>
      <w:marRight w:val="0"/>
      <w:marTop w:val="0"/>
      <w:marBottom w:val="0"/>
      <w:divBdr>
        <w:top w:val="none" w:sz="0" w:space="0" w:color="auto"/>
        <w:left w:val="none" w:sz="0" w:space="0" w:color="auto"/>
        <w:bottom w:val="none" w:sz="0" w:space="0" w:color="auto"/>
        <w:right w:val="none" w:sz="0" w:space="0" w:color="auto"/>
      </w:divBdr>
    </w:div>
    <w:div w:id="1994336430">
      <w:bodyDiv w:val="1"/>
      <w:marLeft w:val="0"/>
      <w:marRight w:val="0"/>
      <w:marTop w:val="0"/>
      <w:marBottom w:val="0"/>
      <w:divBdr>
        <w:top w:val="none" w:sz="0" w:space="0" w:color="auto"/>
        <w:left w:val="none" w:sz="0" w:space="0" w:color="auto"/>
        <w:bottom w:val="none" w:sz="0" w:space="0" w:color="auto"/>
        <w:right w:val="none" w:sz="0" w:space="0" w:color="auto"/>
      </w:divBdr>
    </w:div>
    <w:div w:id="2034501153">
      <w:bodyDiv w:val="1"/>
      <w:marLeft w:val="0"/>
      <w:marRight w:val="0"/>
      <w:marTop w:val="0"/>
      <w:marBottom w:val="0"/>
      <w:divBdr>
        <w:top w:val="none" w:sz="0" w:space="0" w:color="auto"/>
        <w:left w:val="none" w:sz="0" w:space="0" w:color="auto"/>
        <w:bottom w:val="none" w:sz="0" w:space="0" w:color="auto"/>
        <w:right w:val="none" w:sz="0" w:space="0" w:color="auto"/>
      </w:divBdr>
    </w:div>
    <w:div w:id="2060589361">
      <w:bodyDiv w:val="1"/>
      <w:marLeft w:val="0"/>
      <w:marRight w:val="0"/>
      <w:marTop w:val="0"/>
      <w:marBottom w:val="0"/>
      <w:divBdr>
        <w:top w:val="none" w:sz="0" w:space="0" w:color="auto"/>
        <w:left w:val="none" w:sz="0" w:space="0" w:color="auto"/>
        <w:bottom w:val="none" w:sz="0" w:space="0" w:color="auto"/>
        <w:right w:val="none" w:sz="0" w:space="0" w:color="auto"/>
      </w:divBdr>
      <w:divsChild>
        <w:div w:id="1265382236">
          <w:marLeft w:val="0"/>
          <w:marRight w:val="0"/>
          <w:marTop w:val="0"/>
          <w:marBottom w:val="0"/>
          <w:divBdr>
            <w:top w:val="none" w:sz="0" w:space="0" w:color="auto"/>
            <w:left w:val="none" w:sz="0" w:space="0" w:color="auto"/>
            <w:bottom w:val="none" w:sz="0" w:space="0" w:color="auto"/>
            <w:right w:val="none" w:sz="0" w:space="0" w:color="auto"/>
          </w:divBdr>
          <w:divsChild>
            <w:div w:id="886914641">
              <w:marLeft w:val="0"/>
              <w:marRight w:val="0"/>
              <w:marTop w:val="0"/>
              <w:marBottom w:val="0"/>
              <w:divBdr>
                <w:top w:val="none" w:sz="0" w:space="0" w:color="auto"/>
                <w:left w:val="none" w:sz="0" w:space="0" w:color="auto"/>
                <w:bottom w:val="none" w:sz="0" w:space="0" w:color="auto"/>
                <w:right w:val="none" w:sz="0" w:space="0" w:color="auto"/>
              </w:divBdr>
              <w:divsChild>
                <w:div w:id="374888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30925751">
      <w:bodyDiv w:val="1"/>
      <w:marLeft w:val="0"/>
      <w:marRight w:val="0"/>
      <w:marTop w:val="0"/>
      <w:marBottom w:val="0"/>
      <w:divBdr>
        <w:top w:val="none" w:sz="0" w:space="0" w:color="auto"/>
        <w:left w:val="none" w:sz="0" w:space="0" w:color="auto"/>
        <w:bottom w:val="none" w:sz="0" w:space="0" w:color="auto"/>
        <w:right w:val="none" w:sz="0" w:space="0" w:color="auto"/>
      </w:divBdr>
      <w:divsChild>
        <w:div w:id="775638148">
          <w:marLeft w:val="0"/>
          <w:marRight w:val="0"/>
          <w:marTop w:val="0"/>
          <w:marBottom w:val="0"/>
          <w:divBdr>
            <w:top w:val="none" w:sz="0" w:space="0" w:color="auto"/>
            <w:left w:val="none" w:sz="0" w:space="0" w:color="auto"/>
            <w:bottom w:val="none" w:sz="0" w:space="0" w:color="auto"/>
            <w:right w:val="none" w:sz="0" w:space="0" w:color="auto"/>
          </w:divBdr>
          <w:divsChild>
            <w:div w:id="1442608771">
              <w:marLeft w:val="0"/>
              <w:marRight w:val="0"/>
              <w:marTop w:val="0"/>
              <w:marBottom w:val="0"/>
              <w:divBdr>
                <w:top w:val="none" w:sz="0" w:space="0" w:color="auto"/>
                <w:left w:val="none" w:sz="0" w:space="0" w:color="auto"/>
                <w:bottom w:val="none" w:sz="0" w:space="0" w:color="auto"/>
                <w:right w:val="none" w:sz="0" w:space="0" w:color="auto"/>
              </w:divBdr>
              <w:divsChild>
                <w:div w:id="8217106">
                  <w:marLeft w:val="0"/>
                  <w:marRight w:val="0"/>
                  <w:marTop w:val="0"/>
                  <w:marBottom w:val="0"/>
                  <w:divBdr>
                    <w:top w:val="none" w:sz="0" w:space="0" w:color="auto"/>
                    <w:left w:val="none" w:sz="0" w:space="0" w:color="auto"/>
                    <w:bottom w:val="none" w:sz="0" w:space="0" w:color="auto"/>
                    <w:right w:val="none" w:sz="0" w:space="0" w:color="auto"/>
                  </w:divBdr>
                  <w:divsChild>
                    <w:div w:id="1508787074">
                      <w:marLeft w:val="0"/>
                      <w:marRight w:val="0"/>
                      <w:marTop w:val="0"/>
                      <w:marBottom w:val="0"/>
                      <w:divBdr>
                        <w:top w:val="none" w:sz="0" w:space="0" w:color="auto"/>
                        <w:left w:val="none" w:sz="0" w:space="0" w:color="auto"/>
                        <w:bottom w:val="none" w:sz="0" w:space="0" w:color="auto"/>
                        <w:right w:val="none" w:sz="0" w:space="0" w:color="auto"/>
                      </w:divBdr>
                    </w:div>
                  </w:divsChild>
                </w:div>
                <w:div w:id="801843455">
                  <w:marLeft w:val="0"/>
                  <w:marRight w:val="0"/>
                  <w:marTop w:val="0"/>
                  <w:marBottom w:val="0"/>
                  <w:divBdr>
                    <w:top w:val="none" w:sz="0" w:space="0" w:color="auto"/>
                    <w:left w:val="none" w:sz="0" w:space="0" w:color="auto"/>
                    <w:bottom w:val="none" w:sz="0" w:space="0" w:color="auto"/>
                    <w:right w:val="none" w:sz="0" w:space="0" w:color="auto"/>
                  </w:divBdr>
                  <w:divsChild>
                    <w:div w:id="98991948">
                      <w:marLeft w:val="0"/>
                      <w:marRight w:val="0"/>
                      <w:marTop w:val="0"/>
                      <w:marBottom w:val="0"/>
                      <w:divBdr>
                        <w:top w:val="none" w:sz="0" w:space="0" w:color="auto"/>
                        <w:left w:val="none" w:sz="0" w:space="0" w:color="auto"/>
                        <w:bottom w:val="none" w:sz="0" w:space="0" w:color="auto"/>
                        <w:right w:val="none" w:sz="0" w:space="0" w:color="auto"/>
                      </w:divBdr>
                    </w:div>
                  </w:divsChild>
                </w:div>
                <w:div w:id="1957129133">
                  <w:marLeft w:val="0"/>
                  <w:marRight w:val="0"/>
                  <w:marTop w:val="0"/>
                  <w:marBottom w:val="0"/>
                  <w:divBdr>
                    <w:top w:val="none" w:sz="0" w:space="0" w:color="auto"/>
                    <w:left w:val="none" w:sz="0" w:space="0" w:color="auto"/>
                    <w:bottom w:val="none" w:sz="0" w:space="0" w:color="auto"/>
                    <w:right w:val="none" w:sz="0" w:space="0" w:color="auto"/>
                  </w:divBdr>
                  <w:divsChild>
                    <w:div w:id="59088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45006373">
      <w:bodyDiv w:val="1"/>
      <w:marLeft w:val="0"/>
      <w:marRight w:val="0"/>
      <w:marTop w:val="0"/>
      <w:marBottom w:val="0"/>
      <w:divBdr>
        <w:top w:val="none" w:sz="0" w:space="0" w:color="auto"/>
        <w:left w:val="none" w:sz="0" w:space="0" w:color="auto"/>
        <w:bottom w:val="none" w:sz="0" w:space="0" w:color="auto"/>
        <w:right w:val="none" w:sz="0" w:space="0" w:color="auto"/>
      </w:divBdr>
      <w:divsChild>
        <w:div w:id="1649556731">
          <w:marLeft w:val="0"/>
          <w:marRight w:val="0"/>
          <w:marTop w:val="0"/>
          <w:marBottom w:val="0"/>
          <w:divBdr>
            <w:top w:val="none" w:sz="0" w:space="0" w:color="auto"/>
            <w:left w:val="none" w:sz="0" w:space="0" w:color="auto"/>
            <w:bottom w:val="none" w:sz="0" w:space="0" w:color="auto"/>
            <w:right w:val="none" w:sz="0" w:space="0" w:color="auto"/>
          </w:divBdr>
          <w:divsChild>
            <w:div w:id="186792463">
              <w:marLeft w:val="0"/>
              <w:marRight w:val="0"/>
              <w:marTop w:val="0"/>
              <w:marBottom w:val="0"/>
              <w:divBdr>
                <w:top w:val="none" w:sz="0" w:space="0" w:color="auto"/>
                <w:left w:val="none" w:sz="0" w:space="0" w:color="auto"/>
                <w:bottom w:val="none" w:sz="0" w:space="0" w:color="auto"/>
                <w:right w:val="none" w:sz="0" w:space="0" w:color="auto"/>
              </w:divBdr>
              <w:divsChild>
                <w:div w:id="1443106337">
                  <w:marLeft w:val="0"/>
                  <w:marRight w:val="0"/>
                  <w:marTop w:val="0"/>
                  <w:marBottom w:val="0"/>
                  <w:divBdr>
                    <w:top w:val="none" w:sz="0" w:space="0" w:color="auto"/>
                    <w:left w:val="none" w:sz="0" w:space="0" w:color="auto"/>
                    <w:bottom w:val="none" w:sz="0" w:space="0" w:color="auto"/>
                    <w:right w:val="none" w:sz="0" w:space="0" w:color="auto"/>
                  </w:divBdr>
                  <w:divsChild>
                    <w:div w:id="102379716">
                      <w:marLeft w:val="0"/>
                      <w:marRight w:val="0"/>
                      <w:marTop w:val="0"/>
                      <w:marBottom w:val="0"/>
                      <w:divBdr>
                        <w:top w:val="none" w:sz="0" w:space="0" w:color="auto"/>
                        <w:left w:val="none" w:sz="0" w:space="0" w:color="auto"/>
                        <w:bottom w:val="none" w:sz="0" w:space="0" w:color="auto"/>
                        <w:right w:val="none" w:sz="0" w:space="0" w:color="auto"/>
                      </w:divBdr>
                      <w:divsChild>
                        <w:div w:id="667711576">
                          <w:marLeft w:val="0"/>
                          <w:marRight w:val="0"/>
                          <w:marTop w:val="0"/>
                          <w:marBottom w:val="0"/>
                          <w:divBdr>
                            <w:top w:val="none" w:sz="0" w:space="0" w:color="auto"/>
                            <w:left w:val="none" w:sz="0" w:space="0" w:color="auto"/>
                            <w:bottom w:val="none" w:sz="0" w:space="0" w:color="auto"/>
                            <w:right w:val="none" w:sz="0" w:space="0" w:color="auto"/>
                          </w:divBdr>
                          <w:divsChild>
                            <w:div w:id="8291053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145270777">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footer" Target="footer1.xml"/><Relationship Id="rId18" Type="http://schemas.openxmlformats.org/officeDocument/2006/relationships/hyperlink" Target="https://ideas.repec.org/p/wfo/rbrief/y2023i6.html" TargetMode="External"/><Relationship Id="rId26" Type="http://schemas.openxmlformats.org/officeDocument/2006/relationships/hyperlink" Target="https://www.europarl.europa.eu/news/de/press-room/20201120IPR92124/eu-soll-obdachlosigkeit-bis-2030-beseitigen" TargetMode="External"/><Relationship Id="rId39" Type="http://schemas.openxmlformats.org/officeDocument/2006/relationships/header" Target="header5.xml"/><Relationship Id="rId21" Type="http://schemas.openxmlformats.org/officeDocument/2006/relationships/hyperlink" Target="https://buildreview.org/modular-building-serial-prefabricated-building-the-solution-to-the-housing-problem/" TargetMode="External"/><Relationship Id="rId34" Type="http://schemas.openxmlformats.org/officeDocument/2006/relationships/hyperlink" Target="https://eur-lex.europa.eu/legal-content/EN/TXT/PDF/?uri=OJ:L_202401275" TargetMode="External"/><Relationship Id="rId42" Type="http://schemas.openxmlformats.org/officeDocument/2006/relationships/header" Target="header6.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footer" Target="footer3.xml"/><Relationship Id="rId29" Type="http://schemas.openxmlformats.org/officeDocument/2006/relationships/hyperlink" Target="https://www.europarl.europa.eu/news/de/press-room/20201120IPR92124/eu-soll-obdachlosigkeit-bis-2030-beseitigen"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hyperlink" Target="https://commission.europa.eu/news/focus-energy-efficiency-buildings-2020-02-17_en" TargetMode="External"/><Relationship Id="rId32" Type="http://schemas.openxmlformats.org/officeDocument/2006/relationships/hyperlink" Target="https://eur-lex.europa.eu/legal-content/EN/TXT/PDF/?uri=CELEX:11997D/TXT" TargetMode="External"/><Relationship Id="rId37" Type="http://schemas.openxmlformats.org/officeDocument/2006/relationships/hyperlink" Target="https://www.europarl.europa.eu/news/en/press-room/20240223IPR18094/new-rules-for-a-responsible-and-transparent-short-term-rental-sector" TargetMode="External"/><Relationship Id="rId40" Type="http://schemas.openxmlformats.org/officeDocument/2006/relationships/footer" Target="footer4.xml"/><Relationship Id="rId45"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eader" Target="header3.xml"/><Relationship Id="rId23" Type="http://schemas.openxmlformats.org/officeDocument/2006/relationships/hyperlink" Target="https://eur-lex.europa.eu/legal-content/EN/TXT/PDF/?uri=OJ:L_202401275" TargetMode="External"/><Relationship Id="rId28" Type="http://schemas.openxmlformats.org/officeDocument/2006/relationships/hyperlink" Target="https://www.eesc.europa.eu/en/news-media/press-summaries/eu-framework-national-homeless-strategies-" TargetMode="External"/><Relationship Id="rId36" Type="http://schemas.openxmlformats.org/officeDocument/2006/relationships/hyperlink" Target="https://energy.ec.europa.eu/topics/markets-and-consumers/energy-consumer-rights/energy-poverty_en" TargetMode="External"/><Relationship Id="rId10" Type="http://schemas.openxmlformats.org/officeDocument/2006/relationships/hyperlink" Target="https://ideas.repec.org/p/wfo/rbrief/y2023i6.html" TargetMode="External"/><Relationship Id="rId19" Type="http://schemas.openxmlformats.org/officeDocument/2006/relationships/hyperlink" Target="https://www.usbank.com/investing/financial-perspectives/investing-insights/interest-rates-impact-on-housing-market.html" TargetMode="External"/><Relationship Id="rId31" Type="http://schemas.openxmlformats.org/officeDocument/2006/relationships/hyperlink" Target="https://commission.europa.eu/business-economy-euro/economic-and-fiscal-policy-coordination/european-semester_en" TargetMode="External"/><Relationship Id="rId4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2.xml"/><Relationship Id="rId22" Type="http://schemas.openxmlformats.org/officeDocument/2006/relationships/hyperlink" Target="https://commission.europa.eu/news/focus-energy-efficiency-buildings-2020-02-17_en" TargetMode="External"/><Relationship Id="rId27" Type="http://schemas.openxmlformats.org/officeDocument/2006/relationships/hyperlink" Target="https://www.socialeurope.eu/rethinking-the-battle-against-homelessness" TargetMode="External"/><Relationship Id="rId30" Type="http://schemas.openxmlformats.org/officeDocument/2006/relationships/hyperlink" Target="https://ideas.repec.org/p/wfo/rbrief/y2023i6.html" TargetMode="External"/><Relationship Id="rId35" Type="http://schemas.openxmlformats.org/officeDocument/2006/relationships/hyperlink" Target="https://commission.europa.eu/news/focus-energy-efficiency-buildings-2020-02-17_en" TargetMode="External"/><Relationship Id="rId43" Type="http://schemas.openxmlformats.org/officeDocument/2006/relationships/footer" Target="footer6.xml"/><Relationship Id="rId8" Type="http://schemas.openxmlformats.org/officeDocument/2006/relationships/image" Target="media/image1.jpeg"/><Relationship Id="rId3" Type="http://schemas.openxmlformats.org/officeDocument/2006/relationships/styles" Target="styles.xml"/><Relationship Id="rId12" Type="http://schemas.openxmlformats.org/officeDocument/2006/relationships/header" Target="header2.xml"/><Relationship Id="rId17" Type="http://schemas.openxmlformats.org/officeDocument/2006/relationships/hyperlink" Target="https://ideas.repec.org/p/wfo/rbrief/y2023i6.html" TargetMode="External"/><Relationship Id="rId25" Type="http://schemas.openxmlformats.org/officeDocument/2006/relationships/hyperlink" Target="https://eur-lex.europa.eu/legal-content/EN/TXT/PDF/?uri=OJ:L_202401275" TargetMode="External"/><Relationship Id="rId33" Type="http://schemas.openxmlformats.org/officeDocument/2006/relationships/hyperlink" Target="https://commission.europa.eu/news/focus-energy-efficiency-buildings-2020-02-17_en" TargetMode="External"/><Relationship Id="rId38" Type="http://schemas.openxmlformats.org/officeDocument/2006/relationships/header" Target="header4.xml"/><Relationship Id="rId20" Type="http://schemas.openxmlformats.org/officeDocument/2006/relationships/hyperlink" Target="https://commission.europa.eu/news/focus-energy-efficiency-buildings-2020-02-17_en" TargetMode="External"/><Relationship Id="rId41" Type="http://schemas.openxmlformats.org/officeDocument/2006/relationships/footer" Target="footer5.xml"/></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1.jpeg"/></Relationships>
</file>

<file path=word/_rels/header5.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1.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0BF7FEA-F332-4744-A52F-CEC4499CD55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22</Pages>
  <Words>8368</Words>
  <Characters>52721</Characters>
  <Application>Microsoft Office Word</Application>
  <DocSecurity>0</DocSecurity>
  <Lines>439</Lines>
  <Paragraphs>121</Paragraphs>
  <ScaleCrop>false</ScaleCrop>
  <HeadingPairs>
    <vt:vector size="4" baseType="variant">
      <vt:variant>
        <vt:lpstr>Titel</vt:lpstr>
      </vt:variant>
      <vt:variant>
        <vt:i4>1</vt:i4>
      </vt:variant>
      <vt:variant>
        <vt:lpstr>Überschriften</vt:lpstr>
      </vt:variant>
      <vt:variant>
        <vt:i4>19</vt:i4>
      </vt:variant>
    </vt:vector>
  </HeadingPairs>
  <TitlesOfParts>
    <vt:vector size="20" baseType="lpstr">
      <vt:lpstr/>
      <vt:lpstr>Arbeitsbedingungen in der Bauwirtschaft</vt:lpstr>
      <vt:lpstr/>
      <vt:lpstr>Gemeinnütziger Wohnungsbau als Inflationsbekämpfung</vt:lpstr>
      <vt:lpstr>Rahmenbedingungen für gemeinnützige Akteure am Wohnungsmarkt</vt:lpstr>
      <vt:lpstr>Volkswirtschaftliche Effekte von leistbarem Wohnraum</vt:lpstr>
      <vt:lpstr>Zinswende und nachhaltige Wohnungswirtschaft</vt:lpstr>
      <vt:lpstr>Förderung des seriellen und modularen Bauens </vt:lpstr>
      <vt:lpstr/>
      <vt:lpstr>Energiewende in der Wohnungswirtschaft - Bestandsgebäude</vt:lpstr>
      <vt:lpstr>Soziale Aspekte der Energiewende in der Wohnungswirtschaft </vt:lpstr>
      <vt:lpstr>Bekämpfung der Obdachlosigkeit in Europa - Umsetzung der Lissabon Deklaration</vt:lpstr>
      <vt:lpstr>Bekämpfung der Wohnungslosigkeit in Europa – Präventionsmaßnahmen</vt:lpstr>
      <vt:lpstr>Bekämpfung der Wohnungs- und Obdachlosigkeit in Europa – Monitoring</vt:lpstr>
      <vt:lpstr>Wiederaufbau in der Ukraine: die Relevanz des gemeinnützigen Wohnbaus</vt:lpstr>
      <vt:lpstr>Leistbares Wohnen als Empfehlung im Europäischen Semester</vt:lpstr>
      <vt:lpstr>Gemeinnütziger Wohnbau im Stabilitäts- und Wachstumspakt</vt:lpstr>
      <vt:lpstr>Objektförderung vor Subjektförderung im Wohnbau</vt:lpstr>
      <vt:lpstr>Sozial-ökologische Modernisierung der Wohnbaubestände</vt:lpstr>
      <vt:lpstr>Vermeidung sozial segregierter und vulnerabler Stadtquartiere</vt:lpstr>
    </vt:vector>
  </TitlesOfParts>
  <Company/>
  <LinksUpToDate>false</LinksUpToDate>
  <CharactersWithSpaces>60968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Lilli Fida</dc:creator>
  <cp:keywords/>
  <dc:description/>
  <cp:lastModifiedBy>Maximilian Buchsteiner</cp:lastModifiedBy>
  <cp:revision>35</cp:revision>
  <cp:lastPrinted>2023-02-22T10:37:00Z</cp:lastPrinted>
  <dcterms:created xsi:type="dcterms:W3CDTF">2024-04-26T13:31:00Z</dcterms:created>
  <dcterms:modified xsi:type="dcterms:W3CDTF">2024-07-07T13:38:00Z</dcterms:modified>
</cp:coreProperties>
</file>